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4A4A"/>
          <w:sz w:val="28"/>
        </w:rPr>
        <w:t>NEXUS HUBBARD CAMPUS</w:t>
      </w:r>
    </w:p>
    <w:p>
      <w:pPr>
        <w:jc w:val="center"/>
      </w:pPr>
      <w:r>
        <w:rPr>
          <w:b/>
          <w:color w:val="0B1F3A"/>
          <w:sz w:val="44"/>
        </w:rPr>
        <w:t>Carrier Hotel Network — Phase 1</w:t>
        <w:br/>
        <w:t>Meet-Me Room Cross-Connect Platform</w:t>
      </w:r>
    </w:p>
    <w:p>
      <w:pPr>
        <w:jc w:val="center"/>
      </w:pPr>
      <w:r>
        <w:rPr>
          <w:i/>
          <w:sz w:val="24"/>
        </w:rPr>
        <w:t>Joint Proposal — MaiaEdge (Technology) + Pearce (Engineering Professional Services)</w:t>
      </w:r>
    </w:p>
    <w:p>
      <w:pPr>
        <w:jc w:val="center"/>
      </w:pPr>
      <w:r>
        <w:rPr>
          <w:color w:val="707070"/>
          <w:sz w:val="20"/>
        </w:rPr>
        <w:t>Prepared for: Nexus Data Centers, LLC</w:t>
        <w:br/>
        <w:t>April 2026  |  Confidential Working Draft</w:t>
      </w:r>
    </w:p>
    <w:p/>
    <w:p>
      <w:r>
        <w:rPr>
          <w:i/>
          <w:color w:val="707070"/>
          <w:sz w:val="18"/>
        </w:rPr>
        <w:t>Note to internal team: This is a working outline for the MaiaEdge + Pearce response to Nexus's informal quote request. Sections with [TBD] are placeholders to be completed after internal alignment and any clarifying conversations with Nexus. Nothing in this draft should be shared externally without review.</w:t>
      </w:r>
    </w:p>
    <w:p>
      <w:r>
        <w:br w:type="page"/>
      </w:r>
    </w:p>
    <w:p>
      <w:pPr>
        <w:pStyle w:val="Heading1"/>
      </w:pPr>
      <w:r>
        <w:rPr>
          <w:color w:val="0B1F3A"/>
        </w:rPr>
        <w:t>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Understanding of the Opportunity</w:t>
      </w:r>
    </w:p>
    <w:p>
      <w:pPr>
        <w:spacing w:after="40"/>
      </w:pPr>
      <w:r>
        <w:t>3. Solution Overview and Phasing</w:t>
      </w:r>
    </w:p>
    <w:p>
      <w:pPr>
        <w:spacing w:after="40"/>
      </w:pPr>
      <w:r>
        <w:t>4. Phase 1 Scope — MMR Cross-Connect Platform</w:t>
      </w:r>
    </w:p>
    <w:p>
      <w:pPr>
        <w:spacing w:after="40"/>
      </w:pPr>
      <w:r>
        <w:t>5. Division of Responsibility — MaiaEdge + Pearce</w:t>
      </w:r>
    </w:p>
    <w:p>
      <w:pPr>
        <w:spacing w:after="40"/>
      </w:pPr>
      <w:r>
        <w:t>6. Future-Phase Optionality</w:t>
      </w:r>
    </w:p>
    <w:p>
      <w:pPr>
        <w:spacing w:after="40"/>
      </w:pPr>
      <w:r>
        <w:t>7. Commercial Structure</w:t>
      </w:r>
    </w:p>
    <w:p>
      <w:pPr>
        <w:spacing w:after="40"/>
      </w:pPr>
      <w:r>
        <w:t>8. Project Schedule and Delivery</w:t>
      </w:r>
    </w:p>
    <w:p>
      <w:pPr>
        <w:spacing w:after="40"/>
      </w:pPr>
      <w:r>
        <w:t>9. Assumptions, Dependencies, and Exclusions</w:t>
      </w:r>
    </w:p>
    <w:p>
      <w:pPr>
        <w:spacing w:after="40"/>
      </w:pPr>
      <w:r>
        <w:t>10. Clarifying Questions for Nexus</w:t>
      </w:r>
    </w:p>
    <w:p>
      <w:pPr>
        <w:spacing w:after="40"/>
      </w:pPr>
      <w:r>
        <w:t>11. Team, Qualifications, and References</w:t>
      </w:r>
    </w:p>
    <w:p>
      <w:pPr>
        <w:spacing w:after="40"/>
      </w:pPr>
      <w:r>
        <w:t>Appendices</w:t>
      </w:r>
    </w:p>
    <w:p>
      <w:r>
        <w:br w:type="page"/>
      </w:r>
    </w:p>
    <w:p>
      <w:pPr>
        <w:pStyle w:val="Heading1"/>
      </w:pPr>
      <w:r>
        <w:rPr>
          <w:color w:val="0B1F3A"/>
        </w:rPr>
        <w:t>1. Executive Summary</w:t>
      </w:r>
    </w:p>
    <w:p>
      <w:r>
        <w:t>Nexus Hubbard is positioned to become the second-largest U.S. Internet Exchange Point by aggregated fiber, the network gravity center for a 7+ GW AI hyperscale campus, and a durable recurring-revenue platform built on interconnection. The starting point for that platform is a reliable, carrier-neutral Meet-Me Room (MMR) environment that can patch any carrier to any tenant on demand, at scale.</w:t>
      </w:r>
    </w:p>
    <w:p>
      <w:r>
        <w:t>MaiaEdge and Pearce are pleased to submit this joint proposal for the Phase 1 MMR cross-connect platform in the Nexus Hubbard Carrier Hotel. MaiaEdge provides the network architecture, active equipment, and operational tooling; Pearce provides engineering, racks, fiber layout, cabling, and field deployment. Together we deliver a single point of accountability from design through turn-up.</w:t>
      </w:r>
    </w:p>
    <w:p>
      <w:pPr>
        <w:pStyle w:val="Heading2"/>
      </w:pPr>
      <w:r>
        <w:rPr>
          <w:color w:val="0B1F3A"/>
        </w:rPr>
        <w:t>Why MaiaEdge + Pearce</w:t>
      </w:r>
    </w:p>
    <w:p>
      <w:pPr>
        <w:pStyle w:val="ListBullet"/>
      </w:pPr>
      <w:r>
        <w:t>Single-team accountability: one integrated design, one deployment plan, one commissioning handoff.</w:t>
      </w:r>
    </w:p>
    <w:p>
      <w:pPr>
        <w:pStyle w:val="ListBullet"/>
      </w:pPr>
      <w:r>
        <w:t>Phase 1 done right, Phase 2+ pre-engineered: the MMR we build supports future IXP fabric, backbone DWDM, and campus east-west growth without re-work.</w:t>
      </w:r>
    </w:p>
    <w:p>
      <w:pPr>
        <w:pStyle w:val="ListBullet"/>
      </w:pPr>
      <w:r>
        <w:t>Carrier-neutral by design: open pathways, equal treatment of carriers, and tenant-portable cross-connects.</w:t>
      </w:r>
    </w:p>
    <w:p>
      <w:pPr>
        <w:pStyle w:val="ListBullet"/>
      </w:pPr>
      <w:r>
        <w:t>Matched to Nexus's commercial model: platform supports cross-connect, carrier cage leasing, IX participation, dark fiber, and wavelength services as Nexus elects to monetize each.</w:t>
      </w:r>
    </w:p>
    <w:p>
      <w:pPr>
        <w:pStyle w:val="Heading1"/>
      </w:pPr>
      <w:r>
        <w:rPr>
          <w:color w:val="0B1F3A"/>
        </w:rPr>
        <w:t>2. Understanding of the Opportunity</w:t>
      </w:r>
    </w:p>
    <w:p>
      <w:r>
        <w:t>Our read of the two Nexus-authored reference documents (Carrier Hotel Basis of Design, Dec 2025; Fiber &amp; Interconnection Strategy, Feb 2026) frames the opportunity as follows:</w:t>
      </w:r>
    </w:p>
    <w:p>
      <w:pPr>
        <w:pStyle w:val="Heading2"/>
      </w:pPr>
      <w:r>
        <w:rPr>
          <w:color w:val="0B1F3A"/>
        </w:rPr>
        <w:t>2.1 Facility profile (from BoD)</w:t>
      </w:r>
    </w:p>
    <w:p>
      <w:pPr>
        <w:pStyle w:val="ListBullet"/>
      </w:pPr>
      <w:r>
        <w:t>487,500 SF single-story carrier hotel; 50 MW IT load across five 10 MW phases.</w:t>
      </w:r>
    </w:p>
    <w:p>
      <w:pPr>
        <w:pStyle w:val="ListBullet"/>
      </w:pPr>
      <w:r>
        <w:t>~3,500 cabinets, 500+ tenant organizations, month-to-month lease flexibility.</w:t>
      </w:r>
    </w:p>
    <w:p>
      <w:pPr>
        <w:pStyle w:val="ListBullet"/>
      </w:pPr>
      <w:r>
        <w:t>Two independent Meet-Me Rooms (MMR-A and MMR-B), 12,000 SF each, with diverse fiber routing.</w:t>
      </w:r>
    </w:p>
    <w:p>
      <w:pPr>
        <w:pStyle w:val="ListBullet"/>
      </w:pPr>
      <w:r>
        <w:t>Dedicated IXP Equipment Room (2,000 SF); Cross-Connect Fields (8,000 SF); Carrier Cages (15,000 SF).</w:t>
      </w:r>
    </w:p>
    <w:p>
      <w:pPr>
        <w:pStyle w:val="ListBullet"/>
      </w:pPr>
      <w:r>
        <w:t>Two diverse Fiber Entry Rooms (FER-A and FER-B), 500 SF each, at opposite ends of the building.</w:t>
      </w:r>
    </w:p>
    <w:p>
      <w:pPr>
        <w:pStyle w:val="ListBullet"/>
      </w:pPr>
      <w:r>
        <w:t>2N power to carrier cages; N+1 chilled-water cooling; Tier-4 physical security on MMR entries.</w:t>
      </w:r>
    </w:p>
    <w:p>
      <w:pPr>
        <w:pStyle w:val="ListBullet"/>
      </w:pPr>
      <w:r>
        <w:t>Compliance baseline: ANSI/TIA-942, TIA-568, TIA-569, TIA-606-C, TIA-607-B, TIA-758, BICSI 002/TDMM.</w:t>
      </w:r>
    </w:p>
    <w:p>
      <w:pPr>
        <w:pStyle w:val="Heading2"/>
      </w:pPr>
      <w:r>
        <w:rPr>
          <w:color w:val="0B1F3A"/>
        </w:rPr>
        <w:t>2.2 Interconnection ambition (from Strategy doc)</w:t>
      </w:r>
    </w:p>
    <w:p>
      <w:pPr>
        <w:pStyle w:val="ListBullet"/>
      </w:pPr>
      <w:r>
        <w:t>~11,600 aggregated fiber strands at full buildout — ranked #2 U.S. IXP behind Ashburn.</w:t>
      </w:r>
    </w:p>
    <w:p>
      <w:pPr>
        <w:pStyle w:val="ListBullet"/>
      </w:pPr>
      <w:r>
        <w:t>13+ carriers with NDAs (Verizon, AT&amp;T, Uniti, Databank, Fidium, FiberLight, Zayo, Lumen, Segra, Astound, NextLink, Flow Networks in progress).</w:t>
      </w:r>
    </w:p>
    <w:p>
      <w:pPr>
        <w:pStyle w:val="ListBullet"/>
      </w:pPr>
      <w:r>
        <w:t>Radial backbone to Waco, Corsicana, Hillsboro, Hubbard — 2,880 fibers per route into DFW, Houston, Austin, San Antonio, and beyond.</w:t>
      </w:r>
    </w:p>
    <w:p>
      <w:pPr>
        <w:pStyle w:val="ListBullet"/>
      </w:pPr>
      <w:r>
        <w:t>Nexus Data Centers, LLC pursuing CLEC and SPCOA designation with the Texas PUC.</w:t>
      </w:r>
    </w:p>
    <w:p>
      <w:pPr>
        <w:pStyle w:val="ListBullet"/>
      </w:pPr>
      <w:r>
        <w:t>Target services: private peering, public peering (IXP), cross-connects, dark fiber, wavelength, and managed network services.</w:t>
      </w:r>
    </w:p>
    <w:p>
      <w:pPr>
        <w:pStyle w:val="Heading2"/>
      </w:pPr>
      <w:r>
        <w:rPr>
          <w:color w:val="0B1F3A"/>
        </w:rPr>
        <w:t>2.3 Phase 1 ask (confirmed with Nexus)</w:t>
      </w:r>
    </w:p>
    <w:p>
      <w:r>
        <w:t>Nexus has requested a quote for basic cross-connect capability — the ability to patch any carrier handoff to any tenant cabinet through the MMRs. This proposal is scoped tightly to that Phase 1 outcome and explicitly preserves optionality for IXP switching, backbone DCI, and campus east-west fabric in later phases.</w:t>
      </w:r>
    </w:p>
    <w:p>
      <w:pPr>
        <w:pStyle w:val="Heading1"/>
      </w:pPr>
      <w:r>
        <w:rPr>
          <w:color w:val="0B1F3A"/>
        </w:rPr>
        <w:t>3. Solution Overview and Phasing</w:t>
      </w:r>
    </w:p>
    <w:p>
      <w:r>
        <w:t>We propose a four-phase roadmap. Only Phase 1 is priced in this response; Phases 2-4 are described to demonstrate that Phase 1 design decisions protect future optionality.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B1F3A"/>
            <w:vAlign w:val="top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736"/>
            <w:shd w:val="clear" w:color="auto" w:fill="0B1F3A"/>
            <w:vAlign w:val="top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160"/>
            <w:shd w:val="clear" w:color="auto" w:fill="0B1F3A"/>
            <w:vAlign w:val="top"/>
          </w:tcPr>
          <w:p>
            <w:r/>
            <w:r>
              <w:rPr>
                <w:b/>
                <w:color w:val="FFFFFF"/>
                <w:sz w:val="18"/>
              </w:rPr>
              <w:t>Primary Driver</w:t>
            </w:r>
          </w:p>
        </w:tc>
        <w:tc>
          <w:tcPr>
            <w:tcW w:type="dxa" w:w="3168"/>
            <w:shd w:val="clear" w:color="auto" w:fill="0B1F3A"/>
            <w:vAlign w:val="top"/>
          </w:tcPr>
          <w:p>
            <w:r/>
            <w:r>
              <w:rPr>
                <w:b/>
                <w:color w:val="FFFFFF"/>
                <w:sz w:val="18"/>
              </w:rPr>
              <w:t>MaiaEdge Role</w:t>
            </w:r>
          </w:p>
        </w:tc>
        <w:tc>
          <w:tcPr>
            <w:tcW w:type="dxa" w:w="2592"/>
            <w:shd w:val="clear" w:color="auto" w:fill="0B1F3A"/>
            <w:vAlign w:val="top"/>
          </w:tcPr>
          <w:p>
            <w:r/>
            <w:r>
              <w:rPr>
                <w:b/>
                <w:color w:val="FFFFFF"/>
                <w:sz w:val="18"/>
              </w:rPr>
              <w:t>Pearce Role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sz w:val="18"/>
              </w:rPr>
              <w:t>1 — MMR Cross-Connect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sz w:val="18"/>
              </w:rPr>
              <w:t>Passive + active carrier-to-tenant patching across MMR-A/B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sz w:val="18"/>
              </w:rPr>
              <w:t>Launch revenue: cross-connects online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sz w:val="18"/>
              </w:rPr>
              <w:t>Fiber termination platform, management/OSS, [optional] active L1/L2 cross-connect fabric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sz w:val="18"/>
              </w:rPr>
              <w:t>Racks, cable tray, fiber layout, terminations, labeling, commissioning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sz w:val="18"/>
              </w:rPr>
              <w:t>2 — IXP Fabric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sz w:val="18"/>
              </w:rPr>
              <w:t>Public peering LAN, route servers, IX portal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sz w:val="18"/>
              </w:rPr>
              <w:t>Monetize multilateral peering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sz w:val="18"/>
              </w:rPr>
              <w:t>Peering switch platform, route-server stack, IX 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sz w:val="18"/>
              </w:rPr>
              <w:t>Rack/stack, interconnects to MMRs, cabling to peering carriers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sz w:val="18"/>
              </w:rPr>
              <w:t>3 — Backbone DCI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sz w:val="18"/>
              </w:rPr>
              <w:t>DWDM / coherent optics on the 4 radial routes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sz w:val="18"/>
              </w:rPr>
              <w:t>Wavelength and transport services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sz w:val="18"/>
              </w:rPr>
              <w:t>Optical line systems, transponders, network management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sz w:val="18"/>
              </w:rPr>
              <w:t>OSP splicing coordination, ILA huts, rack/stack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sz w:val="18"/>
              </w:rPr>
              <w:t>4 — Campus East-West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sz w:val="18"/>
              </w:rPr>
              <w:t>High-capacity DCI to AI halls and Neocloud clusters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sz w:val="18"/>
              </w:rPr>
              <w:t>AI traffic support, hyperscaler tenants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sz w:val="18"/>
              </w:rPr>
              <w:t>400G/800G spine-leaf or DCI platform, segmentation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sz w:val="18"/>
              </w:rPr>
              <w:t>Campus fiber plant build-out, cabling, splicing</w:t>
            </w:r>
          </w:p>
        </w:tc>
      </w:tr>
    </w:tbl>
    <w:p>
      <w:pPr>
        <w:pStyle w:val="Heading1"/>
      </w:pPr>
      <w:r>
        <w:rPr>
          <w:color w:val="0B1F3A"/>
        </w:rPr>
        <w:t>4. Phase 1 Scope — MMR Cross-Connect Platform</w:t>
      </w:r>
    </w:p>
    <w:p>
      <w:pPr>
        <w:pStyle w:val="Heading2"/>
      </w:pPr>
      <w:r>
        <w:rPr>
          <w:color w:val="0B1F3A"/>
        </w:rPr>
        <w:t>4.1 Outcome Nexus receives</w:t>
      </w:r>
    </w:p>
    <w:p>
      <w:pPr>
        <w:pStyle w:val="ListBullet"/>
      </w:pPr>
      <w:r>
        <w:t>Any-to-any carrier-to-tenant cross-connect capability across MMR-A and MMR-B on day one of Phase 1 IT load.</w:t>
      </w:r>
    </w:p>
    <w:p>
      <w:pPr>
        <w:pStyle w:val="ListBullet"/>
      </w:pPr>
      <w:r>
        <w:t>High-density, labeled, test-certified fiber termination infrastructure that scales to the ~11,600-strand target.</w:t>
      </w:r>
    </w:p>
    <w:p>
      <w:pPr>
        <w:pStyle w:val="ListBullet"/>
      </w:pPr>
      <w:r>
        <w:t>A managed inventory of every strand, patch, and port — queryable by Nexus operations and auditable for tenants.</w:t>
      </w:r>
    </w:p>
    <w:p>
      <w:pPr>
        <w:pStyle w:val="ListBullet"/>
      </w:pPr>
      <w:r>
        <w:t>Diverse, carrier-neutral pathways from FER-A/FER-B to MMR-A/MMR-B, with redundancy for any single fiber path.</w:t>
      </w:r>
    </w:p>
    <w:p>
      <w:pPr>
        <w:pStyle w:val="ListBullet"/>
      </w:pPr>
      <w:r>
        <w:t>A documented, repeatable provisioning process for new cross-connect orders — from carrier handoff to tenant cabinet.</w:t>
      </w:r>
    </w:p>
    <w:p>
      <w:pPr>
        <w:pStyle w:val="Heading2"/>
      </w:pPr>
      <w:r>
        <w:rPr>
          <w:color w:val="0B1F3A"/>
        </w:rPr>
        <w:t>4.2 Functional requirements</w:t>
      </w:r>
    </w:p>
    <w:p>
      <w:pPr>
        <w:pStyle w:val="ListBullet"/>
      </w:pPr>
      <w:r>
        <w:t>Support single-mode fiber cross-connects at LC and SC termination (extendable to MPO as needed).</w:t>
      </w:r>
    </w:p>
    <w:p>
      <w:pPr>
        <w:pStyle w:val="ListBullet"/>
      </w:pPr>
      <w:r>
        <w:t>Support copper cross-connects where required (Cat 6A minimum).</w:t>
      </w:r>
    </w:p>
    <w:p>
      <w:pPr>
        <w:pStyle w:val="ListBullet"/>
      </w:pPr>
      <w:r>
        <w:t>Dual MMR topology with diverse paths: no single fiber path, panel, or pathway can sever carrier-to-tenant reach.</w:t>
      </w:r>
    </w:p>
    <w:p>
      <w:pPr>
        <w:pStyle w:val="ListBullet"/>
      </w:pPr>
      <w:r>
        <w:t>Provisioning under Tier-4 access control: cross-connect work executed by authorized personnel, logged, with escort where Nexus policy requires.</w:t>
      </w:r>
    </w:p>
    <w:p>
      <w:pPr>
        <w:pStyle w:val="ListBullet"/>
      </w:pPr>
      <w:r>
        <w:t>Inventory and labeling compliant with ANSI/TIA-606-C.</w:t>
      </w:r>
    </w:p>
    <w:p>
      <w:pPr>
        <w:pStyle w:val="ListBullet"/>
      </w:pPr>
      <w:r>
        <w:t>Capacity planning that assumes 50% fill at initial install, 100% fill at Phase 1 buildout (per BoD pathway sizing).</w:t>
      </w:r>
    </w:p>
    <w:p>
      <w:pPr>
        <w:pStyle w:val="Heading2"/>
      </w:pPr>
      <w:r>
        <w:rPr>
          <w:color w:val="0B1F3A"/>
        </w:rPr>
        <w:t>4.3 Technical architecture (proposed)</w:t>
      </w:r>
    </w:p>
    <w:p>
      <w:r>
        <w:t>We will finalize the architecture jointly with Nexus, but the proposed Phase 1 reference design is:</w:t>
      </w:r>
    </w:p>
    <w:p>
      <w:pPr>
        <w:pStyle w:val="ListBullet"/>
      </w:pPr>
      <w:r>
        <w:t>Carrier handoffs land in carrier cages and terminate on MaiaEdge high-density fiber distribution panels (HD-FDPs) within MMR-A or MMR-B as elected by each carrier.</w:t>
      </w:r>
    </w:p>
    <w:p>
      <w:pPr>
        <w:pStyle w:val="ListBullet"/>
      </w:pPr>
      <w:r>
        <w:t>Tenant hand-offs terminate on matching HD-FDPs within the MMR closest to the tenant suite.</w:t>
      </w:r>
    </w:p>
    <w:p>
      <w:pPr>
        <w:pStyle w:val="ListBullet"/>
      </w:pPr>
      <w:r>
        <w:t>Cross-connects ride dedicated overhead ladder tray (Pearce scope) between carrier panels and tenant panels. Patch cords are managed via D-rings and waterfall adapters with controlled bend radius.</w:t>
      </w:r>
    </w:p>
    <w:p>
      <w:pPr>
        <w:pStyle w:val="ListBullet"/>
      </w:pPr>
      <w:r>
        <w:t>An MMR-A to MMR-B interconnect trunk (minimum 864-strand, split across ≥3 feet of pathway diversity) ensures any carrier in MMR-A can reach any tenant in MMR-B and vice versa.</w:t>
      </w:r>
    </w:p>
    <w:p>
      <w:pPr>
        <w:pStyle w:val="ListBullet"/>
      </w:pPr>
      <w:r>
        <w:t>[Option A — Passive only] All cross-connects executed manually by certified field techs, tracked in the MaiaEdge DCIM/inventory platform.</w:t>
      </w:r>
    </w:p>
    <w:p>
      <w:pPr>
        <w:pStyle w:val="ListBullet"/>
      </w:pPr>
      <w:r>
        <w:t>[Option B — Passive + Active L1/L2 fabric] An MaiaEdge-managed optical/Layer-2 cross-connect fabric provides software-driven provisioning for tenants wanting elastic connectivity (VLAN/EVPL) without waiting on physical patching. Differentiates Nexus vs. legacy carrier hotels. [To confirm with Nexus commercial team.]</w:t>
      </w:r>
    </w:p>
    <w:p>
      <w:pPr>
        <w:pStyle w:val="Heading2"/>
      </w:pPr>
      <w:r>
        <w:rPr>
          <w:color w:val="0B1F3A"/>
        </w:rPr>
        <w:t>4.4 MaiaEdge deliverables</w:t>
      </w:r>
    </w:p>
    <w:p>
      <w:pPr>
        <w:pStyle w:val="ListBullet"/>
      </w:pPr>
      <w:r>
        <w:t>Phase 1 low-level network design document, including MMR floor plans, panel layouts, and cross-connect pathways.</w:t>
      </w:r>
    </w:p>
    <w:p>
      <w:pPr>
        <w:pStyle w:val="ListBullet"/>
      </w:pPr>
      <w:r>
        <w:t>Bill of materials for all MaiaEdge-supplied equipment (fiber distribution panels, splice modules, patch cords, labeling system, [optional] active cross-connect switches).</w:t>
      </w:r>
    </w:p>
    <w:p>
      <w:pPr>
        <w:pStyle w:val="ListBullet"/>
      </w:pPr>
      <w:r>
        <w:t>DCIM / cross-connect inventory and provisioning platform — seeded with Phase 1 fiber plant and carrier handoffs.</w:t>
      </w:r>
    </w:p>
    <w:p>
      <w:pPr>
        <w:pStyle w:val="ListBullet"/>
      </w:pPr>
      <w:r>
        <w:t>Factory acceptance testing and shipping coordination.</w:t>
      </w:r>
    </w:p>
    <w:p>
      <w:pPr>
        <w:pStyle w:val="ListBullet"/>
      </w:pPr>
      <w:r>
        <w:t>Commissioning, turn-up, and as-built documentation hand-off.</w:t>
      </w:r>
    </w:p>
    <w:p>
      <w:pPr>
        <w:pStyle w:val="ListBullet"/>
      </w:pPr>
      <w:r>
        <w:t>Knowledge transfer and training for Nexus and/or Pearce field operations staff.</w:t>
      </w:r>
    </w:p>
    <w:p>
      <w:pPr>
        <w:pStyle w:val="Heading2"/>
      </w:pPr>
      <w:r>
        <w:rPr>
          <w:color w:val="0B1F3A"/>
        </w:rPr>
        <w:t>4.5 Pearce deliverables</w:t>
      </w:r>
    </w:p>
    <w:p>
      <w:pPr>
        <w:pStyle w:val="ListBullet"/>
      </w:pPr>
      <w:r>
        <w:t>MMR and Fiber Entry Room physical layout engineering (racks, ladder tray, fiber pathways, grounding).</w:t>
      </w:r>
    </w:p>
    <w:p>
      <w:pPr>
        <w:pStyle w:val="ListBullet"/>
      </w:pPr>
      <w:r>
        <w:t>Rack and cabinet installation per MaiaEdge panel plan.</w:t>
      </w:r>
    </w:p>
    <w:p>
      <w:pPr>
        <w:pStyle w:val="ListBullet"/>
      </w:pPr>
      <w:r>
        <w:t>Inside plant (ISP) fiber cabling from FER-A/FER-B to MMR-A/MMR-B, including any MMR-A ↔ MMR-B trunking.</w:t>
      </w:r>
    </w:p>
    <w:p>
      <w:pPr>
        <w:pStyle w:val="ListBullet"/>
      </w:pPr>
      <w:r>
        <w:t>Fiber splicing, termination, and bidirectional OTDR + insertion-loss testing to TIA-568 thresholds.</w:t>
      </w:r>
    </w:p>
    <w:p>
      <w:pPr>
        <w:pStyle w:val="ListBullet"/>
      </w:pPr>
      <w:r>
        <w:t>TIA-606-C labeling of racks, panels, ports, and fibers.</w:t>
      </w:r>
    </w:p>
    <w:p>
      <w:pPr>
        <w:pStyle w:val="ListBullet"/>
      </w:pPr>
      <w:r>
        <w:t>Coordination with carrier OSP providers at the FER demarcation.</w:t>
      </w:r>
    </w:p>
    <w:p>
      <w:pPr>
        <w:pStyle w:val="ListBullet"/>
      </w:pPr>
      <w:r>
        <w:t>Site supervision, safety, and project management during physical install.</w:t>
      </w:r>
    </w:p>
    <w:p>
      <w:pPr>
        <w:pStyle w:val="Heading1"/>
      </w:pPr>
      <w:r>
        <w:rPr>
          <w:color w:val="0B1F3A"/>
        </w:rPr>
        <w:t>5. Division of Responsibility — MaiaEdge + Pearce</w:t>
      </w:r>
    </w:p>
    <w:p>
      <w:r>
        <w:t>The table below is a starting RACI for Phase 1. We will refine it jointly during kickoff.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752"/>
            <w:shd w:val="clear" w:color="auto" w:fill="0B1F3A"/>
            <w:vAlign w:val="top"/>
          </w:tcPr>
          <w:p>
            <w:r/>
            <w:r>
              <w:rPr>
                <w:b/>
                <w:color w:val="FFFFFF"/>
                <w:sz w:val="18"/>
              </w:rPr>
              <w:t>Work Stream</w:t>
            </w:r>
          </w:p>
        </w:tc>
        <w:tc>
          <w:tcPr>
            <w:tcW w:type="dxa" w:w="2016"/>
            <w:shd w:val="clear" w:color="auto" w:fill="0B1F3A"/>
            <w:vAlign w:val="top"/>
          </w:tcPr>
          <w:p>
            <w:r/>
            <w:r>
              <w:rPr>
                <w:b/>
                <w:color w:val="FFFFFF"/>
                <w:sz w:val="18"/>
              </w:rPr>
              <w:t>MaiaEdge</w:t>
            </w:r>
          </w:p>
        </w:tc>
        <w:tc>
          <w:tcPr>
            <w:tcW w:type="dxa" w:w="2016"/>
            <w:shd w:val="clear" w:color="auto" w:fill="0B1F3A"/>
            <w:vAlign w:val="top"/>
          </w:tcPr>
          <w:p>
            <w:r/>
            <w:r>
              <w:rPr>
                <w:b/>
                <w:color w:val="FFFFFF"/>
                <w:sz w:val="18"/>
              </w:rPr>
              <w:t>Pearce</w:t>
            </w:r>
          </w:p>
        </w:tc>
        <w:tc>
          <w:tcPr>
            <w:tcW w:type="dxa" w:w="2016"/>
            <w:shd w:val="clear" w:color="auto" w:fill="0B1F3A"/>
            <w:vAlign w:val="top"/>
          </w:tcPr>
          <w:p>
            <w:r/>
            <w:r>
              <w:rPr>
                <w:b/>
                <w:color w:val="FFFFFF"/>
                <w:sz w:val="18"/>
              </w:rPr>
              <w:t>Nexus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sz w:val="18"/>
              </w:rPr>
              <w:t>MMR network architecture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Responsible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Consulted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Approves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sz w:val="18"/>
              </w:rPr>
              <w:t>Equipment specification (panels, patches, DCIM, active elements)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Responsible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Consulted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Approves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sz w:val="18"/>
              </w:rPr>
              <w:t>Fiber pathway engineering (tray, conduit)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Consulted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Responsible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Approves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sz w:val="18"/>
              </w:rPr>
              <w:t>Rack and cabinet install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Informed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Responsible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Approves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sz w:val="18"/>
              </w:rPr>
              <w:t>Inside-plant fiber build and splicing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Informed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Responsible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Approves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sz w:val="18"/>
              </w:rPr>
              <w:t>Testing and certification (ISP fiber)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Informed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Responsible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Approves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sz w:val="18"/>
              </w:rPr>
              <w:t>DCIM / inventory platform stand-up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Responsible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Informed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Approves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sz w:val="18"/>
              </w:rPr>
              <w:t>Cross-connect provisioning workflow (process design)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Responsible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Consulted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Approves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sz w:val="18"/>
              </w:rPr>
              <w:t>Commissioning and turn-up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Responsible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Responsible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Approves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sz w:val="18"/>
              </w:rPr>
              <w:t>As-built documentation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Responsible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Contributes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Owns upon handoff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sz w:val="18"/>
              </w:rPr>
              <w:t>Phase 1 operations (post-handoff)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Optional (managed)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Optional (dispatch)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sz w:val="18"/>
              </w:rPr>
              <w:t>Owns</w:t>
            </w:r>
          </w:p>
        </w:tc>
      </w:tr>
    </w:tbl>
    <w:p>
      <w:pPr>
        <w:pStyle w:val="Heading1"/>
      </w:pPr>
      <w:r>
        <w:rPr>
          <w:color w:val="0B1F3A"/>
        </w:rPr>
        <w:t>6. Future-Phase Optionality</w:t>
      </w:r>
    </w:p>
    <w:p>
      <w:r>
        <w:t>Phase 1 is priced as a standalone scope. The decisions we make in Phase 1 — panel density, pathway sizing, DCIM data model, and MMR-to-MMR trunking — are chosen specifically to avoid re-work when Nexus is ready for Phases 2-4. We will flag any decision point where Phase 1 cost could be reduced at the expense of Phase 2+ readiness so Nexus can make the commercial trade-off explicitly.</w:t>
      </w:r>
    </w:p>
    <w:p>
      <w:pPr>
        <w:pStyle w:val="ListBullet"/>
      </w:pPr>
      <w:r>
        <w:t>Phase 2 (IXP fabric): reserved rack positions in the IXP Equipment Room; MMR handoffs sized for peering-router uplinks.</w:t>
      </w:r>
    </w:p>
    <w:p>
      <w:pPr>
        <w:pStyle w:val="ListBullet"/>
      </w:pPr>
      <w:r>
        <w:t>Phase 3 (Backbone DCI): FER-A/FER-B pathway sizing preserves capacity for DWDM line systems on Waco, Corsicana, Hillsboro, Hubbard routes.</w:t>
      </w:r>
    </w:p>
    <w:p>
      <w:pPr>
        <w:pStyle w:val="ListBullet"/>
      </w:pPr>
      <w:r>
        <w:t>Phase 4 (Campus east-west): MMR-to-AI-hall pathway allowances included in Phase 1 pathway sizing; no re-tray required.</w:t>
      </w:r>
    </w:p>
    <w:p>
      <w:pPr>
        <w:pStyle w:val="Heading1"/>
      </w:pPr>
      <w:r>
        <w:rPr>
          <w:color w:val="0B1F3A"/>
        </w:rPr>
        <w:t>7. Commercial Structure</w:t>
      </w:r>
    </w:p>
    <w:p>
      <w:r>
        <w:t>This section will be finalized once scope is confirmed. Proposed structure:</w:t>
      </w:r>
    </w:p>
    <w:p>
      <w:pPr>
        <w:pStyle w:val="ListBullet"/>
      </w:pPr>
      <w:r>
        <w:t>One-time CapEx: MaiaEdge equipment (line-item BOM), Pearce engineering + installation labor, materials, test and turn-up.</w:t>
      </w:r>
    </w:p>
    <w:p>
      <w:pPr>
        <w:pStyle w:val="ListBullet"/>
      </w:pPr>
      <w:r>
        <w:t>Optional recurring OpEx: DCIM/inventory platform subscription, managed cross-connect ops, remote-hands tiers.</w:t>
      </w:r>
    </w:p>
    <w:p>
      <w:pPr>
        <w:pStyle w:val="ListBullet"/>
      </w:pPr>
      <w:r>
        <w:t>Milestone-based billing tied to: design acceptance, equipment delivery, installation complete, commissioning accepted, as-builts delivered.</w:t>
      </w:r>
    </w:p>
    <w:p>
      <w:pPr>
        <w:pStyle w:val="ListBullet"/>
      </w:pPr>
      <w:r>
        <w:t>Price validity and change-order mechanism: [TBD — 60/90 days recommended].</w:t>
      </w:r>
    </w:p>
    <w:p>
      <w:pPr>
        <w:pStyle w:val="ListBullet"/>
      </w:pPr>
      <w:r>
        <w:t>Warranty: [TBD — equipment manufacturer warranty pass-through + 12-month workmanship on installed plant].</w:t>
      </w:r>
    </w:p>
    <w:p>
      <w:r>
        <w:t>[TBD — Pricing BOM and labor estimate to be inserted once the Phase 1 scope is locked.]</w:t>
      </w:r>
    </w:p>
    <w:p>
      <w:pPr>
        <w:pStyle w:val="Heading1"/>
      </w:pPr>
      <w:r>
        <w:rPr>
          <w:color w:val="0B1F3A"/>
        </w:rPr>
        <w:t>8. Project Schedule and Delivery</w:t>
      </w:r>
    </w:p>
    <w:p>
      <w:r>
        <w:t>Indicative milestones (to be tightened against Nexus's Phase 1 IT-load target date):</w:t>
      </w:r>
    </w:p>
    <w:p>
      <w:pPr>
        <w:pStyle w:val="ListBullet"/>
      </w:pPr>
      <w:r>
        <w:t>T+0: Contract award and kickoff.</w:t>
      </w:r>
    </w:p>
    <w:p>
      <w:pPr>
        <w:pStyle w:val="ListBullet"/>
      </w:pPr>
      <w:r>
        <w:t>T+2 weeks: Joint design workshop with Nexus, MaiaEdge, Pearce.</w:t>
      </w:r>
    </w:p>
    <w:p>
      <w:pPr>
        <w:pStyle w:val="ListBullet"/>
      </w:pPr>
      <w:r>
        <w:t>T+4-6 weeks: Phase 1 low-level design issued for approval; long-lead equipment ordered upon approval.</w:t>
      </w:r>
    </w:p>
    <w:p>
      <w:pPr>
        <w:pStyle w:val="ListBullet"/>
      </w:pPr>
      <w:r>
        <w:t>T+10-14 weeks: Rack, tray, and pathway install complete (Pearce).</w:t>
      </w:r>
    </w:p>
    <w:p>
      <w:pPr>
        <w:pStyle w:val="ListBullet"/>
      </w:pPr>
      <w:r>
        <w:t>T+12-16 weeks: Fiber plant terminated and tested; MaiaEdge panels and DCIM online.</w:t>
      </w:r>
    </w:p>
    <w:p>
      <w:pPr>
        <w:pStyle w:val="ListBullet"/>
      </w:pPr>
      <w:r>
        <w:t>T+14-18 weeks: Commissioning, cross-connect provisioning workflow validated, as-builts delivered.</w:t>
      </w:r>
    </w:p>
    <w:p>
      <w:pPr>
        <w:pStyle w:val="ListBullet"/>
      </w:pPr>
      <w:r>
        <w:t>T+16-20 weeks: Operational handoff; optional managed services engage if elected.</w:t>
      </w:r>
    </w:p>
    <w:p>
      <w:r>
        <w:t>[TBD — align to Nexus's construction critical path and any anchor-tenant commitments.]</w:t>
      </w:r>
    </w:p>
    <w:p>
      <w:pPr>
        <w:pStyle w:val="Heading1"/>
      </w:pPr>
      <w:r>
        <w:rPr>
          <w:color w:val="0B1F3A"/>
        </w:rPr>
        <w:t>9. Assumptions, Dependencies, and Exclusions</w:t>
      </w:r>
    </w:p>
    <w:p>
      <w:pPr>
        <w:pStyle w:val="Heading2"/>
      </w:pPr>
      <w:r>
        <w:rPr>
          <w:color w:val="0B1F3A"/>
        </w:rPr>
        <w:t>9.1 Assumptions</w:t>
      </w:r>
    </w:p>
    <w:p>
      <w:pPr>
        <w:pStyle w:val="ListBullet"/>
      </w:pPr>
      <w:r>
        <w:t>Building shell, MEP, and security systems are delivered per the December 2025 Basis of Design and are complete before MaiaEdge/Pearce install begins.</w:t>
      </w:r>
    </w:p>
    <w:p>
      <w:pPr>
        <w:pStyle w:val="ListBullet"/>
      </w:pPr>
      <w:r>
        <w:t>OSP fiber from carriers terminates in FER-A / FER-B per the Nexus carrier-neutral pathway model; carrier demarcation responsibilities end at the FER.</w:t>
      </w:r>
    </w:p>
    <w:p>
      <w:pPr>
        <w:pStyle w:val="ListBullet"/>
      </w:pPr>
      <w:r>
        <w:t>Nexus provides site access, escort, and security credentials for MaiaEdge and Pearce personnel per Tier-4 MMR policy.</w:t>
      </w:r>
    </w:p>
    <w:p>
      <w:pPr>
        <w:pStyle w:val="ListBullet"/>
      </w:pPr>
      <w:r>
        <w:t>Power, cooling, and fire protection in MMR-A/MMR-B are operational and commissioned prior to equipment turn-up.</w:t>
      </w:r>
    </w:p>
    <w:p>
      <w:pPr>
        <w:pStyle w:val="ListBullet"/>
      </w:pPr>
      <w:r>
        <w:t>Pathway sizing in Phase 1 matches the BoD (24" wide ladder tray, 50% fill target).</w:t>
      </w:r>
    </w:p>
    <w:p>
      <w:pPr>
        <w:pStyle w:val="Heading2"/>
      </w:pPr>
      <w:r>
        <w:rPr>
          <w:color w:val="0B1F3A"/>
        </w:rPr>
        <w:t>9.2 Dependencies (on Nexus)</w:t>
      </w:r>
    </w:p>
    <w:p>
      <w:pPr>
        <w:pStyle w:val="ListBullet"/>
      </w:pPr>
      <w:r>
        <w:t>Final carrier roster and handoff format (LC/SC/MPO, strand count) per carrier.</w:t>
      </w:r>
    </w:p>
    <w:p>
      <w:pPr>
        <w:pStyle w:val="ListBullet"/>
      </w:pPr>
      <w:r>
        <w:t>Initial tenant roster and cabinet assignments for Phase 1 IT load.</w:t>
      </w:r>
    </w:p>
    <w:p>
      <w:pPr>
        <w:pStyle w:val="ListBullet"/>
      </w:pPr>
      <w:r>
        <w:t>DCIM/inventory integration requirements (if any existing Nexus system must be interoperable).</w:t>
      </w:r>
    </w:p>
    <w:p>
      <w:pPr>
        <w:pStyle w:val="ListBullet"/>
      </w:pPr>
      <w:r>
        <w:t>Security and visitor-management procedures for field crews.</w:t>
      </w:r>
    </w:p>
    <w:p>
      <w:pPr>
        <w:pStyle w:val="ListBullet"/>
      </w:pPr>
      <w:r>
        <w:t>Target cutover date for Phase 1 IT load.</w:t>
      </w:r>
    </w:p>
    <w:p>
      <w:pPr>
        <w:pStyle w:val="Heading2"/>
      </w:pPr>
      <w:r>
        <w:rPr>
          <w:color w:val="0B1F3A"/>
        </w:rPr>
        <w:t>9.3 Exclusions</w:t>
      </w:r>
    </w:p>
    <w:p>
      <w:pPr>
        <w:pStyle w:val="ListBullet"/>
      </w:pPr>
      <w:r>
        <w:t>Outside plant fiber from the property line to FER-A/FER-B (carrier scope).</w:t>
      </w:r>
    </w:p>
    <w:p>
      <w:pPr>
        <w:pStyle w:val="ListBullet"/>
      </w:pPr>
      <w:r>
        <w:t>Building electrical, mechanical, fire protection, or security systems (separate trades).</w:t>
      </w:r>
    </w:p>
    <w:p>
      <w:pPr>
        <w:pStyle w:val="ListBullet"/>
      </w:pPr>
      <w:r>
        <w:t>IXP switching fabric, backbone DWDM, and campus east-west DCI (Phases 2-4, not priced in this response).</w:t>
      </w:r>
    </w:p>
    <w:p>
      <w:pPr>
        <w:pStyle w:val="ListBullet"/>
      </w:pPr>
      <w:r>
        <w:t>Tenant-side in-cabinet cabling beyond the tenant demarcation panel.</w:t>
      </w:r>
    </w:p>
    <w:p>
      <w:pPr>
        <w:pStyle w:val="ListBullet"/>
      </w:pPr>
      <w:r>
        <w:t>Permits, bonds, and regulatory filings associated with Nexus's CLEC/SPCOA designation.</w:t>
      </w:r>
    </w:p>
    <w:p>
      <w:pPr>
        <w:pStyle w:val="Heading1"/>
      </w:pPr>
      <w:r>
        <w:rPr>
          <w:color w:val="0B1F3A"/>
        </w:rPr>
        <w:t>10. Clarifying Questions for Nexus</w:t>
      </w:r>
    </w:p>
    <w:p>
      <w:r>
        <w:t>We recommend a 60-90 minute working session to resolve the following before we finalize pricing. Where answers are unavailable today, we will price to a reasonable Phase 1 baseline and note the assumption explicitly.</w:t>
      </w:r>
    </w:p>
    <w:p>
      <w:pPr>
        <w:pStyle w:val="ListBullet"/>
      </w:pPr>
      <w:r>
        <w:t>Confirmed Phase 1 IT-load target date and the anchor tenant(s) that drive it.</w:t>
      </w:r>
    </w:p>
    <w:p>
      <w:pPr>
        <w:pStyle w:val="ListBullet"/>
      </w:pPr>
      <w:r>
        <w:t>Should Phase 1 include the optional active L1/L2 cross-connect fabric (software-defined interconnect), or passive-only?</w:t>
      </w:r>
    </w:p>
    <w:p>
      <w:pPr>
        <w:pStyle w:val="ListBullet"/>
      </w:pPr>
      <w:r>
        <w:t>Does Nexus want MaiaEdge and/or Pearce to operate the cross-connect service post-install (managed ops, remote hands) or hand off to Nexus personnel?</w:t>
      </w:r>
    </w:p>
    <w:p>
      <w:pPr>
        <w:pStyle w:val="ListBullet"/>
      </w:pPr>
      <w:r>
        <w:t>Existing DCIM / OSS tooling at Nexus — any mandatory integrations?</w:t>
      </w:r>
    </w:p>
    <w:p>
      <w:pPr>
        <w:pStyle w:val="ListBullet"/>
      </w:pPr>
      <w:r>
        <w:t>Carrier handoff standard (LC/SC/MPO, strand count per carrier, copper handoffs if any)?</w:t>
      </w:r>
    </w:p>
    <w:p>
      <w:pPr>
        <w:pStyle w:val="ListBullet"/>
      </w:pPr>
      <w:r>
        <w:t>Initial tenant mix — portion of single-cabinet vs. multi-cabinet vs. hyperscaler peering deployments?</w:t>
      </w:r>
    </w:p>
    <w:p>
      <w:pPr>
        <w:pStyle w:val="ListBullet"/>
      </w:pPr>
      <w:r>
        <w:t>Phasing alignment — is the 10 MW Phase 1 IT load the cross-connect sizing driver, or is it tenant count / carrier count?</w:t>
      </w:r>
    </w:p>
    <w:p>
      <w:pPr>
        <w:pStyle w:val="ListBullet"/>
      </w:pPr>
      <w:r>
        <w:t>Preferred commercial model for cross-connect revenue: flat, metered, per-port, or tenant-owned strands?</w:t>
      </w:r>
    </w:p>
    <w:p>
      <w:pPr>
        <w:pStyle w:val="ListBullet"/>
      </w:pPr>
      <w:r>
        <w:t>Budget envelope or not-to-exceed, if any.</w:t>
      </w:r>
    </w:p>
    <w:p>
      <w:pPr>
        <w:pStyle w:val="ListBullet"/>
      </w:pPr>
      <w:r>
        <w:t>Evaluation timeline and decision criteria.</w:t>
      </w:r>
    </w:p>
    <w:p>
      <w:pPr>
        <w:pStyle w:val="Heading1"/>
      </w:pPr>
      <w:r>
        <w:rPr>
          <w:color w:val="0B1F3A"/>
        </w:rPr>
        <w:t>11. Team, Qualifications, and References</w:t>
      </w:r>
    </w:p>
    <w:p>
      <w:r>
        <w:t>[TBD — to be completed by MaiaEdge and Pearce business development teams.]</w:t>
      </w:r>
    </w:p>
    <w:p>
      <w:pPr>
        <w:pStyle w:val="ListBullet"/>
      </w:pPr>
      <w:r>
        <w:t>MaiaEdge project sponsor and delivery lead.</w:t>
      </w:r>
    </w:p>
    <w:p>
      <w:pPr>
        <w:pStyle w:val="ListBullet"/>
      </w:pPr>
      <w:r>
        <w:t>Pearce project sponsor and delivery lead.</w:t>
      </w:r>
    </w:p>
    <w:p>
      <w:pPr>
        <w:pStyle w:val="ListBullet"/>
      </w:pPr>
      <w:r>
        <w:t>Joint steering committee and escalation path.</w:t>
      </w:r>
    </w:p>
    <w:p>
      <w:pPr>
        <w:pStyle w:val="ListBullet"/>
      </w:pPr>
      <w:r>
        <w:t>Relevant reference projects — carrier hotels, IXP builds, hyperscale DCI.</w:t>
      </w:r>
    </w:p>
    <w:p>
      <w:pPr>
        <w:pStyle w:val="ListBullet"/>
      </w:pPr>
      <w:r>
        <w:t>Certifications and insurance.</w:t>
      </w:r>
    </w:p>
    <w:p>
      <w:pPr>
        <w:pStyle w:val="Heading1"/>
      </w:pPr>
      <w:r>
        <w:rPr>
          <w:color w:val="0B1F3A"/>
        </w:rPr>
        <w:t>Appendices</w:t>
      </w:r>
    </w:p>
    <w:p>
      <w:pPr>
        <w:pStyle w:val="ListBullet"/>
      </w:pPr>
      <w:r>
        <w:t>A. Phase 1 BOM (MaiaEdge equipment).</w:t>
      </w:r>
    </w:p>
    <w:p>
      <w:pPr>
        <w:pStyle w:val="ListBullet"/>
      </w:pPr>
      <w:r>
        <w:t>B. Pearce labor and materials estimate.</w:t>
      </w:r>
    </w:p>
    <w:p>
      <w:pPr>
        <w:pStyle w:val="ListBullet"/>
      </w:pPr>
      <w:r>
        <w:t>C. MMR reference drawings and pathway diagrams.</w:t>
      </w:r>
    </w:p>
    <w:p>
      <w:pPr>
        <w:pStyle w:val="ListBullet"/>
      </w:pPr>
      <w:r>
        <w:t>D. Draft Master Services Agreement terms.</w:t>
      </w:r>
    </w:p>
    <w:p>
      <w:pPr>
        <w:pStyle w:val="ListBullet"/>
      </w:pPr>
      <w:r>
        <w:t>E. Draft Statement of Work for Phase 1.</w:t>
      </w:r>
    </w:p>
    <w:p>
      <w:pPr>
        <w:pStyle w:val="ListBullet"/>
      </w:pPr>
      <w:r>
        <w:t>F. Joint team biographies and reference projects.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B1F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