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2377440" cy="679269"/>
            <wp:docPr id="1" name="Picture 1"/>
            <wp:cNvGraphicFramePr>
              <a:graphicFrameLocks noChangeAspect="1"/>
            </wp:cNvGraphicFramePr>
            <a:graphic>
              <a:graphicData uri="http://schemas.openxmlformats.org/drawingml/2006/picture">
                <pic:pic>
                  <pic:nvPicPr>
                    <pic:cNvPr id="0" name="maiaedge_logo.png"/>
                    <pic:cNvPicPr/>
                  </pic:nvPicPr>
                  <pic:blipFill>
                    <a:blip r:embed="rId9"/>
                    <a:stretch>
                      <a:fillRect/>
                    </a:stretch>
                  </pic:blipFill>
                  <pic:spPr>
                    <a:xfrm>
                      <a:off x="0" y="0"/>
                      <a:ext cx="2377440" cy="679269"/>
                    </a:xfrm>
                    <a:prstGeom prst="rect"/>
                  </pic:spPr>
                </pic:pic>
              </a:graphicData>
            </a:graphic>
          </wp:inline>
        </w:drawing>
      </w:r>
    </w:p>
    <w:p>
      <w:pPr>
        <w:spacing w:after="120"/>
        <w:jc w:val="left"/>
      </w:pPr>
      <w:r>
        <w:rPr>
          <w:rFonts w:ascii="Calibri" w:hAnsi="Calibri"/>
          <w:b w:val="0"/>
          <w:i/>
          <w:color w:val="4A4A4A"/>
          <w:sz w:val="20"/>
        </w:rPr>
        <w:t>Network architecture for the AI era</w:t>
      </w:r>
    </w:p>
    <w:p>
      <w:pPr>
        <w:pBdr>
          <w:bottom w:val="single" w:sz="18" w:space="1" w:color="F5B81E"/>
        </w:pBdr>
      </w:pPr>
    </w:p>
    <w:p>
      <w:pPr>
        <w:spacing w:before="240" w:after="0"/>
      </w:pPr>
      <w:r>
        <w:rPr>
          <w:rFonts w:ascii="Calibri" w:hAnsi="Calibri"/>
          <w:b w:val="0"/>
          <w:i w:val="0"/>
          <w:color w:val="1A1A1A"/>
          <w:sz w:val="48"/>
        </w:rPr>
        <w:t>Statement of Work</w:t>
      </w:r>
    </w:p>
    <w:p>
      <w:pPr>
        <w:spacing w:after="0"/>
      </w:pPr>
      <w:r>
        <w:rPr>
          <w:rFonts w:ascii="Calibri" w:hAnsi="Calibri"/>
          <w:b w:val="0"/>
          <w:i w:val="0"/>
          <w:color w:val="F47B20"/>
          <w:sz w:val="28"/>
        </w:rPr>
        <w:t>Nexus Hubbard Carrier Hotel, Phase 1 Meet-Me Room</w:t>
      </w:r>
    </w:p>
    <w:p>
      <w:pPr>
        <w:spacing w:after="160"/>
      </w:pPr>
      <w:r>
        <w:rPr>
          <w:rFonts w:ascii="Calibri" w:hAnsi="Calibri"/>
          <w:b w:val="0"/>
          <w:i/>
          <w:color w:val="4A4A4A"/>
          <w:sz w:val="24"/>
        </w:rPr>
        <w:t>Network Design and Engineering Services</w:t>
      </w:r>
    </w:p>
    <w:tbl>
      <w:tblPr>
        <w:tblW w:type="auto" w:w="0"/>
        <w:tblLayout w:type="fixed"/>
        <w:tblLook w:firstColumn="1" w:firstRow="1" w:lastColumn="0" w:lastRow="0" w:noHBand="0" w:noVBand="1" w:val="04A0"/>
      </w:tblPr>
      <w:tblGrid>
        <w:gridCol w:w="2448"/>
        <w:gridCol w:w="6912"/>
      </w:tblGrid>
      <w:tr>
        <w:tc>
          <w:tcPr>
            <w:tcW w:type="dxa" w:w="244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Client</w:t>
            </w:r>
          </w:p>
        </w:tc>
        <w:tc>
          <w:tcPr>
            <w:tcW w:type="dxa" w:w="69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Nexus Data Centers, LLC</w:t>
            </w:r>
          </w:p>
        </w:tc>
      </w:tr>
      <w:tr>
        <w:tc>
          <w:tcPr>
            <w:tcW w:type="dxa" w:w="2448"/>
            <w:tcBorders>
              <w:top w:val="single" w:sz="6" w:color="EFE4B8"/>
              <w:left w:val="single" w:sz="6" w:color="EFE4B8"/>
              <w:bottom w:val="single" w:sz="6" w:color="EFE4B8"/>
              <w:right w:val="single" w:sz="6" w:color="EFE4B8"/>
            </w:tcBorders>
          </w:tcPr>
          <w:p>
            <w:r/>
            <w:r>
              <w:rPr>
                <w:rFonts w:ascii="Calibri" w:hAnsi="Calibri"/>
                <w:b w:val="0"/>
                <w:i w:val="0"/>
                <w:color w:val="1A1A1A"/>
                <w:sz w:val="20"/>
              </w:rPr>
              <w:t>Service Provider</w:t>
            </w:r>
          </w:p>
        </w:tc>
        <w:tc>
          <w:tcPr>
            <w:tcW w:type="dxa" w:w="6912"/>
            <w:tcBorders>
              <w:top w:val="single" w:sz="6" w:color="EFE4B8"/>
              <w:left w:val="single" w:sz="6" w:color="EFE4B8"/>
              <w:bottom w:val="single" w:sz="6" w:color="EFE4B8"/>
              <w:right w:val="single" w:sz="6" w:color="EFE4B8"/>
            </w:tcBorders>
          </w:tcPr>
          <w:p>
            <w:r/>
            <w:r>
              <w:rPr>
                <w:rFonts w:ascii="Calibri" w:hAnsi="Calibri"/>
                <w:b w:val="0"/>
                <w:i w:val="0"/>
                <w:color w:val="1A1A1A"/>
                <w:sz w:val="20"/>
              </w:rPr>
              <w:t>MaiaEdge, Inc. (Prime), with Pearce (a CBRE company) as engineering services subcontractor</w:t>
            </w:r>
          </w:p>
        </w:tc>
      </w:tr>
      <w:tr>
        <w:tc>
          <w:tcPr>
            <w:tcW w:type="dxa" w:w="244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Effective Date</w:t>
            </w:r>
          </w:p>
        </w:tc>
        <w:tc>
          <w:tcPr>
            <w:tcW w:type="dxa" w:w="69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Upon execution by both parties, targeted May 2026</w:t>
            </w:r>
          </w:p>
        </w:tc>
      </w:tr>
      <w:tr>
        <w:tc>
          <w:tcPr>
            <w:tcW w:type="dxa" w:w="2448"/>
            <w:tcBorders>
              <w:top w:val="single" w:sz="6" w:color="EFE4B8"/>
              <w:left w:val="single" w:sz="6" w:color="EFE4B8"/>
              <w:bottom w:val="single" w:sz="6" w:color="EFE4B8"/>
              <w:right w:val="single" w:sz="6" w:color="EFE4B8"/>
            </w:tcBorders>
          </w:tcPr>
          <w:p>
            <w:r/>
            <w:r>
              <w:rPr>
                <w:rFonts w:ascii="Calibri" w:hAnsi="Calibri"/>
                <w:b w:val="0"/>
                <w:i w:val="0"/>
                <w:color w:val="1A1A1A"/>
                <w:sz w:val="20"/>
              </w:rPr>
              <w:t>Term</w:t>
            </w:r>
          </w:p>
        </w:tc>
        <w:tc>
          <w:tcPr>
            <w:tcW w:type="dxa" w:w="6912"/>
            <w:tcBorders>
              <w:top w:val="single" w:sz="6" w:color="EFE4B8"/>
              <w:left w:val="single" w:sz="6" w:color="EFE4B8"/>
              <w:bottom w:val="single" w:sz="6" w:color="EFE4B8"/>
              <w:right w:val="single" w:sz="6" w:color="EFE4B8"/>
            </w:tcBorders>
          </w:tcPr>
          <w:p>
            <w:r/>
            <w:r>
              <w:rPr>
                <w:rFonts w:ascii="Calibri" w:hAnsi="Calibri"/>
                <w:b w:val="0"/>
                <w:i w:val="0"/>
                <w:color w:val="1A1A1A"/>
                <w:sz w:val="20"/>
              </w:rPr>
              <w:t>Three (3) months from the Effective Date</w:t>
            </w:r>
          </w:p>
        </w:tc>
      </w:tr>
      <w:tr>
        <w:tc>
          <w:tcPr>
            <w:tcW w:type="dxa" w:w="244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Total Fee</w:t>
            </w:r>
          </w:p>
        </w:tc>
        <w:tc>
          <w:tcPr>
            <w:tcW w:type="dxa" w:w="69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$1,000,000 USD, not-to-exceed, milestone-based</w:t>
            </w:r>
          </w:p>
        </w:tc>
      </w:tr>
      <w:tr>
        <w:tc>
          <w:tcPr>
            <w:tcW w:type="dxa" w:w="2448"/>
            <w:tcBorders>
              <w:top w:val="single" w:sz="6" w:color="EFE4B8"/>
              <w:left w:val="single" w:sz="6" w:color="EFE4B8"/>
              <w:bottom w:val="single" w:sz="6" w:color="EFE4B8"/>
              <w:right w:val="single" w:sz="6" w:color="EFE4B8"/>
            </w:tcBorders>
          </w:tcPr>
          <w:p>
            <w:r/>
            <w:r>
              <w:rPr>
                <w:rFonts w:ascii="Calibri" w:hAnsi="Calibri"/>
                <w:b w:val="0"/>
                <w:i w:val="0"/>
                <w:color w:val="1A1A1A"/>
                <w:sz w:val="20"/>
              </w:rPr>
              <w:t>Engineering Target</w:t>
            </w:r>
          </w:p>
        </w:tc>
        <w:tc>
          <w:tcPr>
            <w:tcW w:type="dxa" w:w="6912"/>
            <w:tcBorders>
              <w:top w:val="single" w:sz="6" w:color="EFE4B8"/>
              <w:left w:val="single" w:sz="6" w:color="EFE4B8"/>
              <w:bottom w:val="single" w:sz="6" w:color="EFE4B8"/>
              <w:right w:val="single" w:sz="6" w:color="EFE4B8"/>
            </w:tcBorders>
          </w:tcPr>
          <w:p>
            <w:r/>
            <w:r>
              <w:rPr>
                <w:rFonts w:ascii="Calibri" w:hAnsi="Calibri"/>
                <w:b w:val="0"/>
                <w:i w:val="0"/>
                <w:color w:val="1A1A1A"/>
                <w:sz w:val="20"/>
              </w:rPr>
              <w:t>60% engineering complete at end of term, sufficient to support a GMP / not-to-exceed price for the Phase 1 construction agreement</w:t>
            </w:r>
          </w:p>
        </w:tc>
      </w:tr>
    </w:tbl>
    <w:p>
      <w:pPr>
        <w:spacing w:before="120"/>
      </w:pPr>
      <w:r>
        <w:rPr>
          <w:rFonts w:ascii="Calibri" w:hAnsi="Calibri"/>
          <w:b w:val="0"/>
          <w:i/>
          <w:color w:val="4A4A4A"/>
          <w:sz w:val="20"/>
        </w:rPr>
        <w:t>Working draft for review with Nexus on May 1, 2026.</w:t>
      </w:r>
    </w:p>
    <w:p>
      <w:pPr>
        <w:pStyle w:val="Heading1"/>
      </w:pPr>
      <w:r>
        <w:t>1. Background</w:t>
      </w:r>
    </w:p>
    <w:p>
      <w:pPr>
        <w:spacing w:after="120"/>
      </w:pPr>
      <w:r>
        <w:t>Nexus Data Centers is developing a 487,500 square foot, 50 MW carrier hotel at the Hubbard, Texas campus to serve as the network gravity center for a 7+ GW AI hyperscale build. Phase 1 comprises the carrier hotel and the first four data center buildings under contract, with an architecture designed to scale to approximately sixty-five buildings at full campus buildout.</w:t>
      </w:r>
    </w:p>
    <w:p>
      <w:pPr>
        <w:spacing w:after="120"/>
      </w:pPr>
      <w:r>
        <w:t>The carrier hotel will aggregate fiber from the campus carrier roster, support the campus Tier-1 Internet Exchange, and deliver any-to-any cross-connect capability between carrier handoffs and tenant data hall buildings. Outside-plant fiber, both off-site and on-site to the four buildings, and direct coordination with the carrier roster, are being delivered by Nexus's OSP and dark-fiber partner under a separate agreement. MaiaEdge engineering picks up at the OSP partner demarcation.</w:t>
      </w:r>
    </w:p>
    <w:p>
      <w:pPr>
        <w:spacing w:after="120"/>
      </w:pPr>
      <w:r>
        <w:t>Nexus has requested that MaiaEdge and Pearce begin design and engineering immediately under a Limited Notice to Proceed while the Phase 1 construction agreement is finalized. This Statement of Work governs the engineering services performed during that three-month period and is intended to stand alone from the Phase 1 construction agreement, consistent with the structure discussed by Ivan Van der Walt (Nexus) and Tim Ziemer (MaiaEdge) on April 28, 2026, and refined with Nick Jones (Nexus) on May 1, 2026.</w:t>
      </w:r>
    </w:p>
    <w:p>
      <w:pPr>
        <w:pStyle w:val="Heading1"/>
      </w:pPr>
      <w:r>
        <w:t>2. Objective</w:t>
      </w:r>
    </w:p>
    <w:p>
      <w:pPr>
        <w:spacing w:after="120"/>
      </w:pPr>
      <w:r>
        <w:t>Reach 60% engineering complete on the Phase 1 carrier hotel and four-building network, sufficient to de-risk the critical path and to support conversion of the follow-on construction work to a guaranteed maximum price (GMP) or not-to-exceed (NTE) price under a Pearce-led Phase 1 construction agreement. The end-of-term package will include the network and physical design, an equipment list and material takeoff with supporting data sheets sufficient to begin procurement, an expansion strategy that accommodates campus growth to approximately sixty-five buildings, an interface block diagram showing division of responsibility with the OSP partner, and the financing-grade architectural artifacts Nexus needs for its banker and investor conversations.</w:t>
      </w:r>
    </w:p>
    <w:p>
      <w:pPr>
        <w:pStyle w:val="Heading1"/>
      </w:pPr>
      <w:r>
        <w:t>3. Scope of Services</w:t>
      </w:r>
    </w:p>
    <w:p>
      <w:pPr>
        <w:spacing w:after="120"/>
      </w:pPr>
      <w:r>
        <w:t>MaiaEdge will lead the design and engineering effort across the work streams below. Pearce will support the physical install scoping, takeoffs, and field-engineering inputs under MaiaEdge coordination.</w:t>
      </w:r>
    </w:p>
    <w:p>
      <w:pPr>
        <w:pStyle w:val="Heading2"/>
      </w:pPr>
      <w:r>
        <w:t>3.1 Carrier hotel and Meet-Me Room design</w:t>
      </w:r>
    </w:p>
    <w:p>
      <w:pPr>
        <w:pStyle w:val="ListBullet"/>
        <w:spacing w:after="40"/>
      </w:pPr>
      <w:r>
        <w:rPr>
          <w:color w:val="1A1A1A"/>
          <w:sz w:val="22"/>
        </w:rPr>
        <w:t>Phase 1 low-level design covering the carrier hotel Meet-Me Room, with day-one buildout as one MMR with two Fiber Entry Room access points, and a second MMR pre-engineered for activation in a later phase.</w:t>
      </w:r>
    </w:p>
    <w:p>
      <w:pPr>
        <w:pStyle w:val="ListBullet"/>
        <w:spacing w:after="40"/>
      </w:pPr>
      <w:r>
        <w:rPr>
          <w:color w:val="1A1A1A"/>
          <w:sz w:val="22"/>
        </w:rPr>
        <w:t>Standardized, industry-recognized cross-connect design as the default offering. Bespoke per-carrier accommodations are explicitly out of scope unless and until carrier demand warrants and Nexus directs.</w:t>
      </w:r>
    </w:p>
    <w:p>
      <w:pPr>
        <w:pStyle w:val="ListBullet"/>
        <w:spacing w:after="40"/>
      </w:pPr>
      <w:r>
        <w:rPr>
          <w:color w:val="1A1A1A"/>
          <w:sz w:val="22"/>
        </w:rPr>
        <w:t>Fiber distribution panel layout, splice module specification, and MMR-to-MMR trunk sizing.</w:t>
      </w:r>
    </w:p>
    <w:p>
      <w:pPr>
        <w:pStyle w:val="ListBullet"/>
        <w:spacing w:after="40"/>
      </w:pPr>
      <w:r>
        <w:rPr>
          <w:color w:val="1A1A1A"/>
          <w:sz w:val="22"/>
        </w:rPr>
        <w:t>Diversity engineering across FER-A and FER-B, ladder tray and conduit pathways, and rack and cabinet positions, with no single fiber path or panel able to sever any carrier-to-building reach.</w:t>
      </w:r>
    </w:p>
    <w:p>
      <w:pPr>
        <w:pStyle w:val="ListBullet"/>
        <w:spacing w:after="40"/>
      </w:pPr>
      <w:r>
        <w:rPr>
          <w:color w:val="1A1A1A"/>
          <w:sz w:val="22"/>
        </w:rPr>
        <w:t>Compliance baseline against ANSI/TIA-942, TIA-568, TIA-569, TIA-606-C, TIA-607-B, TIA-758, and BICSI 002. TIA-606-C labeling and Tier-4 access control embedded in the operations design.</w:t>
      </w:r>
    </w:p>
    <w:p>
      <w:pPr>
        <w:pStyle w:val="Heading2"/>
      </w:pPr>
      <w:r>
        <w:t>3.2 Day-one Data Haul 1 engineering</w:t>
      </w:r>
    </w:p>
    <w:p>
      <w:pPr>
        <w:pStyle w:val="ListBullet"/>
        <w:spacing w:after="40"/>
      </w:pPr>
      <w:r>
        <w:rPr>
          <w:color w:val="1A1A1A"/>
          <w:sz w:val="22"/>
        </w:rPr>
        <w:t>Engineering of the day-one passive cross-connect platform Nexus has framed as Data Haul 1: 100G initial interface speed with the 400G expansion path engineered into pathway sizing and panel selection.</w:t>
      </w:r>
    </w:p>
    <w:p>
      <w:pPr>
        <w:pStyle w:val="ListBullet"/>
        <w:spacing w:after="40"/>
      </w:pPr>
      <w:r>
        <w:rPr>
          <w:color w:val="1A1A1A"/>
          <w:sz w:val="22"/>
        </w:rPr>
        <w:t>Active Layer 1 / Layer 2 cross-connect fabric is held for a later phase, consistent with the standardized design posture in 3.1. Activation criteria will be documented for future reference.</w:t>
      </w:r>
    </w:p>
    <w:p>
      <w:pPr>
        <w:pStyle w:val="ListBullet"/>
        <w:spacing w:after="40"/>
      </w:pPr>
      <w:r>
        <w:rPr>
          <w:color w:val="1A1A1A"/>
          <w:sz w:val="22"/>
        </w:rPr>
        <w:t>Provisioning workflow design covering OSP-handoff to tenant-cabinet order flow, audit logging, and Tier-4 access control.</w:t>
      </w:r>
    </w:p>
    <w:p>
      <w:pPr>
        <w:pStyle w:val="Heading2"/>
      </w:pPr>
      <w:r>
        <w:t>3.3 Four-building network and expansion architecture</w:t>
      </w:r>
    </w:p>
    <w:p>
      <w:pPr>
        <w:pStyle w:val="ListBullet"/>
        <w:spacing w:after="40"/>
      </w:pPr>
      <w:r>
        <w:rPr>
          <w:color w:val="1A1A1A"/>
          <w:sz w:val="22"/>
        </w:rPr>
        <w:t>Phase 1 network design covering connectivity from the carrier hotel to the first four Nexus data center buildings, including A/B path diversity from MMR through Vault, Zero Vault, MDF/EF, EOR, and ToR, and the MaiaEdge Path Border Controller positioned at the ToR layer in both MMR and data halls.</w:t>
      </w:r>
    </w:p>
    <w:p>
      <w:pPr>
        <w:pStyle w:val="ListBullet"/>
        <w:spacing w:after="40"/>
      </w:pPr>
      <w:r>
        <w:rPr>
          <w:color w:val="1A1A1A"/>
          <w:sz w:val="22"/>
        </w:rPr>
        <w:t>Expansion strategy and pre-investment recommendations sufficient to scale the architecture to approximately sixty-five buildings without rework. Pre-investment trade-offs flagged so Nexus can make Phase 1 cost decisions explicitly.</w:t>
      </w:r>
    </w:p>
    <w:p>
      <w:pPr>
        <w:pStyle w:val="ListBullet"/>
        <w:spacing w:after="40"/>
      </w:pPr>
      <w:r>
        <w:rPr>
          <w:color w:val="1A1A1A"/>
          <w:sz w:val="22"/>
        </w:rPr>
        <w:t>Refinement of the conceptual campus architecture issued April 22, 2026, to a financing-grade reference document.</w:t>
      </w:r>
    </w:p>
    <w:p>
      <w:pPr>
        <w:pStyle w:val="Heading2"/>
      </w:pPr>
      <w:r>
        <w:t>3.4 OSP partner interface and division of responsibility</w:t>
      </w:r>
    </w:p>
    <w:p>
      <w:pPr>
        <w:pStyle w:val="ListBullet"/>
        <w:spacing w:after="40"/>
      </w:pPr>
      <w:r>
        <w:rPr>
          <w:color w:val="1A1A1A"/>
          <w:sz w:val="22"/>
        </w:rPr>
        <w:t>Establishment of an interface and coordination cadence with Nexus's OSP and dark-fiber partner (the OSP partner), who is delivering off-site and on-site OSP fiber to the carrier hotel and the four buildings, and who is the primary coordination contact for the campus carrier roster.</w:t>
      </w:r>
    </w:p>
    <w:p>
      <w:pPr>
        <w:pStyle w:val="ListBullet"/>
        <w:spacing w:after="40"/>
      </w:pPr>
      <w:r>
        <w:rPr>
          <w:color w:val="1A1A1A"/>
          <w:sz w:val="22"/>
        </w:rPr>
        <w:t>High-level interface block diagram showing the scope split between MaiaEdge, Pearce, the OSP partner, and Nexus, suitable for use as the division-of-responsibility reference across all parties.</w:t>
      </w:r>
    </w:p>
    <w:p>
      <w:pPr>
        <w:pStyle w:val="ListBullet"/>
        <w:spacing w:after="40"/>
      </w:pPr>
      <w:r>
        <w:rPr>
          <w:color w:val="1A1A1A"/>
          <w:sz w:val="22"/>
        </w:rPr>
        <w:t>Regular coordination meetings with the OSP partner during the term, with cadence to be confirmed at the anchor design workshop.</w:t>
      </w:r>
    </w:p>
    <w:p>
      <w:pPr>
        <w:pStyle w:val="ListBullet"/>
        <w:spacing w:after="40"/>
      </w:pPr>
      <w:r>
        <w:rPr>
          <w:color w:val="1A1A1A"/>
          <w:sz w:val="22"/>
        </w:rPr>
        <w:t>Carrier-side requirements that surface during this work will be passed through the OSP partner. Direct engagement with carriers is not assumed under this SOW.</w:t>
      </w:r>
    </w:p>
    <w:p>
      <w:pPr>
        <w:pStyle w:val="Heading2"/>
      </w:pPr>
      <w:r>
        <w:t>3.5 Building infrastructure specification input</w:t>
      </w:r>
    </w:p>
    <w:p>
      <w:pPr>
        <w:pStyle w:val="ListBullet"/>
        <w:spacing w:after="40"/>
      </w:pPr>
      <w:r>
        <w:rPr>
          <w:color w:val="1A1A1A"/>
          <w:sz w:val="22"/>
        </w:rPr>
        <w:t>Cabinet architecture and specification (rack types, dimensions, density, power and grounding tie-in points).</w:t>
      </w:r>
    </w:p>
    <w:p>
      <w:pPr>
        <w:pStyle w:val="ListBullet"/>
        <w:spacing w:after="40"/>
      </w:pPr>
      <w:r>
        <w:rPr>
          <w:color w:val="1A1A1A"/>
          <w:sz w:val="22"/>
        </w:rPr>
        <w:t>Building footprint and floorplate input as it affects MMR, FER, IXP equipment room, cross-connect field, and carrier cage sizing.</w:t>
      </w:r>
    </w:p>
    <w:p>
      <w:pPr>
        <w:pStyle w:val="ListBullet"/>
        <w:spacing w:after="40"/>
      </w:pPr>
      <w:r>
        <w:rPr>
          <w:color w:val="1A1A1A"/>
          <w:sz w:val="22"/>
        </w:rPr>
        <w:t>Recommendation on prefabricated concrete versus steel construction as it affects MMR and FER environmental, security, and pathway requirements.</w:t>
      </w:r>
    </w:p>
    <w:p>
      <w:pPr>
        <w:pStyle w:val="Heading2"/>
      </w:pPr>
      <w:r>
        <w:t>3.6 Equipment list, material takeoff, and procurement support</w:t>
      </w:r>
    </w:p>
    <w:p>
      <w:pPr>
        <w:pStyle w:val="ListBullet"/>
        <w:spacing w:after="40"/>
      </w:pPr>
      <w:r>
        <w:rPr>
          <w:color w:val="1A1A1A"/>
          <w:sz w:val="22"/>
        </w:rPr>
        <w:t>Equipment list and specifications for fiber distribution panels, splice modules, patch cords, labeling system, ODFs, the Path Border Controller platform, and the DCIM and cross-connect inventory tooling.</w:t>
      </w:r>
    </w:p>
    <w:p>
      <w:pPr>
        <w:pStyle w:val="ListBullet"/>
        <w:spacing w:after="40"/>
      </w:pPr>
      <w:r>
        <w:rPr>
          <w:color w:val="1A1A1A"/>
          <w:sz w:val="22"/>
        </w:rPr>
        <w:t>Material takeoff sufficient for Pearce to estimate physical install duration and labor.</w:t>
      </w:r>
    </w:p>
    <w:p>
      <w:pPr>
        <w:pStyle w:val="ListBullet"/>
        <w:spacing w:after="40"/>
      </w:pPr>
      <w:r>
        <w:rPr>
          <w:color w:val="1A1A1A"/>
          <w:sz w:val="22"/>
        </w:rPr>
        <w:t>Per-item data sheets and technical specifications sufficient to support Nexus procurement.</w:t>
      </w:r>
    </w:p>
    <w:p>
      <w:pPr>
        <w:pStyle w:val="ListBullet"/>
        <w:spacing w:after="40"/>
      </w:pPr>
      <w:r>
        <w:rPr>
          <w:color w:val="1A1A1A"/>
          <w:sz w:val="22"/>
        </w:rPr>
        <w:t>Long-lead-item identification, lead-time validation with vendors, and recommended order timing.</w:t>
      </w:r>
    </w:p>
    <w:p>
      <w:pPr>
        <w:pStyle w:val="ListBullet"/>
        <w:spacing w:after="40"/>
      </w:pPr>
      <w:r>
        <w:rPr>
          <w:color w:val="1A1A1A"/>
          <w:sz w:val="22"/>
        </w:rPr>
        <w:t>Procurement, purchase orders, and equipment purchases themselves are out of scope of this SOW. The objective is to leave Nexus ready to place purchase orders.</w:t>
      </w:r>
    </w:p>
    <w:p>
      <w:pPr>
        <w:pStyle w:val="Heading2"/>
      </w:pPr>
      <w:r>
        <w:t>3.7 Pearce coordination and install duration estimation</w:t>
      </w:r>
    </w:p>
    <w:p>
      <w:pPr>
        <w:pStyle w:val="ListBullet"/>
        <w:spacing w:after="40"/>
      </w:pPr>
      <w:r>
        <w:rPr>
          <w:color w:val="1A1A1A"/>
          <w:sz w:val="22"/>
        </w:rPr>
        <w:t>Joint takeoffs with Pearce for racks, cabinets, ladder tray, conduit, inside-plant fiber, splicing, and labeling.</w:t>
      </w:r>
    </w:p>
    <w:p>
      <w:pPr>
        <w:pStyle w:val="ListBullet"/>
        <w:spacing w:after="40"/>
      </w:pPr>
      <w:r>
        <w:rPr>
          <w:color w:val="1A1A1A"/>
          <w:sz w:val="22"/>
        </w:rPr>
        <w:t>Pearce-prepared physical install duration estimate based on the equipment list and material takeoff, integrated into the unified Phase 1 engineering package.</w:t>
      </w:r>
    </w:p>
    <w:p>
      <w:pPr>
        <w:pStyle w:val="ListBullet"/>
        <w:spacing w:after="40"/>
      </w:pPr>
      <w:r>
        <w:rPr>
          <w:color w:val="1A1A1A"/>
          <w:sz w:val="22"/>
        </w:rPr>
        <w:t>Pearce will prime the follow-on Phase 1 construction agreement, with MaiaEdge as subcontractor on the deployment and ongoing phase. This SOW is intended to produce the engineering basis for that follow-on agreement.</w:t>
      </w:r>
    </w:p>
    <w:p>
      <w:pPr>
        <w:pStyle w:val="Heading2"/>
      </w:pPr>
      <w:r>
        <w:t>3.8 Joint design workshops and stakeholder support</w:t>
      </w:r>
    </w:p>
    <w:p>
      <w:pPr>
        <w:pStyle w:val="ListBullet"/>
        <w:spacing w:after="40"/>
      </w:pPr>
      <w:r>
        <w:rPr>
          <w:color w:val="1A1A1A"/>
          <w:sz w:val="22"/>
        </w:rPr>
        <w:t>Anchor design workshop with Nexus engineering (Ben Heichelbech, Nick Jones), MaiaEdge, Pearce, and the OSP partner within fourteen days of the Effective Date.</w:t>
      </w:r>
    </w:p>
    <w:p>
      <w:pPr>
        <w:pStyle w:val="ListBullet"/>
        <w:spacing w:after="40"/>
      </w:pPr>
      <w:r>
        <w:rPr>
          <w:color w:val="1A1A1A"/>
          <w:sz w:val="22"/>
        </w:rPr>
        <w:t>Weekly working sessions with Nick Jones as the day-to-day Nexus interface, plus monthly steering reviews with Nexus leadership.</w:t>
      </w:r>
    </w:p>
    <w:p>
      <w:pPr>
        <w:pStyle w:val="ListBullet"/>
        <w:spacing w:after="40"/>
      </w:pPr>
      <w:r>
        <w:rPr>
          <w:color w:val="1A1A1A"/>
          <w:sz w:val="22"/>
        </w:rPr>
        <w:t>Joint resolution of the open Phase 1 questions: anchor tenant timing, target Phase 1 cutover, DCIM integrations, and tenant-side requirements gathering responsibility (MaiaEdge or OSP partner).</w:t>
      </w:r>
    </w:p>
    <w:p>
      <w:pPr>
        <w:pStyle w:val="Heading2"/>
      </w:pPr>
      <w:r>
        <w:t>3.9 Financing and investor support artifacts</w:t>
      </w:r>
    </w:p>
    <w:p>
      <w:pPr>
        <w:pStyle w:val="ListBullet"/>
        <w:spacing w:after="40"/>
      </w:pPr>
      <w:r>
        <w:rPr>
          <w:color w:val="1A1A1A"/>
          <w:sz w:val="22"/>
        </w:rPr>
        <w:t>Banker-grade refresh of the network connectivity design and the campus interconnection and fiber distribution architecture.</w:t>
      </w:r>
    </w:p>
    <w:p>
      <w:pPr>
        <w:pStyle w:val="ListBullet"/>
        <w:spacing w:after="40"/>
      </w:pPr>
      <w:r>
        <w:rPr>
          <w:color w:val="1A1A1A"/>
          <w:sz w:val="22"/>
        </w:rPr>
        <w:t>One-page executive summary of the Phase 1 design suitable for inclusion in Nexus financing materials.</w:t>
      </w:r>
    </w:p>
    <w:p>
      <w:pPr>
        <w:pStyle w:val="ListBullet"/>
        <w:spacing w:after="40"/>
      </w:pPr>
      <w:r>
        <w:rPr>
          <w:color w:val="1A1A1A"/>
          <w:sz w:val="22"/>
        </w:rPr>
        <w:t>Up to two design walkthroughs supporting Nexus banker, investor, or anchor-tenant conversations during the term.</w:t>
      </w:r>
    </w:p>
    <w:p>
      <w:pPr>
        <w:pStyle w:val="Heading1"/>
      </w:pPr>
      <w:r>
        <w:t>4. Deliverables</w:t>
      </w:r>
    </w:p>
    <w:tbl>
      <w:tblPr>
        <w:tblW w:type="auto" w:w="0"/>
        <w:tblLayout w:type="fixed"/>
        <w:tblLook w:firstColumn="1" w:firstRow="1" w:lastColumn="0" w:lastRow="0" w:noHBand="0" w:noVBand="1" w:val="04A0"/>
      </w:tblPr>
      <w:tblGrid>
        <w:gridCol w:w="720"/>
        <w:gridCol w:w="8640"/>
      </w:tblGrid>
      <w:tr>
        <w:tc>
          <w:tcPr>
            <w:tcW w:type="dxa" w:w="720"/>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w:t>
            </w:r>
          </w:p>
        </w:tc>
        <w:tc>
          <w:tcPr>
            <w:tcW w:type="dxa" w:w="8640"/>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Deliverable</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1</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Joint design workshop minutes and decision log</w:t>
            </w:r>
          </w:p>
        </w:tc>
      </w:tr>
      <w:tr>
        <w:tc>
          <w:tcPr>
            <w:tcW w:type="dxa" w:w="72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2</w:t>
            </w:r>
          </w:p>
        </w:tc>
        <w:tc>
          <w:tcPr>
            <w:tcW w:type="dxa" w:w="86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Phase 1 low-level design for the carrier hotel Meet-Me Room, including floor plans, panel layouts, signal flow, pathway diagrams, and labeling scheme</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3</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Phase 1 four-building network design and expansion strategy scaling to approximately sixty-five buildings</w:t>
            </w:r>
          </w:p>
        </w:tc>
      </w:tr>
      <w:tr>
        <w:tc>
          <w:tcPr>
            <w:tcW w:type="dxa" w:w="72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4</w:t>
            </w:r>
          </w:p>
        </w:tc>
        <w:tc>
          <w:tcPr>
            <w:tcW w:type="dxa" w:w="86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Campus interconnection and fiber distribution architecture, financing grade</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5</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Interface block diagram and division-of-responsibility document covering MaiaEdge, Pearce, the OSP partner, and Nexus</w:t>
            </w:r>
          </w:p>
        </w:tc>
      </w:tr>
      <w:tr>
        <w:tc>
          <w:tcPr>
            <w:tcW w:type="dxa" w:w="72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6</w:t>
            </w:r>
          </w:p>
        </w:tc>
        <w:tc>
          <w:tcPr>
            <w:tcW w:type="dxa" w:w="86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Day-one Data Haul 1 design package (100G initial, 400G expansion path)</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7</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Building infrastructure specification (cabinet architecture, footprint sizing, prefab versus steel recommendation)</w:t>
            </w:r>
          </w:p>
        </w:tc>
      </w:tr>
      <w:tr>
        <w:tc>
          <w:tcPr>
            <w:tcW w:type="dxa" w:w="72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8</w:t>
            </w:r>
          </w:p>
        </w:tc>
        <w:tc>
          <w:tcPr>
            <w:tcW w:type="dxa" w:w="86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Equipment list with quantities, vendors, and long-lead items flagged</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9</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Material takeoff supporting Pearce install-duration estimation</w:t>
            </w:r>
          </w:p>
        </w:tc>
      </w:tr>
      <w:tr>
        <w:tc>
          <w:tcPr>
            <w:tcW w:type="dxa" w:w="72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10</w:t>
            </w:r>
          </w:p>
        </w:tc>
        <w:tc>
          <w:tcPr>
            <w:tcW w:type="dxa" w:w="86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Per-item data sheets and technical specifications sufficient to support Nexus procurement</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11</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DCIM and cross-connect inventory platform design</w:t>
            </w:r>
          </w:p>
        </w:tc>
      </w:tr>
      <w:tr>
        <w:tc>
          <w:tcPr>
            <w:tcW w:type="dxa" w:w="72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12</w:t>
            </w:r>
          </w:p>
        </w:tc>
        <w:tc>
          <w:tcPr>
            <w:tcW w:type="dxa" w:w="86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Provisioning workflow design (OSP handoff to tenant cabinet)</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13</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Phase 1 schedule aligned to Nexus construction critical path and the day-one IT-load target</w:t>
            </w:r>
          </w:p>
        </w:tc>
      </w:tr>
      <w:tr>
        <w:tc>
          <w:tcPr>
            <w:tcW w:type="dxa" w:w="72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14</w:t>
            </w:r>
          </w:p>
        </w:tc>
        <w:tc>
          <w:tcPr>
            <w:tcW w:type="dxa" w:w="86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60% engineering complete package, sufficient to support a GMP / NTE conversion under the Phase 1 construction agreement</w:t>
            </w:r>
          </w:p>
        </w:tc>
      </w:tr>
      <w:tr>
        <w:tc>
          <w:tcPr>
            <w:tcW w:type="dxa" w:w="720"/>
            <w:tcBorders>
              <w:top w:val="single" w:sz="6" w:color="EFE4B8"/>
              <w:left w:val="single" w:sz="6" w:color="EFE4B8"/>
              <w:bottom w:val="single" w:sz="6" w:color="EFE4B8"/>
              <w:right w:val="single" w:sz="6" w:color="EFE4B8"/>
            </w:tcBorders>
          </w:tcPr>
          <w:p>
            <w:r/>
            <w:r>
              <w:rPr>
                <w:rFonts w:ascii="Calibri" w:hAnsi="Calibri"/>
                <w:b w:val="0"/>
                <w:i w:val="0"/>
                <w:color w:val="1A1A1A"/>
                <w:sz w:val="20"/>
              </w:rPr>
              <w:t>15</w:t>
            </w:r>
          </w:p>
        </w:tc>
        <w:tc>
          <w:tcPr>
            <w:tcW w:type="dxa" w:w="8640"/>
            <w:tcBorders>
              <w:top w:val="single" w:sz="6" w:color="EFE4B8"/>
              <w:left w:val="single" w:sz="6" w:color="EFE4B8"/>
              <w:bottom w:val="single" w:sz="6" w:color="EFE4B8"/>
              <w:right w:val="single" w:sz="6" w:color="EFE4B8"/>
            </w:tcBorders>
          </w:tcPr>
          <w:p>
            <w:r/>
            <w:r>
              <w:rPr>
                <w:rFonts w:ascii="Calibri" w:hAnsi="Calibri"/>
                <w:b w:val="0"/>
                <w:i w:val="0"/>
                <w:color w:val="1A1A1A"/>
                <w:sz w:val="20"/>
              </w:rPr>
              <w:t>One-page executive summary for Nexus banker and investor materials</w:t>
            </w:r>
          </w:p>
        </w:tc>
      </w:tr>
    </w:tbl>
    <w:p>
      <w:pPr>
        <w:pStyle w:val="Heading1"/>
      </w:pPr>
      <w:r>
        <w:t>5. Schedule and Milestones</w:t>
      </w:r>
    </w:p>
    <w:p>
      <w:pPr>
        <w:spacing w:after="120"/>
      </w:pPr>
      <w:r>
        <w:t>The schedule below is indicative and assumes prompt receipt of Nexus inputs listed in Section 8. Working months are gated on those inputs; calendar milestones will be confirmed at the anchor design workshop.</w:t>
      </w:r>
    </w:p>
    <w:tbl>
      <w:tblPr>
        <w:tblW w:type="auto" w:w="0"/>
        <w:tblLayout w:type="fixed"/>
        <w:tblLook w:firstColumn="1" w:firstRow="1" w:lastColumn="0" w:lastRow="0" w:noHBand="0" w:noVBand="1" w:val="04A0"/>
      </w:tblPr>
      <w:tblGrid>
        <w:gridCol w:w="2015"/>
        <w:gridCol w:w="7343"/>
      </w:tblGrid>
      <w:tr>
        <w:tc>
          <w:tcPr>
            <w:tcW w:type="dxa" w:w="2016"/>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Milestone</w:t>
            </w:r>
          </w:p>
        </w:tc>
        <w:tc>
          <w:tcPr>
            <w:tcW w:type="dxa" w:w="7344"/>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Outcome</w:t>
            </w:r>
          </w:p>
        </w:tc>
      </w:tr>
      <w:tr>
        <w:tc>
          <w:tcPr>
            <w:tcW w:type="dxa" w:w="2016"/>
            <w:tcBorders>
              <w:top w:val="single" w:sz="6" w:color="EFE4B8"/>
              <w:left w:val="single" w:sz="6" w:color="EFE4B8"/>
              <w:bottom w:val="single" w:sz="6" w:color="EFE4B8"/>
              <w:right w:val="single" w:sz="6" w:color="EFE4B8"/>
            </w:tcBorders>
          </w:tcPr>
          <w:p>
            <w:r/>
            <w:r>
              <w:rPr>
                <w:rFonts w:ascii="Calibri" w:hAnsi="Calibri"/>
                <w:b w:val="0"/>
                <w:i w:val="0"/>
                <w:color w:val="1A1A1A"/>
                <w:sz w:val="20"/>
              </w:rPr>
              <w:t>T+0</w:t>
            </w:r>
          </w:p>
        </w:tc>
        <w:tc>
          <w:tcPr>
            <w:tcW w:type="dxa" w:w="7344"/>
            <w:tcBorders>
              <w:top w:val="single" w:sz="6" w:color="EFE4B8"/>
              <w:left w:val="single" w:sz="6" w:color="EFE4B8"/>
              <w:bottom w:val="single" w:sz="6" w:color="EFE4B8"/>
              <w:right w:val="single" w:sz="6" w:color="EFE4B8"/>
            </w:tcBorders>
          </w:tcPr>
          <w:p>
            <w:r/>
            <w:r>
              <w:rPr>
                <w:rFonts w:ascii="Calibri" w:hAnsi="Calibri"/>
                <w:b w:val="0"/>
                <w:i w:val="0"/>
                <w:color w:val="1A1A1A"/>
                <w:sz w:val="20"/>
              </w:rPr>
              <w:t>Effective Date and contract signature. Limited Notice to Proceed funded.</w:t>
            </w:r>
          </w:p>
        </w:tc>
      </w:tr>
      <w:tr>
        <w:tc>
          <w:tcPr>
            <w:tcW w:type="dxa" w:w="2016"/>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T+2 weeks</w:t>
            </w:r>
          </w:p>
        </w:tc>
        <w:tc>
          <w:tcPr>
            <w:tcW w:type="dxa" w:w="73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Anchor joint design workshop with Nexus, MaiaEdge, Pearce, and the OSP partner. Open-question resolution log issued. Interface block diagram drafted.</w:t>
            </w:r>
          </w:p>
        </w:tc>
      </w:tr>
      <w:tr>
        <w:tc>
          <w:tcPr>
            <w:tcW w:type="dxa" w:w="2016"/>
            <w:tcBorders>
              <w:top w:val="single" w:sz="6" w:color="EFE4B8"/>
              <w:left w:val="single" w:sz="6" w:color="EFE4B8"/>
              <w:bottom w:val="single" w:sz="6" w:color="EFE4B8"/>
              <w:right w:val="single" w:sz="6" w:color="EFE4B8"/>
            </w:tcBorders>
          </w:tcPr>
          <w:p>
            <w:r/>
            <w:r>
              <w:rPr>
                <w:rFonts w:ascii="Calibri" w:hAnsi="Calibri"/>
                <w:b w:val="0"/>
                <w:i w:val="0"/>
                <w:color w:val="1A1A1A"/>
                <w:sz w:val="20"/>
              </w:rPr>
              <w:t>T+4 weeks</w:t>
            </w:r>
          </w:p>
        </w:tc>
        <w:tc>
          <w:tcPr>
            <w:tcW w:type="dxa" w:w="7344"/>
            <w:tcBorders>
              <w:top w:val="single" w:sz="6" w:color="EFE4B8"/>
              <w:left w:val="single" w:sz="6" w:color="EFE4B8"/>
              <w:bottom w:val="single" w:sz="6" w:color="EFE4B8"/>
              <w:right w:val="single" w:sz="6" w:color="EFE4B8"/>
            </w:tcBorders>
          </w:tcPr>
          <w:p>
            <w:r/>
            <w:r>
              <w:rPr>
                <w:rFonts w:ascii="Calibri" w:hAnsi="Calibri"/>
                <w:b w:val="0"/>
                <w:i w:val="0"/>
                <w:color w:val="1A1A1A"/>
                <w:sz w:val="20"/>
              </w:rPr>
              <w:t>Phase 1 low-level design and four-building network architecture issued for Nexus review.</w:t>
            </w:r>
          </w:p>
        </w:tc>
      </w:tr>
      <w:tr>
        <w:tc>
          <w:tcPr>
            <w:tcW w:type="dxa" w:w="2016"/>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T+6 weeks</w:t>
            </w:r>
          </w:p>
        </w:tc>
        <w:tc>
          <w:tcPr>
            <w:tcW w:type="dxa" w:w="73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Equipment list, material takeoff, and long-lead-item recommendations issued.</w:t>
            </w:r>
          </w:p>
        </w:tc>
      </w:tr>
      <w:tr>
        <w:tc>
          <w:tcPr>
            <w:tcW w:type="dxa" w:w="2016"/>
            <w:tcBorders>
              <w:top w:val="single" w:sz="6" w:color="EFE4B8"/>
              <w:left w:val="single" w:sz="6" w:color="EFE4B8"/>
              <w:bottom w:val="single" w:sz="6" w:color="EFE4B8"/>
              <w:right w:val="single" w:sz="6" w:color="EFE4B8"/>
            </w:tcBorders>
          </w:tcPr>
          <w:p>
            <w:r/>
            <w:r>
              <w:rPr>
                <w:rFonts w:ascii="Calibri" w:hAnsi="Calibri"/>
                <w:b w:val="0"/>
                <w:i w:val="0"/>
                <w:color w:val="1A1A1A"/>
                <w:sz w:val="20"/>
              </w:rPr>
              <w:t>T+8 weeks</w:t>
            </w:r>
          </w:p>
        </w:tc>
        <w:tc>
          <w:tcPr>
            <w:tcW w:type="dxa" w:w="7344"/>
            <w:tcBorders>
              <w:top w:val="single" w:sz="6" w:color="EFE4B8"/>
              <w:left w:val="single" w:sz="6" w:color="EFE4B8"/>
              <w:bottom w:val="single" w:sz="6" w:color="EFE4B8"/>
              <w:right w:val="single" w:sz="6" w:color="EFE4B8"/>
            </w:tcBorders>
          </w:tcPr>
          <w:p>
            <w:r/>
            <w:r>
              <w:rPr>
                <w:rFonts w:ascii="Calibri" w:hAnsi="Calibri"/>
                <w:b w:val="0"/>
                <w:i w:val="0"/>
                <w:color w:val="1A1A1A"/>
                <w:sz w:val="20"/>
              </w:rPr>
              <w:t>Per-item data sheets and building infrastructure specification issued.</w:t>
            </w:r>
          </w:p>
        </w:tc>
      </w:tr>
      <w:tr>
        <w:tc>
          <w:tcPr>
            <w:tcW w:type="dxa" w:w="2016"/>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T+10 weeks</w:t>
            </w:r>
          </w:p>
        </w:tc>
        <w:tc>
          <w:tcPr>
            <w:tcW w:type="dxa" w:w="73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Expansion strategy to approximately sixty-five buildings issued. Pearce install-duration estimate issued.</w:t>
            </w:r>
          </w:p>
        </w:tc>
      </w:tr>
      <w:tr>
        <w:tc>
          <w:tcPr>
            <w:tcW w:type="dxa" w:w="2016"/>
            <w:tcBorders>
              <w:top w:val="single" w:sz="6" w:color="EFE4B8"/>
              <w:left w:val="single" w:sz="6" w:color="EFE4B8"/>
              <w:bottom w:val="single" w:sz="6" w:color="EFE4B8"/>
              <w:right w:val="single" w:sz="6" w:color="EFE4B8"/>
            </w:tcBorders>
          </w:tcPr>
          <w:p>
            <w:r/>
            <w:r>
              <w:rPr>
                <w:rFonts w:ascii="Calibri" w:hAnsi="Calibri"/>
                <w:b w:val="0"/>
                <w:i w:val="0"/>
                <w:color w:val="1A1A1A"/>
                <w:sz w:val="20"/>
              </w:rPr>
              <w:t>T+12 weeks</w:t>
            </w:r>
          </w:p>
        </w:tc>
        <w:tc>
          <w:tcPr>
            <w:tcW w:type="dxa" w:w="7344"/>
            <w:tcBorders>
              <w:top w:val="single" w:sz="6" w:color="EFE4B8"/>
              <w:left w:val="single" w:sz="6" w:color="EFE4B8"/>
              <w:bottom w:val="single" w:sz="6" w:color="EFE4B8"/>
              <w:right w:val="single" w:sz="6" w:color="EFE4B8"/>
            </w:tcBorders>
          </w:tcPr>
          <w:p>
            <w:r/>
            <w:r>
              <w:rPr>
                <w:rFonts w:ascii="Calibri" w:hAnsi="Calibri"/>
                <w:b w:val="0"/>
                <w:i w:val="0"/>
                <w:color w:val="1A1A1A"/>
                <w:sz w:val="20"/>
              </w:rPr>
              <w:t>60% engineering complete package delivered. Term ends. Transition to Phase 1 Pearce-led construction agreement and GMP / NTE conversion.</w:t>
            </w:r>
          </w:p>
        </w:tc>
      </w:tr>
    </w:tbl>
    <w:p>
      <w:pPr>
        <w:pStyle w:val="Heading1"/>
      </w:pPr>
      <w:r>
        <w:t>6. Fees and Payment Terms</w:t>
      </w:r>
    </w:p>
    <w:p>
      <w:pPr>
        <w:spacing w:after="120"/>
      </w:pPr>
      <w:r>
        <w:t>Total not-to-exceed engineering services fee for the three-month term: $1,000,000 USD, inclusive of MaiaEdge engineering, Pearce engineering support, project management, travel, and out-of-pocket expenses required to produce the deliverables in Section 4. Equipment procurement, purchase orders, and equipment purchases themselves are not included in this fee and are out of scope of this SOW.</w:t>
      </w:r>
    </w:p>
    <w:p>
      <w:pPr>
        <w:spacing w:after="120"/>
      </w:pPr>
      <w:r>
        <w:t>Billing is milestone-based against the schedule in Section 5:</w:t>
      </w:r>
    </w:p>
    <w:tbl>
      <w:tblPr>
        <w:tblW w:type="auto" w:w="0"/>
        <w:tblLayout w:type="fixed"/>
        <w:tblLook w:firstColumn="1" w:firstRow="1" w:lastColumn="0" w:lastRow="0" w:noHBand="0" w:noVBand="1" w:val="04A0"/>
      </w:tblPr>
      <w:tblGrid>
        <w:gridCol w:w="2015"/>
        <w:gridCol w:w="5903"/>
        <w:gridCol w:w="1440"/>
      </w:tblGrid>
      <w:tr>
        <w:tc>
          <w:tcPr>
            <w:tcW w:type="dxa" w:w="2016"/>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Milestone</w:t>
            </w:r>
          </w:p>
        </w:tc>
        <w:tc>
          <w:tcPr>
            <w:tcW w:type="dxa" w:w="5904"/>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Trigger</w:t>
            </w:r>
          </w:p>
        </w:tc>
        <w:tc>
          <w:tcPr>
            <w:tcW w:type="dxa" w:w="1440"/>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Amount</w:t>
            </w:r>
          </w:p>
        </w:tc>
      </w:tr>
      <w:tr>
        <w:tc>
          <w:tcPr>
            <w:tcW w:type="dxa" w:w="2016"/>
            <w:tcBorders>
              <w:top w:val="single" w:sz="6" w:color="EFE4B8"/>
              <w:left w:val="single" w:sz="6" w:color="EFE4B8"/>
              <w:bottom w:val="single" w:sz="6" w:color="EFE4B8"/>
              <w:right w:val="single" w:sz="6" w:color="EFE4B8"/>
            </w:tcBorders>
          </w:tcPr>
          <w:p>
            <w:r/>
            <w:r>
              <w:rPr>
                <w:rFonts w:ascii="Calibri" w:hAnsi="Calibri"/>
                <w:b w:val="0"/>
                <w:i w:val="0"/>
                <w:color w:val="1A1A1A"/>
                <w:sz w:val="20"/>
              </w:rPr>
              <w:t>T+0</w:t>
            </w:r>
          </w:p>
        </w:tc>
        <w:tc>
          <w:tcPr>
            <w:tcW w:type="dxa" w:w="5904"/>
            <w:tcBorders>
              <w:top w:val="single" w:sz="6" w:color="EFE4B8"/>
              <w:left w:val="single" w:sz="6" w:color="EFE4B8"/>
              <w:bottom w:val="single" w:sz="6" w:color="EFE4B8"/>
              <w:right w:val="single" w:sz="6" w:color="EFE4B8"/>
            </w:tcBorders>
          </w:tcPr>
          <w:p>
            <w:r/>
            <w:r>
              <w:rPr>
                <w:rFonts w:ascii="Calibri" w:hAnsi="Calibri"/>
                <w:b w:val="0"/>
                <w:i w:val="0"/>
                <w:color w:val="1A1A1A"/>
                <w:sz w:val="20"/>
              </w:rPr>
              <w:t>Mobilization</w:t>
            </w:r>
          </w:p>
        </w:tc>
        <w:tc>
          <w:tcPr>
            <w:tcW w:type="dxa" w:w="1440"/>
            <w:tcBorders>
              <w:top w:val="single" w:sz="6" w:color="EFE4B8"/>
              <w:left w:val="single" w:sz="6" w:color="EFE4B8"/>
              <w:bottom w:val="single" w:sz="6" w:color="EFE4B8"/>
              <w:right w:val="single" w:sz="6" w:color="EFE4B8"/>
            </w:tcBorders>
          </w:tcPr>
          <w:p>
            <w:r/>
            <w:r>
              <w:rPr>
                <w:rFonts w:ascii="Calibri" w:hAnsi="Calibri"/>
                <w:b w:val="0"/>
                <w:i w:val="0"/>
                <w:color w:val="1A1A1A"/>
                <w:sz w:val="20"/>
              </w:rPr>
              <w:t>$200,000</w:t>
            </w:r>
          </w:p>
        </w:tc>
      </w:tr>
      <w:tr>
        <w:tc>
          <w:tcPr>
            <w:tcW w:type="dxa" w:w="2016"/>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T+4 weeks</w:t>
            </w:r>
          </w:p>
        </w:tc>
        <w:tc>
          <w:tcPr>
            <w:tcW w:type="dxa" w:w="590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Phase 1 low-level design and four-building architecture accepted</w:t>
            </w:r>
          </w:p>
        </w:tc>
        <w:tc>
          <w:tcPr>
            <w:tcW w:type="dxa" w:w="14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$250,000</w:t>
            </w:r>
          </w:p>
        </w:tc>
      </w:tr>
      <w:tr>
        <w:tc>
          <w:tcPr>
            <w:tcW w:type="dxa" w:w="2016"/>
            <w:tcBorders>
              <w:top w:val="single" w:sz="6" w:color="EFE4B8"/>
              <w:left w:val="single" w:sz="6" w:color="EFE4B8"/>
              <w:bottom w:val="single" w:sz="6" w:color="EFE4B8"/>
              <w:right w:val="single" w:sz="6" w:color="EFE4B8"/>
            </w:tcBorders>
          </w:tcPr>
          <w:p>
            <w:r/>
            <w:r>
              <w:rPr>
                <w:rFonts w:ascii="Calibri" w:hAnsi="Calibri"/>
                <w:b w:val="0"/>
                <w:i w:val="0"/>
                <w:color w:val="1A1A1A"/>
                <w:sz w:val="20"/>
              </w:rPr>
              <w:t>T+8 weeks</w:t>
            </w:r>
          </w:p>
        </w:tc>
        <w:tc>
          <w:tcPr>
            <w:tcW w:type="dxa" w:w="5904"/>
            <w:tcBorders>
              <w:top w:val="single" w:sz="6" w:color="EFE4B8"/>
              <w:left w:val="single" w:sz="6" w:color="EFE4B8"/>
              <w:bottom w:val="single" w:sz="6" w:color="EFE4B8"/>
              <w:right w:val="single" w:sz="6" w:color="EFE4B8"/>
            </w:tcBorders>
          </w:tcPr>
          <w:p>
            <w:r/>
            <w:r>
              <w:rPr>
                <w:rFonts w:ascii="Calibri" w:hAnsi="Calibri"/>
                <w:b w:val="0"/>
                <w:i w:val="0"/>
                <w:color w:val="1A1A1A"/>
                <w:sz w:val="20"/>
              </w:rPr>
              <w:t>Equipment list, material takeoff, data sheets, and building spec accepted</w:t>
            </w:r>
          </w:p>
        </w:tc>
        <w:tc>
          <w:tcPr>
            <w:tcW w:type="dxa" w:w="1440"/>
            <w:tcBorders>
              <w:top w:val="single" w:sz="6" w:color="EFE4B8"/>
              <w:left w:val="single" w:sz="6" w:color="EFE4B8"/>
              <w:bottom w:val="single" w:sz="6" w:color="EFE4B8"/>
              <w:right w:val="single" w:sz="6" w:color="EFE4B8"/>
            </w:tcBorders>
          </w:tcPr>
          <w:p>
            <w:r/>
            <w:r>
              <w:rPr>
                <w:rFonts w:ascii="Calibri" w:hAnsi="Calibri"/>
                <w:b w:val="0"/>
                <w:i w:val="0"/>
                <w:color w:val="1A1A1A"/>
                <w:sz w:val="20"/>
              </w:rPr>
              <w:t>$250,000</w:t>
            </w:r>
          </w:p>
        </w:tc>
      </w:tr>
      <w:tr>
        <w:tc>
          <w:tcPr>
            <w:tcW w:type="dxa" w:w="2016"/>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T+12 weeks</w:t>
            </w:r>
          </w:p>
        </w:tc>
        <w:tc>
          <w:tcPr>
            <w:tcW w:type="dxa" w:w="590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60% engineering complete package accepted</w:t>
            </w:r>
          </w:p>
        </w:tc>
        <w:tc>
          <w:tcPr>
            <w:tcW w:type="dxa" w:w="1440"/>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$300,000</w:t>
            </w:r>
          </w:p>
        </w:tc>
      </w:tr>
    </w:tbl>
    <w:p>
      <w:pPr>
        <w:spacing w:after="120"/>
      </w:pPr>
      <w:r>
        <w:t>Invoices are issued upon Nexus acceptance of the milestone deliverable, with payment due net thirty (30) days. Acceptance shall not be unreasonably withheld, and is deemed granted if no written exception is received within ten (10) business days of submission.</w:t>
      </w:r>
    </w:p>
    <w:p>
      <w:pPr>
        <w:pStyle w:val="Heading1"/>
      </w:pPr>
      <w:r>
        <w:t>7. Roles and Responsibilities</w:t>
      </w:r>
    </w:p>
    <w:p>
      <w:pPr>
        <w:spacing w:after="120"/>
      </w:pPr>
      <w:r>
        <w:t>The OSP partner is included in the table below as a coordination party; their contractual responsibilities sit under their own agreement with Nexus.</w:t>
      </w:r>
    </w:p>
    <w:tbl>
      <w:tblPr>
        <w:tblW w:type="auto" w:w="0"/>
        <w:tblLayout w:type="fixed"/>
        <w:tblLook w:firstColumn="1" w:firstRow="1" w:lastColumn="0" w:lastRow="0" w:noHBand="0" w:noVBand="1" w:val="04A0"/>
      </w:tblPr>
      <w:tblGrid>
        <w:gridCol w:w="3744"/>
        <w:gridCol w:w="1368"/>
        <w:gridCol w:w="1368"/>
        <w:gridCol w:w="1512"/>
        <w:gridCol w:w="1368"/>
      </w:tblGrid>
      <w:tr>
        <w:tc>
          <w:tcPr>
            <w:tcW w:type="dxa" w:w="3744"/>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Work stream</w:t>
            </w:r>
          </w:p>
        </w:tc>
        <w:tc>
          <w:tcPr>
            <w:tcW w:type="dxa" w:w="1368"/>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MaiaEdge</w:t>
            </w:r>
          </w:p>
        </w:tc>
        <w:tc>
          <w:tcPr>
            <w:tcW w:type="dxa" w:w="1368"/>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Pearce</w:t>
            </w:r>
          </w:p>
        </w:tc>
        <w:tc>
          <w:tcPr>
            <w:tcW w:type="dxa" w:w="1512"/>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OSP partner</w:t>
            </w:r>
          </w:p>
        </w:tc>
        <w:tc>
          <w:tcPr>
            <w:tcW w:type="dxa" w:w="1368"/>
            <w:shd w:val="clear" w:color="auto" w:fill="F5B81E"/>
            <w:tcBorders>
              <w:top w:val="single" w:sz="6" w:color="C99B14"/>
              <w:left w:val="single" w:sz="6" w:color="C99B14"/>
              <w:bottom w:val="single" w:sz="6" w:color="C99B14"/>
              <w:right w:val="single" w:sz="6" w:color="C99B14"/>
            </w:tcBorders>
          </w:tcPr>
          <w:p>
            <w:r/>
            <w:r>
              <w:rPr>
                <w:rFonts w:ascii="Calibri" w:hAnsi="Calibri"/>
                <w:b w:val="0"/>
                <w:i w:val="0"/>
                <w:color w:val="1A1A1A"/>
                <w:sz w:val="20"/>
              </w:rPr>
              <w:t>Nexus</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MMR and four-building network architecture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Coordinate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Standardized cross-connect design</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Coordinate</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Expansion strategy to approximately 65 buildings</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Coordinate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Equipment list, material takeoff, data sheets</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Consult</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Long-lead-item identification</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Consult</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Inside-plant fiber pathway and rack engineering</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5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Consult</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Pearce install-duration estimate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Coordinate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Consult</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DCIM and inventory platform design</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n/a</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Provisioning workflow design</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Consult</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Building infrastructure specification input</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n/a</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Interface block diagram and division of responsibility</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Co-author</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OSP fiber (off-site, on-site, building entry)</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Consume</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Consume</w:t>
            </w:r>
          </w:p>
        </w:tc>
        <w:tc>
          <w:tcPr>
            <w:tcW w:type="dxa" w:w="15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Carrier-direct coordination and requirements</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Consume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Consume</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Approve</w:t>
            </w:r>
          </w:p>
        </w:tc>
      </w:tr>
      <w:tr>
        <w:tc>
          <w:tcPr>
            <w:tcW w:type="dxa" w:w="3744"/>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Financing and investor design artifacts</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Lead</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Support</w:t>
            </w:r>
          </w:p>
        </w:tc>
        <w:tc>
          <w:tcPr>
            <w:tcW w:type="dxa" w:w="1512"/>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Consult</w:t>
            </w:r>
          </w:p>
        </w:tc>
        <w:tc>
          <w:tcPr>
            <w:tcW w:type="dxa" w:w="1368"/>
            <w:shd w:val="clear" w:color="auto" w:fill="FDF3D4"/>
            <w:tcBorders>
              <w:top w:val="single" w:sz="6" w:color="EFE4B8"/>
              <w:left w:val="single" w:sz="6" w:color="EFE4B8"/>
              <w:bottom w:val="single" w:sz="6" w:color="EFE4B8"/>
              <w:right w:val="single" w:sz="6" w:color="EFE4B8"/>
            </w:tcBorders>
          </w:tcPr>
          <w:p>
            <w:r/>
            <w:r>
              <w:rPr>
                <w:rFonts w:ascii="Calibri" w:hAnsi="Calibri"/>
                <w:b w:val="0"/>
                <w:i w:val="0"/>
                <w:color w:val="1A1A1A"/>
                <w:sz w:val="20"/>
              </w:rPr>
              <w:t>Owns and uses</w:t>
            </w:r>
          </w:p>
        </w:tc>
      </w:tr>
      <w:tr>
        <w:tc>
          <w:tcPr>
            <w:tcW w:type="dxa" w:w="3744"/>
            <w:tcBorders>
              <w:top w:val="single" w:sz="6" w:color="EFE4B8"/>
              <w:left w:val="single" w:sz="6" w:color="EFE4B8"/>
              <w:bottom w:val="single" w:sz="6" w:color="EFE4B8"/>
              <w:right w:val="single" w:sz="6" w:color="EFE4B8"/>
            </w:tcBorders>
          </w:tcPr>
          <w:p>
            <w:r/>
            <w:r>
              <w:rPr>
                <w:rFonts w:ascii="Calibri" w:hAnsi="Calibri"/>
                <w:b w:val="0"/>
                <w:i w:val="0"/>
                <w:color w:val="1A1A1A"/>
                <w:sz w:val="20"/>
              </w:rPr>
              <w:t>Site access, security credentialing, escort</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Consume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Consume</w:t>
            </w:r>
          </w:p>
        </w:tc>
        <w:tc>
          <w:tcPr>
            <w:tcW w:type="dxa" w:w="1512"/>
            <w:tcBorders>
              <w:top w:val="single" w:sz="6" w:color="EFE4B8"/>
              <w:left w:val="single" w:sz="6" w:color="EFE4B8"/>
              <w:bottom w:val="single" w:sz="6" w:color="EFE4B8"/>
              <w:right w:val="single" w:sz="6" w:color="EFE4B8"/>
            </w:tcBorders>
          </w:tcPr>
          <w:p>
            <w:r/>
            <w:r>
              <w:rPr>
                <w:rFonts w:ascii="Calibri" w:hAnsi="Calibri"/>
                <w:b w:val="0"/>
                <w:i w:val="0"/>
                <w:color w:val="1A1A1A"/>
                <w:sz w:val="20"/>
              </w:rPr>
              <w:t>Consume</w:t>
            </w:r>
          </w:p>
        </w:tc>
        <w:tc>
          <w:tcPr>
            <w:tcW w:type="dxa" w:w="1368"/>
            <w:tcBorders>
              <w:top w:val="single" w:sz="6" w:color="EFE4B8"/>
              <w:left w:val="single" w:sz="6" w:color="EFE4B8"/>
              <w:bottom w:val="single" w:sz="6" w:color="EFE4B8"/>
              <w:right w:val="single" w:sz="6" w:color="EFE4B8"/>
            </w:tcBorders>
          </w:tcPr>
          <w:p>
            <w:r/>
            <w:r>
              <w:rPr>
                <w:rFonts w:ascii="Calibri" w:hAnsi="Calibri"/>
                <w:b w:val="0"/>
                <w:i w:val="0"/>
                <w:color w:val="1A1A1A"/>
                <w:sz w:val="20"/>
              </w:rPr>
              <w:t>Provide</w:t>
            </w:r>
          </w:p>
        </w:tc>
      </w:tr>
    </w:tbl>
    <w:p>
      <w:pPr>
        <w:pStyle w:val="Heading1"/>
      </w:pPr>
      <w:r>
        <w:t>8. Nexus Inputs and Dependencies</w:t>
      </w:r>
    </w:p>
    <w:p>
      <w:pPr>
        <w:spacing w:after="120"/>
      </w:pPr>
      <w:r>
        <w:t>Timely delivery of the items below is required to keep the schedule in Section 5. Slippage on these inputs will shift downstream milestone dates by the same amount.</w:t>
      </w:r>
    </w:p>
    <w:p>
      <w:pPr>
        <w:pStyle w:val="ListBullet"/>
        <w:spacing w:after="40"/>
      </w:pPr>
      <w:r>
        <w:rPr>
          <w:color w:val="1A1A1A"/>
          <w:sz w:val="22"/>
        </w:rPr>
        <w:t>Confirmed Phase 1 IT-load target date and the anchor tenant or tenants driving it.</w:t>
      </w:r>
    </w:p>
    <w:p>
      <w:pPr>
        <w:pStyle w:val="ListBullet"/>
        <w:spacing w:after="40"/>
      </w:pPr>
      <w:r>
        <w:rPr>
          <w:color w:val="1A1A1A"/>
          <w:sz w:val="22"/>
        </w:rPr>
        <w:t>Identification of the OSP partner, an introduction, and a designated interface contact.</w:t>
      </w:r>
    </w:p>
    <w:p>
      <w:pPr>
        <w:pStyle w:val="ListBullet"/>
        <w:spacing w:after="40"/>
      </w:pPr>
      <w:r>
        <w:rPr>
          <w:color w:val="1A1A1A"/>
          <w:sz w:val="22"/>
        </w:rPr>
        <w:t>Any standards or carrier requirements the OSP partner has already collected and is willing to share.</w:t>
      </w:r>
    </w:p>
    <w:p>
      <w:pPr>
        <w:pStyle w:val="ListBullet"/>
        <w:spacing w:after="40"/>
      </w:pPr>
      <w:r>
        <w:rPr>
          <w:color w:val="1A1A1A"/>
          <w:sz w:val="22"/>
        </w:rPr>
        <w:t>Initial tenant roster and Phase 1 cabinet assignments to the extent available.</w:t>
      </w:r>
    </w:p>
    <w:p>
      <w:pPr>
        <w:pStyle w:val="ListBullet"/>
        <w:spacing w:after="40"/>
      </w:pPr>
      <w:r>
        <w:rPr>
          <w:color w:val="1A1A1A"/>
          <w:sz w:val="22"/>
        </w:rPr>
        <w:t>Direction on whether MaiaEdge or the OSP partner leads tenant-side requirements gathering. The default in this SOW is OSP partner leads, MaiaEdge designs to assumptions.</w:t>
      </w:r>
    </w:p>
    <w:p>
      <w:pPr>
        <w:pStyle w:val="ListBullet"/>
        <w:spacing w:after="40"/>
      </w:pPr>
      <w:r>
        <w:rPr>
          <w:color w:val="1A1A1A"/>
          <w:sz w:val="22"/>
        </w:rPr>
        <w:t>Mandatory DCIM, OSS, and security-system integrations, if any.</w:t>
      </w:r>
    </w:p>
    <w:p>
      <w:pPr>
        <w:pStyle w:val="ListBullet"/>
        <w:spacing w:after="40"/>
      </w:pPr>
      <w:r>
        <w:rPr>
          <w:color w:val="1A1A1A"/>
          <w:sz w:val="22"/>
        </w:rPr>
        <w:t>Construction critical-path schedule for the carrier hotel shell, MEP, and security systems.</w:t>
      </w:r>
    </w:p>
    <w:p>
      <w:pPr>
        <w:pStyle w:val="ListBullet"/>
        <w:spacing w:after="40"/>
      </w:pPr>
      <w:r>
        <w:rPr>
          <w:color w:val="1A1A1A"/>
          <w:sz w:val="22"/>
        </w:rPr>
        <w:t>Direction on prefab concrete versus steel construction, or authority for MaiaEdge to recommend.</w:t>
      </w:r>
    </w:p>
    <w:p>
      <w:pPr>
        <w:pStyle w:val="ListBullet"/>
        <w:spacing w:after="40"/>
      </w:pPr>
      <w:r>
        <w:rPr>
          <w:color w:val="1A1A1A"/>
          <w:sz w:val="22"/>
        </w:rPr>
        <w:t>Site access, security credentialing, and escort policy for MaiaEdge and Pearce personnel.</w:t>
      </w:r>
    </w:p>
    <w:p>
      <w:pPr>
        <w:pStyle w:val="ListBullet"/>
        <w:spacing w:after="40"/>
      </w:pPr>
      <w:r>
        <w:rPr>
          <w:color w:val="1A1A1A"/>
          <w:sz w:val="22"/>
        </w:rPr>
        <w:t>Designated decision-makers and escalation contacts at Nexus.</w:t>
      </w:r>
    </w:p>
    <w:p>
      <w:pPr>
        <w:pStyle w:val="Heading1"/>
      </w:pPr>
      <w:r>
        <w:t>9. Assumptions</w:t>
      </w:r>
    </w:p>
    <w:p>
      <w:pPr>
        <w:pStyle w:val="ListBullet"/>
        <w:spacing w:after="40"/>
      </w:pPr>
      <w:r>
        <w:rPr>
          <w:color w:val="1A1A1A"/>
          <w:sz w:val="22"/>
        </w:rPr>
        <w:t>The carrier hotel shell, MEP, fire protection, and security systems will be delivered consistent with the December 2025 Carrier Hotel Basis of Design and the February 2026 Fiber and Interconnection Strategy.</w:t>
      </w:r>
    </w:p>
    <w:p>
      <w:pPr>
        <w:pStyle w:val="ListBullet"/>
        <w:spacing w:after="40"/>
      </w:pPr>
      <w:r>
        <w:rPr>
          <w:color w:val="1A1A1A"/>
          <w:sz w:val="22"/>
        </w:rPr>
        <w:t>All outside-plant fiber, including off-site routes and on-site routes from the carrier hotel to the four buildings, is being delivered by Nexus's OSP partner under a separate agreement with Nexus. MaiaEdge engineering picks up at the OSP partner demarcation.</w:t>
      </w:r>
    </w:p>
    <w:p>
      <w:pPr>
        <w:pStyle w:val="ListBullet"/>
        <w:spacing w:after="40"/>
      </w:pPr>
      <w:r>
        <w:rPr>
          <w:color w:val="1A1A1A"/>
          <w:sz w:val="22"/>
        </w:rPr>
        <w:t>Direct coordination with the campus carrier roster is handled by the OSP partner. MaiaEdge will not engage carriers directly under this SOW unless invited by Nexus.</w:t>
      </w:r>
    </w:p>
    <w:p>
      <w:pPr>
        <w:pStyle w:val="ListBullet"/>
        <w:spacing w:after="40"/>
      </w:pPr>
      <w:r>
        <w:rPr>
          <w:color w:val="1A1A1A"/>
          <w:sz w:val="22"/>
        </w:rPr>
        <w:t>Pathway sizing in Phase 1 is consistent with the Basis of Design (24-inch ladder tray with 50 percent fill target).</w:t>
      </w:r>
    </w:p>
    <w:p>
      <w:pPr>
        <w:pStyle w:val="ListBullet"/>
        <w:spacing w:after="40"/>
      </w:pPr>
      <w:r>
        <w:rPr>
          <w:color w:val="1A1A1A"/>
          <w:sz w:val="22"/>
        </w:rPr>
        <w:t>Phase 1 design assumes one MMR with two FER access points at day-one, with a second MMR pre-engineered for activation in a later phase, consistent with the April 16, 2026 site-visit guidance.</w:t>
      </w:r>
    </w:p>
    <w:p>
      <w:pPr>
        <w:pStyle w:val="ListBullet"/>
        <w:spacing w:after="40"/>
      </w:pPr>
      <w:r>
        <w:rPr>
          <w:color w:val="1A1A1A"/>
          <w:sz w:val="22"/>
        </w:rPr>
        <w:t>Tenant-side requirements gathering is led by the OSP partner unless and until Nexus directs otherwise. MaiaEdge will design to documented assumptions and reconcile during the joint workshops in Section 3.8.</w:t>
      </w:r>
    </w:p>
    <w:p>
      <w:pPr>
        <w:pStyle w:val="Heading1"/>
      </w:pPr>
      <w:r>
        <w:t>10. Exclusions</w:t>
      </w:r>
    </w:p>
    <w:p>
      <w:pPr>
        <w:pStyle w:val="ListBullet"/>
        <w:spacing w:after="40"/>
      </w:pPr>
      <w:r>
        <w:rPr>
          <w:color w:val="1A1A1A"/>
          <w:sz w:val="22"/>
        </w:rPr>
        <w:t>Equipment procurement, purchase orders, vendor contracts, and equipment purchases themselves. The objective of this SOW is to leave Nexus ready to place purchase orders.</w:t>
      </w:r>
    </w:p>
    <w:p>
      <w:pPr>
        <w:pStyle w:val="ListBullet"/>
        <w:spacing w:after="40"/>
      </w:pPr>
      <w:r>
        <w:rPr>
          <w:color w:val="1A1A1A"/>
          <w:sz w:val="22"/>
        </w:rPr>
        <w:t>Physical install labor, materials, and field execution. These are intended to be addressed in the follow-on Pearce-led Phase 1 construction agreement.</w:t>
      </w:r>
    </w:p>
    <w:p>
      <w:pPr>
        <w:pStyle w:val="ListBullet"/>
        <w:spacing w:after="40"/>
      </w:pPr>
      <w:r>
        <w:rPr>
          <w:color w:val="1A1A1A"/>
          <w:sz w:val="22"/>
        </w:rPr>
        <w:t>Outside-plant fiber engineering, splicing, and install. This sits with the OSP partner.</w:t>
      </w:r>
    </w:p>
    <w:p>
      <w:pPr>
        <w:pStyle w:val="ListBullet"/>
        <w:spacing w:after="40"/>
      </w:pPr>
      <w:r>
        <w:rPr>
          <w:color w:val="1A1A1A"/>
          <w:sz w:val="22"/>
        </w:rPr>
        <w:t>Direct coordination with carrier companies. This sits with the OSP partner.</w:t>
      </w:r>
    </w:p>
    <w:p>
      <w:pPr>
        <w:pStyle w:val="ListBullet"/>
        <w:spacing w:after="40"/>
      </w:pPr>
      <w:r>
        <w:rPr>
          <w:color w:val="1A1A1A"/>
          <w:sz w:val="22"/>
        </w:rPr>
        <w:t>Building shell, mechanical, electrical, fire-protection, and security-system engineering. These remain with the Nexus design and construction teams.</w:t>
      </w:r>
    </w:p>
    <w:p>
      <w:pPr>
        <w:pStyle w:val="ListBullet"/>
        <w:spacing w:after="40"/>
      </w:pPr>
      <w:r>
        <w:rPr>
          <w:color w:val="1A1A1A"/>
          <w:sz w:val="22"/>
        </w:rPr>
        <w:t>IXP switching fabric, backbone DWDM, and campus east-west DCI design beyond the pre-engineering allowances and the expansion strategy called out in this SOW. These will be addressed in subsequent phases.</w:t>
      </w:r>
    </w:p>
    <w:p>
      <w:pPr>
        <w:pStyle w:val="ListBullet"/>
        <w:spacing w:after="40"/>
      </w:pPr>
      <w:r>
        <w:rPr>
          <w:color w:val="1A1A1A"/>
          <w:sz w:val="22"/>
        </w:rPr>
        <w:t>Permits, bonds, and regulatory filings, including Nexus's CLEC and SPCOA designation activities.</w:t>
      </w:r>
    </w:p>
    <w:p>
      <w:pPr>
        <w:pStyle w:val="ListBullet"/>
        <w:spacing w:after="40"/>
      </w:pPr>
      <w:r>
        <w:rPr>
          <w:color w:val="1A1A1A"/>
          <w:sz w:val="22"/>
        </w:rPr>
        <w:t>Tenant-side in-cabinet cabling beyond the tenant demarcation panel.</w:t>
      </w:r>
    </w:p>
    <w:p>
      <w:pPr>
        <w:pStyle w:val="Heading1"/>
      </w:pPr>
      <w:r>
        <w:t>11. Change Control</w:t>
      </w:r>
    </w:p>
    <w:p>
      <w:pPr>
        <w:spacing w:after="120"/>
      </w:pPr>
      <w:r>
        <w:t>Material changes to scope, deliverables, schedule, or fees will be handled by written change order signed by both parties. Minor clarifications and non-fee changes will be captured in the design workshop decision log.</w:t>
      </w:r>
    </w:p>
    <w:p>
      <w:pPr>
        <w:pStyle w:val="Heading1"/>
      </w:pPr>
      <w:r>
        <w:t>12. Confidentiality and Project Independence</w:t>
      </w:r>
    </w:p>
    <w:p>
      <w:pPr>
        <w:spacing w:after="120"/>
      </w:pPr>
      <w:r>
        <w:t>Work performed under this SOW is governed by the existing Mutual Non-Disclosure Agreement between the parties. This SOW and the deliverables produced under it are intended to be carved out from the Phase 1 project collateral package and are not assigned to any project lender as security. The MaiaEdge and Pearce engineering services rendered under this SOW are project-independent and survive any change in the Phase 1 construction structure.</w:t>
      </w:r>
    </w:p>
    <w:p>
      <w:pPr>
        <w:pStyle w:val="Heading1"/>
      </w:pPr>
      <w:r>
        <w:t>13. Path to Phase 1 Construction</w:t>
      </w:r>
    </w:p>
    <w:p>
      <w:pPr>
        <w:spacing w:after="120"/>
      </w:pPr>
      <w:r>
        <w:t>At the end of the three-month term, MaiaEdge and Pearce will deliver the 60% engineering complete package and transition to the follow-on Phase 1 construction agreement. Pearce will prime that follow-on agreement, with MaiaEdge as subcontractor on the deployment and ongoing phase. The 60% engineering package produced under this SOW is intended to be the basis for converting the construction work to a guaranteed maximum price (GMP) or not-to-exceed (NTE) price, and to support Nexus's Phase 1 financing close.</w:t>
      </w:r>
    </w:p>
    <w:p>
      <w:pPr>
        <w:pStyle w:val="Heading1"/>
      </w:pPr>
      <w:r>
        <w:t>14. Open Items</w:t>
      </w:r>
    </w:p>
    <w:p>
      <w:pPr>
        <w:spacing w:after="120"/>
      </w:pPr>
      <w:r>
        <w:t>Updated following the working session with Nick Jones (Nexus) on May 1, 2026. The items below are the residual points to resolve before final execution.</w:t>
      </w:r>
    </w:p>
    <w:p>
      <w:pPr>
        <w:pStyle w:val="ListBullet"/>
        <w:spacing w:after="40"/>
      </w:pPr>
      <w:r>
        <w:rPr>
          <w:color w:val="1A1A1A"/>
          <w:sz w:val="22"/>
        </w:rPr>
        <w:t>Whether the three-month term runs as calendar months from the Effective Date or as working months gated on Nexus and OSP partner inputs in Section 8. Working months recommended given the OSP partner dependency.</w:t>
      </w:r>
    </w:p>
    <w:p>
      <w:pPr>
        <w:pStyle w:val="ListBullet"/>
        <w:spacing w:after="40"/>
      </w:pPr>
      <w:r>
        <w:rPr>
          <w:color w:val="1A1A1A"/>
          <w:sz w:val="22"/>
        </w:rPr>
        <w:t>Tenant-side requirements gathering ownership: confirm OSP partner leads with MaiaEdge designing to assumptions, or assign to MaiaEdge with commercial adjustment.</w:t>
      </w:r>
    </w:p>
    <w:p>
      <w:pPr>
        <w:pStyle w:val="ListBullet"/>
        <w:spacing w:after="40"/>
      </w:pPr>
      <w:r>
        <w:rPr>
          <w:color w:val="1A1A1A"/>
          <w:sz w:val="22"/>
        </w:rPr>
        <w:t>Post-handoff operations role for cross-connect provisioning (MaiaEdge, Pearce, or Nexus), and the commercial terms if MaiaEdge or Pearce.</w:t>
      </w:r>
    </w:p>
    <w:p>
      <w:pPr>
        <w:pStyle w:val="ListBullet"/>
        <w:spacing w:after="40"/>
      </w:pPr>
      <w:r>
        <w:rPr>
          <w:color w:val="1A1A1A"/>
          <w:sz w:val="22"/>
        </w:rPr>
        <w:t>Alignment with Nexus's standard engineering services master agreement once Nexus contracts and procurement issue it. Sections 11, 12, and 15 may require minor edits to align.</w:t>
      </w:r>
    </w:p>
    <w:p>
      <w:pPr>
        <w:spacing w:after="120"/>
      </w:pPr>
      <w:r>
        <w:t>Items resolved on the May 1, 2026 working session and reflected in this draft: contracting structure (MaiaEdge prime on this SOW, Pearce prime on the follow-on construction); active Layer 1 / Layer 2 fabric (held for a later phase, standardized design preferred); OSP partner role and division of responsibility; carrier-direct engagement (sits with the OSP partner).</w:t>
      </w:r>
    </w:p>
    <w:p>
      <w:pPr>
        <w:pStyle w:val="Heading1"/>
      </w:pPr>
      <w:r>
        <w:t>15. Acceptance</w:t>
      </w:r>
    </w:p>
    <w:p>
      <w:pPr>
        <w:spacing w:after="120"/>
      </w:pPr>
      <w:r>
        <w:t>The parties accept the terms of this Statement of Work as of the Effective Date by signature below.</w:t>
      </w:r>
    </w:p>
    <w:tbl>
      <w:tblPr>
        <w:tblW w:type="auto" w:w="0"/>
        <w:tblLayout w:type="fixed"/>
        <w:tblLook w:firstColumn="1" w:firstRow="1" w:lastColumn="0" w:lastRow="0" w:noHBand="0" w:noVBand="1" w:val="04A0"/>
      </w:tblPr>
      <w:tblGrid>
        <w:gridCol w:w="4680"/>
        <w:gridCol w:w="4680"/>
      </w:tblGrid>
      <w:tr>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F47B20"/>
                <w:sz w:val="22"/>
              </w:rPr>
              <w:t>Nexus Data Centers, LLC</w:t>
            </w:r>
          </w:p>
        </w:tc>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F47B20"/>
                <w:sz w:val="22"/>
              </w:rPr>
              <w:t>MaiaEdge, Inc.</w:t>
            </w:r>
          </w:p>
        </w:tc>
      </w:tr>
      <w:tr>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1A1A1A"/>
                <w:sz w:val="20"/>
              </w:rPr>
              <w:t>Signature: ____________________________</w:t>
            </w:r>
          </w:p>
        </w:tc>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1A1A1A"/>
                <w:sz w:val="20"/>
              </w:rPr>
              <w:t>Signature: ____________________________</w:t>
            </w:r>
          </w:p>
        </w:tc>
      </w:tr>
      <w:tr>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1A1A1A"/>
                <w:sz w:val="20"/>
              </w:rPr>
              <w:t>Name: Ivan Van der Walt</w:t>
            </w:r>
          </w:p>
        </w:tc>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1A1A1A"/>
                <w:sz w:val="20"/>
              </w:rPr>
              <w:t>Name: Tim Ziemer</w:t>
            </w:r>
          </w:p>
        </w:tc>
      </w:tr>
      <w:tr>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1A1A1A"/>
                <w:sz w:val="20"/>
              </w:rPr>
              <w:t>Title: Chief Executive Officer</w:t>
            </w:r>
          </w:p>
        </w:tc>
        <w:tc>
          <w:tcPr>
            <w:tcW w:type="dxa" w:w="4680"/>
            <w:tcBorders>
              <w:top w:val="single" w:sz="0" w:color="FFFFFF"/>
              <w:left w:val="single" w:sz="0" w:color="FFFFFF"/>
              <w:bottom w:val="single" w:sz="0" w:color="FFFFFF"/>
              <w:right w:val="single" w:sz="0" w:color="FFFFFF"/>
            </w:tcBorders>
          </w:tcPr>
          <w:p>
            <w:r/>
            <w:r>
              <w:rPr>
                <w:rFonts w:ascii="Calibri" w:hAnsi="Calibri"/>
                <w:b w:val="0"/>
                <w:i w:val="0"/>
                <w:color w:val="1A1A1A"/>
                <w:sz w:val="20"/>
              </w:rPr>
              <w:t>Title: Chief Revenue Officer / Co-founder</w:t>
            </w:r>
          </w:p>
        </w:tc>
      </w:tr>
    </w:tbl>
    <w:p>
      <w:pPr>
        <w:pBdr>
          <w:bottom w:val="single" w:sz="12" w:space="1" w:color="F5B81E"/>
        </w:pBdr>
      </w:pPr>
    </w:p>
    <w:p>
      <w:pPr>
        <w:jc w:val="center"/>
      </w:pPr>
      <w:r>
        <w:rPr>
          <w:rFonts w:ascii="Calibri" w:hAnsi="Calibri"/>
          <w:b w:val="0"/>
          <w:i/>
          <w:color w:val="4A4A4A"/>
          <w:sz w:val="18"/>
        </w:rPr>
        <w:t>MaiaEdge   |   maiaedge.io   |   Confidential Working Draft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val="0"/>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val="0"/>
      <w:bCs/>
      <w:color w:val="F47B20"/>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val="0"/>
      <w:bCs/>
      <w:color w:val="F47B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