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Manager Performance Review</w:t>
      </w:r>
    </w:p>
    <w:p>
      <w:pPr>
        <w:spacing w:after="320"/>
      </w:pPr>
      <w:r>
        <w:rPr>
          <w:i/>
          <w:iCs/>
          <w:sz w:val="22"/>
          <w:szCs w:val="22"/>
        </w:rPr>
        <w:t xml:space="preserve">Employee: Kyle Blackwell  |  Reviewer: Tim Ziemer  |  Period: November 2025 to May 2026</w:t>
      </w:r>
    </w:p>
    <w:p>
      <w:pPr>
        <w:pStyle w:val="Heading2"/>
        <w:spacing w:after="120" w:before="240"/>
      </w:pPr>
      <w:r>
        <w:rPr>
          <w:b/>
          <w:bCs/>
          <w:sz w:val="28"/>
          <w:szCs w:val="28"/>
        </w:rPr>
        <w:t xml:space="preserve">Impact and Ownership</w:t>
      </w:r>
    </w:p>
    <w:p>
      <w:pPr>
        <w:spacing w:after="160" w:line="300"/>
      </w:pPr>
      <w:r>
        <w:rPr>
          <w:sz w:val="22"/>
          <w:szCs w:val="22"/>
        </w:rPr>
        <w:t xml:space="preserve">Kyle has been a top performer this period and consistently exceeded expectations on ownership. The headline accomplishments are converting both IENTC and Movi from POC engagements into closed customers that purchased systems. These outcomes were directly tied to his personal involvement. Across both, he owned the technical relationship end-to-end, including architecture, solution design, POC planning, interoperability testing, troubleshooting, and deployment. He didn't hand problems off. He stayed engaged until they were resolved, which built real customer trust and confidence in MaiaEdge as a partner. Beyond those wins, Kyle also drove meaningful internal contributions around technical validation, deployment documentation, testing procedures, and automation ideas that improved how we demonstrate and deploy the platform. That combination of customer-facing impact and internal investment is exactly the kind of ownership we want to see.</w:t>
      </w:r>
    </w:p>
    <w:p>
      <w:pPr>
        <w:pStyle w:val="Heading2"/>
        <w:spacing w:after="120" w:before="240"/>
      </w:pPr>
      <w:r>
        <w:rPr>
          <w:b/>
          <w:bCs/>
          <w:sz w:val="28"/>
          <w:szCs w:val="28"/>
        </w:rPr>
        <w:t xml:space="preserve">Collaboration and Communication</w:t>
      </w:r>
    </w:p>
    <w:p>
      <w:pPr>
        <w:spacing w:after="160" w:line="300"/>
      </w:pPr>
      <w:r>
        <w:rPr>
          <w:sz w:val="22"/>
          <w:szCs w:val="22"/>
        </w:rPr>
        <w:t xml:space="preserve">Kyle's collaboration strength is being proactive to keep projects moving. With opportunities that span cloud providers, Equinix Fabric, interconnect partners, customer engineering teams, and internal engineering, the easy path is to wait for someone else to push. Kyle does the opposite. He jumps into troubleshooting calls, coordinates across parties, validates configs himself, and keeps momentum even when ownership is unclear. On the IENTC and Movi POCs specifically, that real-time coordination across hardware deployment, testing, and customer comms was a big reason both converted. He also produces and shares technical documentation, diagrams, and deployment guidance that keep internal and external teams aligned. The one area to grow is asking for help sooner rather than absorbing too much himself. He has the trust of the team to delegate, and pulling others in earlier will scale his impact and reduce single-threading risk.</w:t>
      </w:r>
    </w:p>
    <w:p>
      <w:pPr>
        <w:pStyle w:val="Heading2"/>
        <w:spacing w:after="120" w:before="240"/>
      </w:pPr>
      <w:r>
        <w:rPr>
          <w:b/>
          <w:bCs/>
          <w:sz w:val="28"/>
          <w:szCs w:val="28"/>
        </w:rPr>
        <w:t xml:space="preserve">Looking Ahead</w:t>
      </w:r>
    </w:p>
    <w:p>
      <w:pPr>
        <w:spacing w:after="160" w:line="300"/>
      </w:pPr>
      <w:r>
        <w:rPr>
          <w:sz w:val="22"/>
          <w:szCs w:val="22"/>
        </w:rPr>
        <w:t xml:space="preserve">Kyle's top priority over the next six months is to partner with Patrick Timmons in Customer Success to capture the variables, configurations, and decision points that today live in Kyle's head, and turn them into standardized product and process. The pattern that worked for IENTC and Movi relied heavily on Kyle's McGuyver skills, which won't scale as customer activity grows and currently makes him a single point of contact on too many active engagements. Working with Patrick, the focus should be on standardizing POC-to-production handoffs, codifying common interconnect patterns (Equinix Fabric, Azure ExpressRoute, AWS Direct Connect), documenting deployment playbooks, and building tooling and automation so other engineers can run the playbook without Kyle in the room. We'll measure progress against a mix of outcomes: continued POC-to-revenue conversions, reduction in time-to-deploy on new customer engagements, and documented playbooks and artifacts that Customer Success and engineering can execute against without escalating to Kyle.</w:t>
      </w:r>
    </w:p>
    <w:p>
      <w:pPr>
        <w:pStyle w:val="Heading2"/>
        <w:spacing w:after="120" w:before="240"/>
      </w:pPr>
      <w:r>
        <w:rPr>
          <w:b/>
          <w:bCs/>
          <w:sz w:val="28"/>
          <w:szCs w:val="28"/>
        </w:rPr>
        <w:t xml:space="preserve">Values Alignment</w:t>
      </w:r>
    </w:p>
    <w:p>
      <w:pPr>
        <w:spacing w:after="160" w:line="300"/>
      </w:pPr>
      <w:r>
        <w:rPr>
          <w:sz w:val="22"/>
          <w:szCs w:val="22"/>
        </w:rPr>
        <w:t xml:space="preserve">Kyle most clearly demonstrated Ownership and Customer Centricity this period. Ownership shows up in his pattern of staying personally involved from first technical discussion through deployment and customer success. IENTC and Movi are the clearest examples, but the same pattern appears across Centra, Arvig, RevNet, Ecotel, and Accutech. He doesn't treat issues as someone else's to resolve. Customer Centricity shows up in how he focuses on real operational and business outcomes rather than just technical answers, including late-night troubleshooting when needed, translating complex technical concepts into language customers and leadership can act on, and removing blockers across multiple parties so customers don't have to. Both values translate directly into the trust customers place in him, and into revenue.</w:t>
      </w:r>
    </w:p>
    <w:p>
      <w:pPr>
        <w:pStyle w:val="Heading2"/>
        <w:spacing w:after="120" w:before="240"/>
      </w:pPr>
      <w:r>
        <w:rPr>
          <w:b/>
          <w:bCs/>
          <w:sz w:val="28"/>
          <w:szCs w:val="28"/>
        </w:rPr>
        <w:t xml:space="preserve">Final Thoughts / Overall Summary</w:t>
      </w:r>
    </w:p>
    <w:p>
      <w:pPr>
        <w:spacing w:after="160" w:line="300"/>
      </w:pPr>
      <w:r>
        <w:rPr>
          <w:sz w:val="22"/>
          <w:szCs w:val="22"/>
        </w:rPr>
        <w:t xml:space="preserve">Kyle was a top performer this period and one of the strongest contributors on the team. His combination of deep technical capability, end-to-end ownership, and customer-facing presence directly converted two POCs into closed customers and kept several more strategic opportunities moving. His key strengths are technical depth across interconnect platforms, persistence through complex multi-party troubleshooting, and the ability to build customer trust through personal engagement. The primary development area is learning to ask for help and delegate rather than taking on too much himself. This is partly to protect his bandwidth, but more importantly to build the scalable processes and bench strength the business needs as customer activity grows. If Kyle channels the same ownership into building repeatable systems over the next six months, his impact will compound significantly.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2026-05-30T18:21:37.135Z</dcterms:created>
  <dcterms:modified xsi:type="dcterms:W3CDTF">2026-05-30T18:21:37.136Z</dcterms:modified>
</cp:coreProperties>
</file>

<file path=docProps/custom.xml><?xml version="1.0" encoding="utf-8"?>
<Properties xmlns="http://schemas.openxmlformats.org/officeDocument/2006/custom-properties" xmlns:vt="http://schemas.openxmlformats.org/officeDocument/2006/docPropsVTypes"/>
</file>