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2"/>
        </w:rPr>
        <w:t>MAIAEDGE, INC.</w:t>
      </w:r>
    </w:p>
    <w:p>
      <w:pPr>
        <w:jc w:val="center"/>
      </w:pPr>
      <w:r>
        <w:rPr>
          <w:b/>
          <w:color w:val="1F3864"/>
          <w:sz w:val="28"/>
        </w:rPr>
        <w:t>SALES COMPENSATION PLAN</w:t>
      </w:r>
    </w:p>
    <w:p>
      <w:pPr>
        <w:jc w:val="center"/>
      </w:pPr>
      <w:r>
        <w:rPr>
          <w:color w:val="555555"/>
          <w:sz w:val="22"/>
        </w:rPr>
        <w:t>Plan Year: 2026</w:t>
      </w:r>
    </w:p>
    <w:p/>
    <w:p>
      <w:pPr>
        <w:jc w:val="center"/>
      </w:pPr>
      <w:r>
        <w:rPr>
          <w:b/>
          <w:color w:val="CC0000"/>
          <w:sz w:val="20"/>
        </w:rPr>
        <w:t>CONFIDENTIAL</w:t>
      </w:r>
    </w:p>
    <w:p/>
    <w:p>
      <w:pPr>
        <w:pStyle w:val="Heading2"/>
      </w:pPr>
      <w:r>
        <w:t>1. PARTIES AND EFFECTIVE DATE</w:t>
      </w:r>
    </w:p>
    <w:p>
      <w:r>
        <w:t>This Sales Compensation Plan (this "Plan") is entered into by and between MaiaEdge, Inc., a Delaware corporation with its principal office in Burlington, Massachusetts (the "Company"), and Tim Lieto ("Participant"), effective as of January 1, 2026 (the "Effective Date"), covering the period from January 1, 2026 through December 31, 2026 (the "Plan Period").</w:t>
      </w:r>
    </w:p>
    <w:p>
      <w:r>
        <w:t>This Plan sets forth the terms and conditions under which the Participant may earn variable compensation during the Plan Period. This Plan supplements, and is subject to, the terms of the Participant's offer letter and any other employment agreements between the Participant and the Company.</w:t>
      </w:r>
    </w:p>
    <w:p>
      <w:pPr>
        <w:pStyle w:val="Heading2"/>
      </w:pPr>
      <w:r>
        <w:t>2. DEFINITIONS</w:t>
      </w:r>
    </w:p>
    <w:p>
      <w:r>
        <w:rPr>
          <w:b/>
          <w:sz w:val="22"/>
        </w:rPr>
        <w:t>"Annual Recurring Revenue" or "ARR"</w:t>
      </w:r>
      <w:r>
        <w:t xml:space="preserve"> means The annualized value of recurring subscription or service revenue from a customer contract, calculated as the monthly recurring revenue multiplied by twelve (12). One-time fees, professional services, and non-recurring charges are excluded.</w:t>
      </w:r>
    </w:p>
    <w:p>
      <w:r>
        <w:rPr>
          <w:b/>
          <w:sz w:val="22"/>
        </w:rPr>
        <w:t>"Booking"</w:t>
      </w:r>
      <w:r>
        <w:t xml:space="preserve"> means A fully executed customer contract or purchase order that has been approved in accordance with the Company's bookings policy and recorded in the Company's CRM system of record.</w:t>
      </w:r>
    </w:p>
    <w:p>
      <w:r>
        <w:rPr>
          <w:b/>
          <w:sz w:val="22"/>
        </w:rPr>
        <w:t>"First Payment"</w:t>
      </w:r>
      <w:r>
        <w:t xml:space="preserve"> means The initial payment received from the customer under a Booking, as confirmed by the Company's finance department.</w:t>
      </w:r>
    </w:p>
    <w:p>
      <w:r>
        <w:rPr>
          <w:b/>
          <w:sz w:val="22"/>
        </w:rPr>
        <w:t>"Group Quota"</w:t>
      </w:r>
      <w:r>
        <w:t xml:space="preserve"> means The combined Americas ARR target of $1,600,000 for the Plan Period, shared by all Americas sales participants.</w:t>
      </w:r>
    </w:p>
    <w:p>
      <w:r>
        <w:rPr>
          <w:b/>
          <w:sz w:val="22"/>
        </w:rPr>
        <w:t>"Plan Period"</w:t>
      </w:r>
      <w:r>
        <w:t xml:space="preserve"> means The calendar year from January 1, 2026 through December 31, 2026.</w:t>
      </w:r>
    </w:p>
    <w:p>
      <w:r>
        <w:rPr>
          <w:b/>
          <w:sz w:val="22"/>
        </w:rPr>
        <w:t>"Territory"</w:t>
      </w:r>
      <w:r>
        <w:t xml:space="preserve"> means Americas (East Region primary; shared Americas group quota).</w:t>
      </w:r>
    </w:p>
    <w:p>
      <w:r>
        <w:rPr>
          <w:b/>
          <w:sz w:val="22"/>
        </w:rPr>
        <w:t>"Valid Booking"</w:t>
      </w:r>
      <w:r>
        <w:t xml:space="preserve"> means A Booking that satisfies all requirements of the Company's bookings policy, including but not limited to: (a) a fully executed contract or purchase order; (b) approval by the Company's designated authority; and (c) recording in the Company's CRM system.</w:t>
      </w:r>
    </w:p>
    <w:p>
      <w:pPr>
        <w:pStyle w:val="Heading2"/>
      </w:pPr>
      <w:r>
        <w:t>3. POSITION AND COMPENSATION SUMMARY</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val="clear" w:color="auto" w:fill="1F3864"/>
          </w:tcPr>
          <w:p>
            <w:pPr>
              <w:jc w:val="center"/>
            </w:pPr>
            <w:r/>
            <w:r>
              <w:rPr>
                <w:b/>
                <w:color w:val="FFFFFF"/>
                <w:sz w:val="20"/>
              </w:rPr>
              <w:t>Component</w:t>
            </w:r>
          </w:p>
        </w:tc>
        <w:tc>
          <w:tcPr>
            <w:tcW w:type="dxa" w:w="2160"/>
            <w:shd w:val="clear" w:color="auto" w:fill="1F3864"/>
          </w:tcPr>
          <w:p>
            <w:pPr>
              <w:jc w:val="center"/>
            </w:pPr>
            <w:r/>
            <w:r>
              <w:rPr>
                <w:b/>
                <w:color w:val="FFFFFF"/>
                <w:sz w:val="20"/>
              </w:rPr>
              <w:t>Annual Amount</w:t>
            </w:r>
          </w:p>
        </w:tc>
        <w:tc>
          <w:tcPr>
            <w:tcW w:type="dxa" w:w="4320"/>
            <w:shd w:val="clear" w:color="auto" w:fill="1F3864"/>
          </w:tcPr>
          <w:p>
            <w:pPr>
              <w:jc w:val="center"/>
            </w:pPr>
            <w:r/>
            <w:r>
              <w:rPr>
                <w:b/>
                <w:color w:val="FFFFFF"/>
                <w:sz w:val="20"/>
              </w:rPr>
              <w:t>Details</w:t>
            </w:r>
          </w:p>
        </w:tc>
      </w:tr>
      <w:tr>
        <w:tc>
          <w:tcPr>
            <w:tcW w:type="dxa" w:w="3168"/>
          </w:tcPr>
          <w:p>
            <w:r/>
            <w:r>
              <w:rPr>
                <w:sz w:val="20"/>
              </w:rPr>
              <w:t>Position</w:t>
            </w:r>
          </w:p>
        </w:tc>
        <w:tc>
          <w:tcPr>
            <w:tcW w:type="dxa" w:w="2160"/>
          </w:tcPr>
          <w:p>
            <w:r/>
            <w:r>
              <w:rPr>
                <w:sz w:val="20"/>
              </w:rPr>
              <w:t>AVP, North America Sales</w:t>
            </w:r>
          </w:p>
        </w:tc>
        <w:tc>
          <w:tcPr>
            <w:tcW w:type="dxa" w:w="4320"/>
          </w:tcPr>
          <w:p>
            <w:r/>
            <w:r>
              <w:rPr>
                <w:sz w:val="20"/>
              </w:rPr>
              <w:t>Territory: Americas (East Region primary; shared Americas group quota)</w:t>
            </w:r>
          </w:p>
        </w:tc>
      </w:tr>
      <w:tr>
        <w:tc>
          <w:tcPr>
            <w:tcW w:type="dxa" w:w="3168"/>
            <w:shd w:val="clear" w:color="auto" w:fill="D6E4F0"/>
          </w:tcPr>
          <w:p>
            <w:r/>
            <w:r>
              <w:rPr>
                <w:sz w:val="20"/>
              </w:rPr>
              <w:t>Base Salary</w:t>
            </w:r>
          </w:p>
        </w:tc>
        <w:tc>
          <w:tcPr>
            <w:tcW w:type="dxa" w:w="2160"/>
            <w:shd w:val="clear" w:color="auto" w:fill="D6E4F0"/>
          </w:tcPr>
          <w:p>
            <w:r/>
            <w:r>
              <w:rPr>
                <w:sz w:val="20"/>
              </w:rPr>
              <w:t>$200,000</w:t>
            </w:r>
          </w:p>
        </w:tc>
        <w:tc>
          <w:tcPr>
            <w:tcW w:type="dxa" w:w="4320"/>
            <w:shd w:val="clear" w:color="auto" w:fill="D6E4F0"/>
          </w:tcPr>
          <w:p>
            <w:r/>
            <w:r>
              <w:rPr>
                <w:sz w:val="20"/>
              </w:rPr>
              <w:t>Paid semi-monthly per Company payroll</w:t>
            </w:r>
          </w:p>
        </w:tc>
      </w:tr>
      <w:tr>
        <w:tc>
          <w:tcPr>
            <w:tcW w:type="dxa" w:w="3168"/>
          </w:tcPr>
          <w:p>
            <w:r/>
            <w:r>
              <w:rPr>
                <w:sz w:val="20"/>
              </w:rPr>
              <w:t>Variable Compensation Target</w:t>
            </w:r>
          </w:p>
        </w:tc>
        <w:tc>
          <w:tcPr>
            <w:tcW w:type="dxa" w:w="2160"/>
          </w:tcPr>
          <w:p>
            <w:r/>
            <w:r>
              <w:rPr>
                <w:sz w:val="20"/>
              </w:rPr>
              <w:t>$130,000</w:t>
            </w:r>
          </w:p>
        </w:tc>
        <w:tc>
          <w:tcPr>
            <w:tcW w:type="dxa" w:w="4320"/>
          </w:tcPr>
          <w:p>
            <w:r/>
            <w:r>
              <w:rPr>
                <w:sz w:val="20"/>
              </w:rPr>
              <w:t>At 100% of Group Quota attainment</w:t>
            </w:r>
          </w:p>
        </w:tc>
      </w:tr>
      <w:tr>
        <w:tc>
          <w:tcPr>
            <w:tcW w:type="dxa" w:w="3168"/>
            <w:shd w:val="clear" w:color="auto" w:fill="D6E4F0"/>
          </w:tcPr>
          <w:p>
            <w:r/>
            <w:r>
              <w:rPr>
                <w:sz w:val="20"/>
              </w:rPr>
              <w:t>On-Target Earnings (OTE)</w:t>
            </w:r>
          </w:p>
        </w:tc>
        <w:tc>
          <w:tcPr>
            <w:tcW w:type="dxa" w:w="2160"/>
            <w:shd w:val="clear" w:color="auto" w:fill="D6E4F0"/>
          </w:tcPr>
          <w:p>
            <w:r/>
            <w:r>
              <w:rPr>
                <w:sz w:val="20"/>
              </w:rPr>
              <w:t>$330,000</w:t>
            </w:r>
          </w:p>
        </w:tc>
        <w:tc>
          <w:tcPr>
            <w:tcW w:type="dxa" w:w="4320"/>
            <w:shd w:val="clear" w:color="auto" w:fill="D6E4F0"/>
          </w:tcPr>
          <w:p>
            <w:r/>
            <w:r>
              <w:rPr>
                <w:sz w:val="20"/>
              </w:rPr>
              <w:t>Base Salary + Variable Target</w:t>
            </w:r>
          </w:p>
        </w:tc>
      </w:tr>
      <w:tr>
        <w:tc>
          <w:tcPr>
            <w:tcW w:type="dxa" w:w="3168"/>
          </w:tcPr>
          <w:p>
            <w:r/>
            <w:r>
              <w:rPr>
                <w:sz w:val="20"/>
              </w:rPr>
              <w:t>Non-Recoverable Draw</w:t>
            </w:r>
          </w:p>
        </w:tc>
        <w:tc>
          <w:tcPr>
            <w:tcW w:type="dxa" w:w="2160"/>
          </w:tcPr>
          <w:p>
            <w:r/>
            <w:r>
              <w:rPr>
                <w:sz w:val="20"/>
              </w:rPr>
              <w:t>$32,500</w:t>
            </w:r>
          </w:p>
        </w:tc>
        <w:tc>
          <w:tcPr>
            <w:tcW w:type="dxa" w:w="4320"/>
          </w:tcPr>
          <w:p>
            <w:r/>
            <w:r>
              <w:rPr>
                <w:sz w:val="20"/>
              </w:rPr>
              <w:t>25% of Variable Target; $2,708.33/month</w:t>
            </w:r>
          </w:p>
        </w:tc>
      </w:tr>
      <w:tr>
        <w:tc>
          <w:tcPr>
            <w:tcW w:type="dxa" w:w="3168"/>
            <w:shd w:val="clear" w:color="auto" w:fill="D6E4F0"/>
          </w:tcPr>
          <w:p>
            <w:r/>
            <w:r>
              <w:rPr>
                <w:sz w:val="20"/>
              </w:rPr>
              <w:t>Quota-Based Variable</w:t>
            </w:r>
          </w:p>
        </w:tc>
        <w:tc>
          <w:tcPr>
            <w:tcW w:type="dxa" w:w="2160"/>
            <w:shd w:val="clear" w:color="auto" w:fill="D6E4F0"/>
          </w:tcPr>
          <w:p>
            <w:r/>
            <w:r>
              <w:rPr>
                <w:sz w:val="20"/>
              </w:rPr>
              <w:t>$97,500</w:t>
            </w:r>
          </w:p>
        </w:tc>
        <w:tc>
          <w:tcPr>
            <w:tcW w:type="dxa" w:w="4320"/>
            <w:shd w:val="clear" w:color="auto" w:fill="D6E4F0"/>
          </w:tcPr>
          <w:p>
            <w:r/>
            <w:r>
              <w:rPr>
                <w:sz w:val="20"/>
              </w:rPr>
              <w:t>75% of Variable Target; tied to Group Quota</w:t>
            </w:r>
          </w:p>
        </w:tc>
      </w:tr>
    </w:tbl>
    <w:p/>
    <w:p>
      <w:pPr>
        <w:pStyle w:val="Heading2"/>
      </w:pPr>
      <w:r>
        <w:t>4. NON-RECOVERABLE DRAW</w:t>
      </w:r>
    </w:p>
    <w:p>
      <w:r>
        <w:t>4.1  Amount. During the Plan Period, the Participant shall receive a non-recoverable draw against variable compensation in the amount of $32,500 per year ($2,708.33 per month), paid semi-monthly in equal installments of $1,354.17 in accordance with the Company's regular payroll schedule.</w:t>
      </w:r>
    </w:p>
    <w:p>
      <w:r>
        <w:t>4.2  Non-Recoverable Nature. The draw is non-recoverable, meaning the Company shall not seek repayment of draw amounts from the Participant under any circumstances, including but not limited to: (a) the Participant's failure to achieve any performance target; (b) the Participant's voluntary or involuntary separation from the Company; or (c) the Participant's earned commissions being less than the draw amount in any period.</w:t>
      </w:r>
    </w:p>
    <w:p>
      <w:r>
        <w:t>4.3  Offset Against Quota-Based Variable. The non-recoverable draw shall not offset, reduce, or be credited against any quota-based variable compensation earned under Section 5. The draw and quota-based variable compensation are separate and independent components.</w:t>
      </w:r>
    </w:p>
    <w:p>
      <w:r>
        <w:t>4.4  Duration. The non-recoverable draw applies only during the Plan Period (January 1, 2026 through December 31, 2026). Any continuation of a draw arrangement beyond the Plan Period shall require a separate written agreement between the Company and the Participant.</w:t>
      </w:r>
    </w:p>
    <w:p>
      <w:pPr>
        <w:pStyle w:val="Heading2"/>
      </w:pPr>
      <w:r>
        <w:t>5. QUOTA-BASED VARIABLE COMPENSATION</w:t>
      </w:r>
    </w:p>
    <w:p>
      <w:r>
        <w:t>5.1  Group Quota. The Americas Group Quota for the Plan Period is $1,600,000 in new ARR. This target is shared among all Americas sales participants. Attainment is measured based on the aggregate ARR of all Valid Bookings credited to the Americas team during the Plan Period.</w:t>
      </w:r>
    </w:p>
    <w:p>
      <w:r>
        <w:t>5.2  Target Payout. At 100% Group Quota attainment, the Participant's quota-based variable compensation target is $97,500.</w:t>
      </w:r>
    </w:p>
    <w:p>
      <w:r>
        <w:t>5.3  Commission Rate. The Participant's effective commission rate on Americas Group ARR attainment is 6.0938% of ARR (i.e., $97,500 / $1,600,000), allocated as follows:</w:t>
      </w:r>
    </w:p>
    <w:tbl>
      <w:tblPr>
        <w:tblStyle w:val="TableGrid"/>
        <w:tblW w:type="auto" w:w="0"/>
        <w:jc w:val="center"/>
        <w:tblLook w:firstColumn="1" w:firstRow="1" w:lastColumn="0" w:lastRow="0" w:noHBand="0" w:noVBand="1" w:val="04A0"/>
      </w:tblPr>
      <w:tblGrid>
        <w:gridCol w:w="3120"/>
        <w:gridCol w:w="3120"/>
        <w:gridCol w:w="3120"/>
      </w:tblGrid>
      <w:tr>
        <w:tc>
          <w:tcPr>
            <w:tcW w:type="dxa" w:w="3600"/>
            <w:shd w:val="clear" w:color="auto" w:fill="1F3864"/>
          </w:tcPr>
          <w:p>
            <w:pPr>
              <w:jc w:val="center"/>
            </w:pPr>
            <w:r/>
            <w:r>
              <w:rPr>
                <w:b/>
                <w:color w:val="FFFFFF"/>
                <w:sz w:val="20"/>
              </w:rPr>
              <w:t>Payment Trigger</w:t>
            </w:r>
          </w:p>
        </w:tc>
        <w:tc>
          <w:tcPr>
            <w:tcW w:type="dxa" w:w="2880"/>
            <w:shd w:val="clear" w:color="auto" w:fill="1F3864"/>
          </w:tcPr>
          <w:p>
            <w:pPr>
              <w:jc w:val="center"/>
            </w:pPr>
            <w:r/>
            <w:r>
              <w:rPr>
                <w:b/>
                <w:color w:val="FFFFFF"/>
                <w:sz w:val="20"/>
              </w:rPr>
              <w:t>Rate (% of ARR)</w:t>
            </w:r>
          </w:p>
        </w:tc>
        <w:tc>
          <w:tcPr>
            <w:tcW w:type="dxa" w:w="2880"/>
            <w:shd w:val="clear" w:color="auto" w:fill="1F3864"/>
          </w:tcPr>
          <w:p>
            <w:pPr>
              <w:jc w:val="center"/>
            </w:pPr>
            <w:r/>
            <w:r>
              <w:rPr>
                <w:b/>
                <w:color w:val="FFFFFF"/>
                <w:sz w:val="20"/>
              </w:rPr>
              <w:t>Per $100K ARR</w:t>
            </w:r>
          </w:p>
        </w:tc>
      </w:tr>
      <w:tr>
        <w:tc>
          <w:tcPr>
            <w:tcW w:type="dxa" w:w="3600"/>
          </w:tcPr>
          <w:p>
            <w:r/>
            <w:r>
              <w:rPr>
                <w:sz w:val="20"/>
              </w:rPr>
              <w:t>Valid Booking</w:t>
            </w:r>
          </w:p>
        </w:tc>
        <w:tc>
          <w:tcPr>
            <w:tcW w:type="dxa" w:w="2880"/>
          </w:tcPr>
          <w:p>
            <w:r/>
            <w:r>
              <w:rPr>
                <w:sz w:val="20"/>
              </w:rPr>
              <w:t>3.0469%</w:t>
            </w:r>
          </w:p>
        </w:tc>
        <w:tc>
          <w:tcPr>
            <w:tcW w:type="dxa" w:w="2880"/>
          </w:tcPr>
          <w:p>
            <w:r/>
            <w:r>
              <w:rPr>
                <w:sz w:val="20"/>
              </w:rPr>
              <w:t>$3,046.88</w:t>
            </w:r>
          </w:p>
        </w:tc>
      </w:tr>
      <w:tr>
        <w:tc>
          <w:tcPr>
            <w:tcW w:type="dxa" w:w="3600"/>
            <w:shd w:val="clear" w:color="auto" w:fill="D6E4F0"/>
          </w:tcPr>
          <w:p>
            <w:r/>
            <w:r>
              <w:rPr>
                <w:sz w:val="20"/>
              </w:rPr>
              <w:t>First Payment</w:t>
            </w:r>
          </w:p>
        </w:tc>
        <w:tc>
          <w:tcPr>
            <w:tcW w:type="dxa" w:w="2880"/>
            <w:shd w:val="clear" w:color="auto" w:fill="D6E4F0"/>
          </w:tcPr>
          <w:p>
            <w:r/>
            <w:r>
              <w:rPr>
                <w:sz w:val="20"/>
              </w:rPr>
              <w:t>3.0469%</w:t>
            </w:r>
          </w:p>
        </w:tc>
        <w:tc>
          <w:tcPr>
            <w:tcW w:type="dxa" w:w="2880"/>
            <w:shd w:val="clear" w:color="auto" w:fill="D6E4F0"/>
          </w:tcPr>
          <w:p>
            <w:r/>
            <w:r>
              <w:rPr>
                <w:sz w:val="20"/>
              </w:rPr>
              <w:t>$3,046.88</w:t>
            </w:r>
          </w:p>
        </w:tc>
      </w:tr>
      <w:tr>
        <w:tc>
          <w:tcPr>
            <w:tcW w:type="dxa" w:w="3600"/>
          </w:tcPr>
          <w:p>
            <w:r/>
            <w:r>
              <w:rPr>
                <w:sz w:val="20"/>
              </w:rPr>
              <w:t>Total</w:t>
            </w:r>
          </w:p>
        </w:tc>
        <w:tc>
          <w:tcPr>
            <w:tcW w:type="dxa" w:w="2880"/>
          </w:tcPr>
          <w:p>
            <w:r/>
            <w:r>
              <w:rPr>
                <w:sz w:val="20"/>
              </w:rPr>
              <w:t>6.0938%</w:t>
            </w:r>
          </w:p>
        </w:tc>
        <w:tc>
          <w:tcPr>
            <w:tcW w:type="dxa" w:w="2880"/>
          </w:tcPr>
          <w:p>
            <w:r/>
            <w:r>
              <w:rPr>
                <w:sz w:val="20"/>
              </w:rPr>
              <w:t>$6,093.75</w:t>
            </w:r>
          </w:p>
        </w:tc>
      </w:tr>
    </w:tbl>
    <w:p/>
    <w:p>
      <w:r>
        <w:t>5.4  Payment Triggers. Quota-based variable compensation is earned and becomes due as follows:</w:t>
      </w:r>
    </w:p>
    <w:p>
      <w:pPr>
        <w:pStyle w:val="ListBullet"/>
      </w:pPr>
      <w:r>
        <w:t>(a)  Fifty percent (50%) of the applicable commission is earned upon a Valid Booking, as defined in Section 2. The commission amount for this trigger is calculated as 3.0469% of the ARR value of the Valid Booking.</w:t>
      </w:r>
    </w:p>
    <w:p>
      <w:pPr>
        <w:pStyle w:val="ListBullet"/>
      </w:pPr>
      <w:r>
        <w:t>(b)  Fifty percent (50%) of the applicable commission is earned upon the Company's receipt of the First Payment from the customer. The commission amount for this trigger is calculated as 3.0469% of the ARR value of the associated Booking.</w:t>
      </w:r>
    </w:p>
    <w:p>
      <w:r>
        <w:t>5.5  Timing of Payment. Once a commission is earned under Section 5.4, it shall be paid on the next regular payroll cycle following the date on which the applicable trigger event occurs, but in no event later than the next regularly scheduled pay date. Commissions that are definitely determined and due shall be treated as wages under applicable law.</w:t>
      </w:r>
    </w:p>
    <w:p>
      <w:r>
        <w:t>5.6  Linear Attainment. Commission payments are calculated on a linear, dollar-for-dollar basis from the first dollar of ARR. There is no minimum threshold or floor that must be achieved before commissions begin to accrue.</w:t>
      </w:r>
    </w:p>
    <w:p>
      <w:r>
        <w:t>5.7  Overachievement. If the Group Quota is exceeded, the Participant shall continue to earn commissions at the same rate specified in Section 5.3 on all ARR above the Group Quota, unless a separate accelerator schedule is established in writing by the Company.</w:t>
      </w:r>
    </w:p>
    <w:p>
      <w:pPr>
        <w:pStyle w:val="Heading2"/>
      </w:pPr>
      <w:r>
        <w:t>6. ILLUSTRATIVE EXAMPLES</w:t>
      </w:r>
    </w:p>
    <w:p>
      <w:r>
        <w:t>The following examples illustrate how the Plan operates at various levels of Group Quota attainment. All figures are for the full Plan Period.</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440"/>
            <w:shd w:val="clear" w:color="auto" w:fill="1F3864"/>
          </w:tcPr>
          <w:p>
            <w:pPr>
              <w:jc w:val="center"/>
            </w:pPr>
            <w:r/>
            <w:r>
              <w:rPr>
                <w:b/>
                <w:color w:val="FFFFFF"/>
                <w:sz w:val="20"/>
              </w:rPr>
              <w:t>Attainment</w:t>
            </w:r>
          </w:p>
        </w:tc>
        <w:tc>
          <w:tcPr>
            <w:tcW w:type="dxa" w:w="1584"/>
            <w:shd w:val="clear" w:color="auto" w:fill="1F3864"/>
          </w:tcPr>
          <w:p>
            <w:pPr>
              <w:jc w:val="center"/>
            </w:pPr>
            <w:r/>
            <w:r>
              <w:rPr>
                <w:b/>
                <w:color w:val="FFFFFF"/>
                <w:sz w:val="20"/>
              </w:rPr>
              <w:t>Group ARR</w:t>
            </w:r>
          </w:p>
        </w:tc>
        <w:tc>
          <w:tcPr>
            <w:tcW w:type="dxa" w:w="1440"/>
            <w:shd w:val="clear" w:color="auto" w:fill="1F3864"/>
          </w:tcPr>
          <w:p>
            <w:pPr>
              <w:jc w:val="center"/>
            </w:pPr>
            <w:r/>
            <w:r>
              <w:rPr>
                <w:b/>
                <w:color w:val="FFFFFF"/>
                <w:sz w:val="20"/>
              </w:rPr>
              <w:t>Draw</w:t>
            </w:r>
          </w:p>
        </w:tc>
        <w:tc>
          <w:tcPr>
            <w:tcW w:type="dxa" w:w="1728"/>
            <w:shd w:val="clear" w:color="auto" w:fill="1F3864"/>
          </w:tcPr>
          <w:p>
            <w:pPr>
              <w:jc w:val="center"/>
            </w:pPr>
            <w:r/>
            <w:r>
              <w:rPr>
                <w:b/>
                <w:color w:val="FFFFFF"/>
                <w:sz w:val="20"/>
              </w:rPr>
              <w:t>Quota Variable</w:t>
            </w:r>
          </w:p>
        </w:tc>
        <w:tc>
          <w:tcPr>
            <w:tcW w:type="dxa" w:w="1584"/>
            <w:shd w:val="clear" w:color="auto" w:fill="1F3864"/>
          </w:tcPr>
          <w:p>
            <w:pPr>
              <w:jc w:val="center"/>
            </w:pPr>
            <w:r/>
            <w:r>
              <w:rPr>
                <w:b/>
                <w:color w:val="FFFFFF"/>
                <w:sz w:val="20"/>
              </w:rPr>
              <w:t>Total Variable</w:t>
            </w:r>
          </w:p>
        </w:tc>
        <w:tc>
          <w:tcPr>
            <w:tcW w:type="dxa" w:w="1584"/>
            <w:shd w:val="clear" w:color="auto" w:fill="1F3864"/>
          </w:tcPr>
          <w:p>
            <w:pPr>
              <w:jc w:val="center"/>
            </w:pPr>
            <w:r/>
            <w:r>
              <w:rPr>
                <w:b/>
                <w:color w:val="FFFFFF"/>
                <w:sz w:val="20"/>
              </w:rPr>
              <w:t>Total Comp</w:t>
            </w:r>
          </w:p>
        </w:tc>
      </w:tr>
      <w:tr>
        <w:tc>
          <w:tcPr>
            <w:tcW w:type="dxa" w:w="1440"/>
          </w:tcPr>
          <w:p>
            <w:r/>
            <w:r>
              <w:rPr>
                <w:sz w:val="20"/>
              </w:rPr>
              <w:t>25%</w:t>
            </w:r>
          </w:p>
        </w:tc>
        <w:tc>
          <w:tcPr>
            <w:tcW w:type="dxa" w:w="1584"/>
          </w:tcPr>
          <w:p>
            <w:r/>
            <w:r>
              <w:rPr>
                <w:sz w:val="20"/>
              </w:rPr>
              <w:t>$400,000</w:t>
            </w:r>
          </w:p>
        </w:tc>
        <w:tc>
          <w:tcPr>
            <w:tcW w:type="dxa" w:w="1440"/>
          </w:tcPr>
          <w:p>
            <w:r/>
            <w:r>
              <w:rPr>
                <w:sz w:val="20"/>
              </w:rPr>
              <w:t>$32,500</w:t>
            </w:r>
          </w:p>
        </w:tc>
        <w:tc>
          <w:tcPr>
            <w:tcW w:type="dxa" w:w="1728"/>
          </w:tcPr>
          <w:p>
            <w:r/>
            <w:r>
              <w:rPr>
                <w:sz w:val="20"/>
              </w:rPr>
              <w:t>$24,375</w:t>
            </w:r>
          </w:p>
        </w:tc>
        <w:tc>
          <w:tcPr>
            <w:tcW w:type="dxa" w:w="1584"/>
          </w:tcPr>
          <w:p>
            <w:r/>
            <w:r>
              <w:rPr>
                <w:sz w:val="20"/>
              </w:rPr>
              <w:t>$56,875</w:t>
            </w:r>
          </w:p>
        </w:tc>
        <w:tc>
          <w:tcPr>
            <w:tcW w:type="dxa" w:w="1584"/>
          </w:tcPr>
          <w:p>
            <w:r/>
            <w:r>
              <w:rPr>
                <w:sz w:val="20"/>
              </w:rPr>
              <w:t>$256,875</w:t>
            </w:r>
          </w:p>
        </w:tc>
      </w:tr>
      <w:tr>
        <w:tc>
          <w:tcPr>
            <w:tcW w:type="dxa" w:w="1440"/>
            <w:shd w:val="clear" w:color="auto" w:fill="D6E4F0"/>
          </w:tcPr>
          <w:p>
            <w:r/>
            <w:r>
              <w:rPr>
                <w:sz w:val="20"/>
              </w:rPr>
              <w:t>50%</w:t>
            </w:r>
          </w:p>
        </w:tc>
        <w:tc>
          <w:tcPr>
            <w:tcW w:type="dxa" w:w="1584"/>
            <w:shd w:val="clear" w:color="auto" w:fill="D6E4F0"/>
          </w:tcPr>
          <w:p>
            <w:r/>
            <w:r>
              <w:rPr>
                <w:sz w:val="20"/>
              </w:rPr>
              <w:t>$800,000</w:t>
            </w:r>
          </w:p>
        </w:tc>
        <w:tc>
          <w:tcPr>
            <w:tcW w:type="dxa" w:w="1440"/>
            <w:shd w:val="clear" w:color="auto" w:fill="D6E4F0"/>
          </w:tcPr>
          <w:p>
            <w:r/>
            <w:r>
              <w:rPr>
                <w:sz w:val="20"/>
              </w:rPr>
              <w:t>$32,500</w:t>
            </w:r>
          </w:p>
        </w:tc>
        <w:tc>
          <w:tcPr>
            <w:tcW w:type="dxa" w:w="1728"/>
            <w:shd w:val="clear" w:color="auto" w:fill="D6E4F0"/>
          </w:tcPr>
          <w:p>
            <w:r/>
            <w:r>
              <w:rPr>
                <w:sz w:val="20"/>
              </w:rPr>
              <w:t>$48,750</w:t>
            </w:r>
          </w:p>
        </w:tc>
        <w:tc>
          <w:tcPr>
            <w:tcW w:type="dxa" w:w="1584"/>
            <w:shd w:val="clear" w:color="auto" w:fill="D6E4F0"/>
          </w:tcPr>
          <w:p>
            <w:r/>
            <w:r>
              <w:rPr>
                <w:sz w:val="20"/>
              </w:rPr>
              <w:t>$81,250</w:t>
            </w:r>
          </w:p>
        </w:tc>
        <w:tc>
          <w:tcPr>
            <w:tcW w:type="dxa" w:w="1584"/>
            <w:shd w:val="clear" w:color="auto" w:fill="D6E4F0"/>
          </w:tcPr>
          <w:p>
            <w:r/>
            <w:r>
              <w:rPr>
                <w:sz w:val="20"/>
              </w:rPr>
              <w:t>$281,250</w:t>
            </w:r>
          </w:p>
        </w:tc>
      </w:tr>
      <w:tr>
        <w:tc>
          <w:tcPr>
            <w:tcW w:type="dxa" w:w="1440"/>
          </w:tcPr>
          <w:p>
            <w:r/>
            <w:r>
              <w:rPr>
                <w:sz w:val="20"/>
              </w:rPr>
              <w:t>75%</w:t>
            </w:r>
          </w:p>
        </w:tc>
        <w:tc>
          <w:tcPr>
            <w:tcW w:type="dxa" w:w="1584"/>
          </w:tcPr>
          <w:p>
            <w:r/>
            <w:r>
              <w:rPr>
                <w:sz w:val="20"/>
              </w:rPr>
              <w:t>$1,200,000</w:t>
            </w:r>
          </w:p>
        </w:tc>
        <w:tc>
          <w:tcPr>
            <w:tcW w:type="dxa" w:w="1440"/>
          </w:tcPr>
          <w:p>
            <w:r/>
            <w:r>
              <w:rPr>
                <w:sz w:val="20"/>
              </w:rPr>
              <w:t>$32,500</w:t>
            </w:r>
          </w:p>
        </w:tc>
        <w:tc>
          <w:tcPr>
            <w:tcW w:type="dxa" w:w="1728"/>
          </w:tcPr>
          <w:p>
            <w:r/>
            <w:r>
              <w:rPr>
                <w:sz w:val="20"/>
              </w:rPr>
              <w:t>$73,125</w:t>
            </w:r>
          </w:p>
        </w:tc>
        <w:tc>
          <w:tcPr>
            <w:tcW w:type="dxa" w:w="1584"/>
          </w:tcPr>
          <w:p>
            <w:r/>
            <w:r>
              <w:rPr>
                <w:sz w:val="20"/>
              </w:rPr>
              <w:t>$105,625</w:t>
            </w:r>
          </w:p>
        </w:tc>
        <w:tc>
          <w:tcPr>
            <w:tcW w:type="dxa" w:w="1584"/>
          </w:tcPr>
          <w:p>
            <w:r/>
            <w:r>
              <w:rPr>
                <w:sz w:val="20"/>
              </w:rPr>
              <w:t>$305,625</w:t>
            </w:r>
          </w:p>
        </w:tc>
      </w:tr>
      <w:tr>
        <w:tc>
          <w:tcPr>
            <w:tcW w:type="dxa" w:w="1440"/>
            <w:shd w:val="clear" w:color="auto" w:fill="D6E4F0"/>
          </w:tcPr>
          <w:p>
            <w:r/>
            <w:r>
              <w:rPr>
                <w:sz w:val="20"/>
              </w:rPr>
              <w:t>100%</w:t>
            </w:r>
          </w:p>
        </w:tc>
        <w:tc>
          <w:tcPr>
            <w:tcW w:type="dxa" w:w="1584"/>
            <w:shd w:val="clear" w:color="auto" w:fill="D6E4F0"/>
          </w:tcPr>
          <w:p>
            <w:r/>
            <w:r>
              <w:rPr>
                <w:sz w:val="20"/>
              </w:rPr>
              <w:t>$1,600,000</w:t>
            </w:r>
          </w:p>
        </w:tc>
        <w:tc>
          <w:tcPr>
            <w:tcW w:type="dxa" w:w="1440"/>
            <w:shd w:val="clear" w:color="auto" w:fill="D6E4F0"/>
          </w:tcPr>
          <w:p>
            <w:r/>
            <w:r>
              <w:rPr>
                <w:sz w:val="20"/>
              </w:rPr>
              <w:t>$32,500</w:t>
            </w:r>
          </w:p>
        </w:tc>
        <w:tc>
          <w:tcPr>
            <w:tcW w:type="dxa" w:w="1728"/>
            <w:shd w:val="clear" w:color="auto" w:fill="D6E4F0"/>
          </w:tcPr>
          <w:p>
            <w:r/>
            <w:r>
              <w:rPr>
                <w:sz w:val="20"/>
              </w:rPr>
              <w:t>$97,500</w:t>
            </w:r>
          </w:p>
        </w:tc>
        <w:tc>
          <w:tcPr>
            <w:tcW w:type="dxa" w:w="1584"/>
            <w:shd w:val="clear" w:color="auto" w:fill="D6E4F0"/>
          </w:tcPr>
          <w:p>
            <w:r/>
            <w:r>
              <w:rPr>
                <w:sz w:val="20"/>
              </w:rPr>
              <w:t>$130,000</w:t>
            </w:r>
          </w:p>
        </w:tc>
        <w:tc>
          <w:tcPr>
            <w:tcW w:type="dxa" w:w="1584"/>
            <w:shd w:val="clear" w:color="auto" w:fill="D6E4F0"/>
          </w:tcPr>
          <w:p>
            <w:r/>
            <w:r>
              <w:rPr>
                <w:sz w:val="20"/>
              </w:rPr>
              <w:t>$330,000</w:t>
            </w:r>
          </w:p>
        </w:tc>
      </w:tr>
      <w:tr>
        <w:tc>
          <w:tcPr>
            <w:tcW w:type="dxa" w:w="1440"/>
          </w:tcPr>
          <w:p>
            <w:r/>
            <w:r>
              <w:rPr>
                <w:sz w:val="20"/>
              </w:rPr>
              <w:t>125%</w:t>
            </w:r>
          </w:p>
        </w:tc>
        <w:tc>
          <w:tcPr>
            <w:tcW w:type="dxa" w:w="1584"/>
          </w:tcPr>
          <w:p>
            <w:r/>
            <w:r>
              <w:rPr>
                <w:sz w:val="20"/>
              </w:rPr>
              <w:t>$2,000,000</w:t>
            </w:r>
          </w:p>
        </w:tc>
        <w:tc>
          <w:tcPr>
            <w:tcW w:type="dxa" w:w="1440"/>
          </w:tcPr>
          <w:p>
            <w:r/>
            <w:r>
              <w:rPr>
                <w:sz w:val="20"/>
              </w:rPr>
              <w:t>$32,500</w:t>
            </w:r>
          </w:p>
        </w:tc>
        <w:tc>
          <w:tcPr>
            <w:tcW w:type="dxa" w:w="1728"/>
          </w:tcPr>
          <w:p>
            <w:r/>
            <w:r>
              <w:rPr>
                <w:sz w:val="20"/>
              </w:rPr>
              <w:t>$121,875</w:t>
            </w:r>
          </w:p>
        </w:tc>
        <w:tc>
          <w:tcPr>
            <w:tcW w:type="dxa" w:w="1584"/>
          </w:tcPr>
          <w:p>
            <w:r/>
            <w:r>
              <w:rPr>
                <w:sz w:val="20"/>
              </w:rPr>
              <w:t>$154,375</w:t>
            </w:r>
          </w:p>
        </w:tc>
        <w:tc>
          <w:tcPr>
            <w:tcW w:type="dxa" w:w="1584"/>
          </w:tcPr>
          <w:p>
            <w:r/>
            <w:r>
              <w:rPr>
                <w:sz w:val="20"/>
              </w:rPr>
              <w:t>$354,375</w:t>
            </w:r>
          </w:p>
        </w:tc>
      </w:tr>
    </w:tbl>
    <w:p/>
    <w:p>
      <w:pPr>
        <w:pStyle w:val="Heading2"/>
      </w:pPr>
      <w:r>
        <w:t>7. CREDITING AND BOOKINGS POLICY</w:t>
      </w:r>
    </w:p>
    <w:p>
      <w:r>
        <w:t>7.1  All Bookings must comply with the Company's bookings policy as established and amended from time to time by the Company.</w:t>
      </w:r>
    </w:p>
    <w:p>
      <w:r>
        <w:t>7.2  The Company shall maintain a written bookings policy that specifies the criteria for a Valid Booking, including required approvals, documentation, and CRM recording requirements. The Participant shall be provided a copy of the current bookings policy.</w:t>
      </w:r>
    </w:p>
    <w:p>
      <w:r>
        <w:t>7.3  Disputes regarding whether a Booking qualifies as a Valid Booking shall be resolved by the Company's VP of Finance or CRO, whose determination shall be final.</w:t>
      </w:r>
    </w:p>
    <w:p>
      <w:r>
        <w:t>7.4  In the event of a customer cancellation, downgrade, or churn within the first twelve (12) months of a Booking, the Company may adjust future commission payments accordingly. However, the Company shall not seek to recover commissions already paid and earned under this Plan.</w:t>
      </w:r>
    </w:p>
    <w:p>
      <w:pPr>
        <w:pStyle w:val="Heading2"/>
      </w:pPr>
      <w:r>
        <w:t>8. TERRITORY AND ACCOUNT ASSIGNMENT</w:t>
      </w:r>
    </w:p>
    <w:p>
      <w:r>
        <w:t>8.1  The Participant's primary territory is the Americas (East Region primary; shared Americas group quota). The Company may modify territory assignments upon thirty (30) days' written notice.</w:t>
      </w:r>
    </w:p>
    <w:p>
      <w:r>
        <w:t>8.2  Because the Group Quota is a shared Americas target, all Valid Bookings from customers in the Americas region shall count toward Group Quota attainment regardless of which individual Participant sourced or closed the opportunity.</w:t>
      </w:r>
    </w:p>
    <w:p>
      <w:pPr>
        <w:pStyle w:val="Heading2"/>
      </w:pPr>
      <w:r>
        <w:t>9. PLAN ADMINISTRATION</w:t>
      </w:r>
    </w:p>
    <w:p>
      <w:r>
        <w:t>9.1  The Company shall provide the Participant with a written statement of earned and paid commissions no less frequently than monthly.</w:t>
      </w:r>
    </w:p>
    <w:p>
      <w:r>
        <w:t>9.2  The Participant shall have the right to review records related to the calculation of commissions upon reasonable request.</w:t>
      </w:r>
    </w:p>
    <w:p>
      <w:r>
        <w:t>9.3  In the event of a good-faith dispute regarding commission calculations, the Participant shall submit a written notice to the Company within thirty (30) days of receiving the applicable commission statement. The Company shall respond in writing within fifteen (15) business days.</w:t>
      </w:r>
    </w:p>
    <w:p>
      <w:pPr>
        <w:pStyle w:val="Heading2"/>
      </w:pPr>
      <w:r>
        <w:t>10. SEPARATION OF EMPLOYMENT</w:t>
      </w:r>
    </w:p>
    <w:p>
      <w:r>
        <w:t>10.1  Upon separation from the Company for any reason, the Participant shall be entitled to receive payment for all commissions that have been earned (i.e., the applicable trigger event under Section 5.4 has occurred) as of the date of separation, regardless of whether the commission has yet been paid.</w:t>
      </w:r>
    </w:p>
    <w:p>
      <w:r>
        <w:t>10.2  Earned but unpaid commissions shall be paid on or before the Participant's final paycheck, or on the next regular pay date, whichever is earlier, in compliance with applicable state wage payment laws.</w:t>
      </w:r>
    </w:p>
    <w:p>
      <w:r>
        <w:t>10.3  For Bookings that have occurred prior to separation but where First Payment has not yet been received, the Participant shall receive the First Payment commission (Section 5.4(b)) when and if the First Payment is received by the Company, paid on the next regular payroll cycle following receipt.</w:t>
      </w:r>
    </w:p>
    <w:p>
      <w:r>
        <w:t>10.4  The non-recoverable draw shall be prorated through the Participant's last day of employment and shall not be subject to repayment.</w:t>
      </w:r>
    </w:p>
    <w:p>
      <w:pPr>
        <w:pStyle w:val="Heading2"/>
      </w:pPr>
      <w:r>
        <w:t>11. GOVERNING LAW AND COMPLIANCE</w:t>
      </w:r>
    </w:p>
    <w:p>
      <w:r>
        <w:t>11.1  This Plan shall be governed by and construed in accordance with the laws of the Commonwealth of Massachusetts, including without limitation the Massachusetts Wage Act (M.G.L. c. 149, Sections 148, 148A, 148B, and 150). To the extent that any provision of this Plan conflicts with the Massachusetts Wage Act or any other applicable wage payment law, the applicable law shall control.</w:t>
      </w:r>
    </w:p>
    <w:p>
      <w:r>
        <w:t>11.2  The Participant resides in New Hampshire. To the extent that New Hampshire law provides greater protections to the Participant with respect to the payment of wages or commissions, such law shall apply in addition to Massachusetts law.</w:t>
      </w:r>
    </w:p>
    <w:p>
      <w:r>
        <w:t>11.3  Commissions earned under this Plan are wages. Once a commission is definitely determined and due and payable under Section 5.4, the Company shall not condition payment on the Participant's continued employment or any other condition not expressly stated in this Plan.</w:t>
      </w:r>
    </w:p>
    <w:p>
      <w:r>
        <w:t>11.4  Nothing in this Plan shall be construed to permit the Company to forfeit, withhold, or delay payment of earned commissions in violation of the Massachusetts Wage Act or any other applicable law.</w:t>
      </w:r>
    </w:p>
    <w:p>
      <w:pPr>
        <w:pStyle w:val="Heading2"/>
      </w:pPr>
      <w:r>
        <w:t>12. AMENDMENT AND MODIFICATION</w:t>
      </w:r>
    </w:p>
    <w:p>
      <w:r>
        <w:t>12.1  The Company reserves the right to amend, modify, or terminate this Plan upon thirty (30) days' prior written notice to the Participant. Any amendment shall apply prospectively only and shall not affect commissions already earned under the Plan.</w:t>
      </w:r>
    </w:p>
    <w:p>
      <w:r>
        <w:t>12.2  No oral modification of this Plan shall be effective. Any modification must be in writing and signed by an authorized representative of the Company.</w:t>
      </w:r>
    </w:p>
    <w:p>
      <w:pPr>
        <w:pStyle w:val="Heading2"/>
      </w:pPr>
      <w:r>
        <w:t>13. ENTIRE AGREEMENT</w:t>
      </w:r>
    </w:p>
    <w:p>
      <w:r>
        <w:t>This Plan, together with the Participant's offer letter and any other written employment agreements, constitutes the entire agreement between the parties regarding the Participant's variable compensation for the Plan Period. This Plan supersedes any prior oral or written understandings regarding variable compensation for the Plan Period.</w:t>
      </w:r>
    </w:p>
    <w:p>
      <w:pPr>
        <w:pStyle w:val="Heading2"/>
      </w:pPr>
      <w:r>
        <w:t>14. AT-WILL EMPLOYMENT</w:t>
      </w:r>
    </w:p>
    <w:p>
      <w:r>
        <w:t>Nothing in this Plan alters the at-will nature of the Participant's employment with the Company. Either party may terminate the employment relationship at any time, with or without cause, and with or without notice, subject to applicable law.</w:t>
      </w:r>
    </w:p>
    <w:p/>
    <w:p/>
    <w:p>
      <w:r>
        <w:rPr>
          <w:b/>
        </w:rPr>
        <w:t>ACKNOWLEDGED AND AGREED:</w:t>
      </w:r>
    </w:p>
    <w:p/>
    <w:tbl>
      <w:tblPr>
        <w:tblW w:type="auto" w:w="0"/>
        <w:tblLook w:firstColumn="1" w:firstRow="1" w:lastColumn="0" w:lastRow="0" w:noHBand="0" w:noVBand="1" w:val="04A0"/>
      </w:tblPr>
      <w:tblGrid>
        <w:gridCol w:w="4680"/>
        <w:gridCol w:w="4680"/>
      </w:tblGrid>
      <w:tr>
        <w:tc>
          <w:tcPr>
            <w:tcW w:type="dxa" w:w="4680"/>
          </w:tcPr>
          <w:p>
            <w:r>
              <w:rPr>
                <w:b/>
              </w:rPr>
              <w:t>MaiaEdge, Inc.</w:t>
            </w:r>
          </w:p>
        </w:tc>
        <w:tc>
          <w:tcPr>
            <w:tcW w:type="dxa" w:w="4680"/>
          </w:tcPr>
          <w:p>
            <w:r>
              <w:rPr>
                <w:b/>
              </w:rPr>
              <w:t>PARTICIPANT</w:t>
            </w:r>
          </w:p>
        </w:tc>
      </w:tr>
      <w:tr>
        <w:tc>
          <w:tcPr>
            <w:tcW w:type="dxa" w:w="4680"/>
          </w:tcPr>
          <w:p>
            <w:r/>
          </w:p>
        </w:tc>
        <w:tc>
          <w:tcPr>
            <w:tcW w:type="dxa" w:w="4680"/>
          </w:tcPr>
          <w:p>
            <w:r/>
          </w:p>
        </w:tc>
      </w:tr>
      <w:tr>
        <w:tc>
          <w:tcPr>
            <w:tcW w:type="dxa" w:w="4680"/>
          </w:tcPr>
          <w:p>
            <w:r>
              <w:t>____________________________________</w:t>
            </w:r>
          </w:p>
        </w:tc>
        <w:tc>
          <w:tcPr>
            <w:tcW w:type="dxa" w:w="4680"/>
          </w:tcPr>
          <w:p>
            <w:r>
              <w:t>____________________________________</w:t>
            </w:r>
          </w:p>
        </w:tc>
      </w:tr>
      <w:tr>
        <w:tc>
          <w:tcPr>
            <w:tcW w:type="dxa" w:w="4680"/>
          </w:tcPr>
          <w:p>
            <w:r>
              <w:t>Name:                     Date:</w:t>
            </w:r>
          </w:p>
        </w:tc>
        <w:tc>
          <w:tcPr>
            <w:tcW w:type="dxa" w:w="4680"/>
          </w:tcPr>
          <w:p>
            <w:r>
              <w:t>Tim Lieto              Date: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