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drawing>
          <wp:inline distT="0" distB="0" distL="0" distR="0">
            <wp:extent cx="4114800" cy="1171575"/>
            <wp:effectExtent t="0" r="0" b="0" l="0"/>
            <wp:docPr id="1" name="MaiaEdgeLogo" descr="MaiaEdge logo" title="Maia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1171575"/>
                    </a:xfrm>
                    <a:prstGeom prst="rect">
                      <a:avLst/>
                    </a:prstGeom>
                  </pic:spPr>
                </pic:pic>
              </a:graphicData>
            </a:graphic>
          </wp:inline>
        </w:drawing>
      </w:r>
    </w:p>
    <w:p>
      <w:pPr>
        <w:spacing w:after="120"/>
        <w:jc w:val="center"/>
      </w:pPr>
      <w:r>
        <w:rPr>
          <w:b/>
          <w:bCs/>
          <w:color w:val="1A1A1A"/>
          <w:sz w:val="44"/>
          <w:szCs w:val="44"/>
        </w:rPr>
        <w:t xml:space="preserve">Partner Enablement Guide</w:t>
      </w:r>
    </w:p>
    <w:p>
      <w:pPr>
        <w:spacing w:after="480"/>
        <w:jc w:val="center"/>
      </w:pPr>
      <w:r>
        <w:rPr>
          <w:i/>
          <w:iCs/>
          <w:color w:val="4A4A4A"/>
          <w:sz w:val="28"/>
          <w:szCs w:val="28"/>
        </w:rPr>
        <w:t xml:space="preserve">Southern Europe Representative Briefing</w:t>
      </w:r>
    </w:p>
    <w:p>
      <w:pPr>
        <w:pBdr>
          <w:top w:val="single" w:color="1A1A1A" w:sz="12" w:space="8"/>
        </w:pBdr>
        <w:spacing w:after="120" w:before="400"/>
        <w:jc w:val="center"/>
      </w:pPr>
      <w:r>
        <w:rPr>
          <w:sz w:val="4"/>
          <w:szCs w:val="4"/>
        </w:rPr>
        <w:t xml:space="preserve"/>
      </w:r>
    </w:p>
    <w:p>
      <w:pPr>
        <w:spacing w:after="60"/>
        <w:jc w:val="center"/>
      </w:pPr>
      <w:r>
        <w:rPr>
          <w:b/>
          <w:bCs/>
          <w:color w:val="1A1A1A"/>
          <w:sz w:val="32"/>
          <w:szCs w:val="32"/>
        </w:rPr>
        <w:t xml:space="preserve">Private paths. Any network. Instantly.</w:t>
      </w:r>
    </w:p>
    <w:p>
      <w:pPr>
        <w:spacing w:after="120"/>
        <w:jc w:val="center"/>
      </w:pPr>
      <w:r>
        <w:rPr>
          <w:i/>
          <w:iCs/>
          <w:color w:val="4A4A4A"/>
          <w:sz w:val="22"/>
          <w:szCs w:val="22"/>
        </w:rPr>
        <w:t xml:space="preserve">Carrier infrastructure for federated private networking</w:t>
      </w:r>
    </w:p>
    <w:p>
      <w:pPr>
        <w:pBdr>
          <w:bottom w:val="single" w:color="1A1A1A" w:sz="12" w:space="8"/>
        </w:pBdr>
        <w:spacing w:after="1200"/>
        <w:jc w:val="center"/>
      </w:pPr>
      <w:r>
        <w:rPr>
          <w:sz w:val="4"/>
          <w:szCs w:val="4"/>
        </w:rPr>
        <w:t xml:space="preserve"/>
      </w:r>
    </w:p>
    <w:p>
      <w:pPr>
        <w:spacing w:after="80"/>
        <w:jc w:val="center"/>
      </w:pPr>
      <w:r>
        <w:rPr>
          <w:b/>
          <w:bCs/>
          <w:color w:val="C00000"/>
          <w:sz w:val="22"/>
          <w:szCs w:val="22"/>
        </w:rPr>
        <w:t xml:space="preserve">CONFIDENTIAL</w:t>
      </w:r>
    </w:p>
    <w:p>
      <w:pPr>
        <w:spacing w:after="80"/>
        <w:jc w:val="center"/>
      </w:pPr>
      <w:r>
        <w:rPr>
          <w:i/>
          <w:iCs/>
          <w:color w:val="4A4A4A"/>
          <w:sz w:val="20"/>
          <w:szCs w:val="20"/>
        </w:rPr>
        <w:t xml:space="preserve">Prepared under NDA. For internal representative use only.</w:t>
      </w:r>
    </w:p>
    <w:p>
      <w:pPr>
        <w:spacing w:after="120"/>
        <w:jc w:val="center"/>
      </w:pPr>
      <w:r>
        <w:rPr>
          <w:color w:val="4A4A4A"/>
          <w:sz w:val="20"/>
          <w:szCs w:val="20"/>
        </w:rPr>
        <w:t xml:space="preserve">April 2026</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MaiaEdge</w:t>
      </w:r>
    </w:p>
    <w:p>
      <w:pPr>
        <w:pStyle w:val="Heading2"/>
      </w:pPr>
      <w:r>
        <w:t xml:space="preserve">1.1 What We Do</w:t>
      </w:r>
    </w:p>
    <w:p>
      <w:pPr>
        <w:spacing w:after="120"/>
      </w:pPr>
      <w:r>
        <w:t xml:space="preserve">MaiaEdge builds carrier infrastructure for federated private networking. We enable network operators, colocation providers, and AI cloud builders to activate deterministic private paths across any network, over any transport, in minutes rather than weeks.</w:t>
      </w:r>
    </w:p>
    <w:p>
      <w:pPr>
        <w:spacing w:after="120"/>
      </w:pPr>
      <w:r>
        <w:t xml:space="preserve">Our platform replaces the routing complexity that has historically constrained carrier service delivery. No BGP in the field. No MPLS configuration per customer. No multi-year fabric development. Operators deploy our hardware at the edge, provision services through a unified control plane, and maintain complete sovereignty over their customer relationships.</w:t>
      </w:r>
    </w:p>
    <w:p>
      <w:pPr>
        <w:pStyle w:val="Heading2"/>
      </w:pPr>
      <w:r>
        <w:t xml:space="preserve">1.2 Core Positioning</w:t>
      </w:r>
    </w:p>
    <w:p>
      <w:pPr>
        <w:spacing w:after="120"/>
      </w:pPr>
      <w:r>
        <w:rPr>
          <w:b/>
          <w:bCs/>
        </w:rPr>
        <w:t xml:space="preserve">Hero statement: </w:t>
      </w:r>
      <w:r>
        <w:rPr>
          <w:i/>
          <w:iCs/>
        </w:rPr>
        <w:t xml:space="preserve">Private paths. Any network. Instantly.</w:t>
      </w:r>
    </w:p>
    <w:p>
      <w:pPr>
        <w:spacing w:after="120"/>
      </w:pPr>
      <w:r>
        <w:rPr>
          <w:b/>
          <w:bCs/>
        </w:rPr>
        <w:t xml:space="preserve">Category: </w:t>
      </w:r>
      <w:r>
        <w:t xml:space="preserve">Carrier infrastructure for federated private networking.</w:t>
      </w:r>
    </w:p>
    <w:p>
      <w:pPr>
        <w:spacing w:after="120"/>
      </w:pPr>
      <w:r>
        <w:rPr>
          <w:b/>
          <w:bCs/>
        </w:rPr>
        <w:t xml:space="preserve">Positioning: </w:t>
      </w:r>
      <w:r>
        <w:t xml:space="preserve">For network operators with fragmented networks, MaiaEdge delivers the only purpose-built infrastructure that automatically interconnects disconnected networks into one cohesive fabric, so they can activate private paths anywhere, instantly.</w:t>
      </w:r>
    </w:p>
    <w:p>
      <w:pPr>
        <w:spacing w:after="120"/>
      </w:pPr>
      <w:r>
        <w:rPr>
          <w:b/>
          <w:bCs/>
        </w:rPr>
        <w:t xml:space="preserve">Only statement: </w:t>
      </w:r>
      <w:r>
        <w:t xml:space="preserve">Only MaiaEdge provides the infrastructure that enables network operators to extend services across domains instantly, over any transport, while maintaining complete visibility and sovereignty.</w:t>
      </w:r>
    </w:p>
    <w:p>
      <w:pPr>
        <w:pStyle w:val="Heading2"/>
      </w:pPr>
      <w:r>
        <w:t xml:space="preserve">1.3 Team Credibility</w:t>
      </w:r>
    </w:p>
    <w:p>
      <w:pPr>
        <w:spacing w:after="120"/>
      </w:pPr>
      <w:r>
        <w:t xml:space="preserve">MaiaEdge was founded by the leaders behind Acme Packet (2.1B USD exit to Oracle) and 128 Technology (acquired by Juniper). Combined outcomes across the founding team exceed 2.5B USD in enterprise value creation. The company is Series A funded by tier 1 infrastructure investors.</w:t>
      </w:r>
    </w:p>
    <w:p>
      <w:pPr>
        <w:spacing w:after="120"/>
      </w:pPr>
      <w:r>
        <w:t xml:space="preserve">This is a team that has built carrier-grade infrastructure at scale before. We are not software engineers learning to build routers. We are carrier operators who understand what it takes to run a telco in production and who have shipped hardware that sits in the largest networks in the world.</w:t>
      </w:r>
    </w:p>
    <w:p>
      <w:pPr>
        <w:spacing w:after="120"/>
      </w:pPr>
      <w:r>
        <w:rPr>
          <w:i/>
          <w:iCs/>
        </w:rPr>
        <w:t xml:space="preserve">Note: Team credibility anchors are designed for discovery conversations and follow-ups, not cold introductions.</w:t>
      </w:r>
    </w:p>
    <w:p>
      <w:r>
        <w:br w:type="page"/>
      </w:r>
    </w:p>
    <w:p>
      <w:pPr>
        <w:pStyle w:val="Heading1"/>
      </w:pPr>
      <w:r>
        <w:t xml:space="preserve">2. Why MaiaEdge, Why Now</w:t>
      </w:r>
    </w:p>
    <w:p>
      <w:pPr>
        <w:spacing w:after="120"/>
      </w:pPr>
      <w:r>
        <w:t xml:space="preserve">Every good sales conversation answers three questions in order: Why change? Why now? Why MaiaEdge? This section arms the representative with the answers in plain language.</w:t>
      </w:r>
    </w:p>
    <w:p>
      <w:pPr>
        <w:pStyle w:val="Heading2"/>
      </w:pPr>
      <w:r>
        <w:t xml:space="preserve">2.1 Why Change: The Economics Have Broken</w:t>
      </w:r>
    </w:p>
    <w:p>
      <w:pPr>
        <w:spacing w:after="120"/>
      </w:pPr>
      <w:r>
        <w:t xml:space="preserve">The carrier services model that most regional operators still run on was designed in a world where customer requests were predictable, NNIs were multi-year commitments, and cloud was something enterprises dialed up over the public internet. None of that is true anymore.</w:t>
      </w:r>
    </w:p>
    <w:p>
      <w:pPr>
        <w:pStyle w:val="ListParagraph"/>
        <w:numPr>
          <w:ilvl w:val="0"/>
          <w:numId w:val="2"/>
        </w:numPr>
        <w:spacing w:after="60"/>
      </w:pPr>
      <w:r>
        <w:t xml:space="preserve">Customer requests now arrive in weeks and demand activation in days. Traditional NNI cycles of 90 to 120 days are a disqualification.</w:t>
      </w:r>
    </w:p>
    <w:p>
      <w:pPr>
        <w:pStyle w:val="ListParagraph"/>
        <w:numPr>
          <w:ilvl w:val="0"/>
          <w:numId w:val="2"/>
        </w:numPr>
        <w:spacing w:after="60"/>
      </w:pPr>
      <w:r>
        <w:t xml:space="preserve">The public internet is no longer acceptable for enterprise workloads. Customers expect private paths end to end, with guarantees.</w:t>
      </w:r>
    </w:p>
    <w:p>
      <w:pPr>
        <w:pStyle w:val="ListParagraph"/>
        <w:numPr>
          <w:ilvl w:val="0"/>
          <w:numId w:val="2"/>
        </w:numPr>
        <w:spacing w:after="60"/>
      </w:pPr>
      <w:r>
        <w:t xml:space="preserve">NaaS platforms (Megaport, Equinix Fabric) are capturing the customer relationships that regional operators used to own, and published NaaS pricing is crushing the margin below them.</w:t>
      </w:r>
    </w:p>
    <w:p>
      <w:pPr>
        <w:pStyle w:val="ListParagraph"/>
        <w:numPr>
          <w:ilvl w:val="0"/>
          <w:numId w:val="2"/>
        </w:numPr>
        <w:spacing w:after="60"/>
      </w:pPr>
      <w:r>
        <w:t xml:space="preserve">The 4,094-VLAN ceiling and per-customer port model make multi-tenant economics impossible at the density AI tenants now demand.</w:t>
      </w:r>
    </w:p>
    <w:p>
      <w:pPr>
        <w:spacing w:after="120"/>
      </w:pPr>
      <w:r>
        <w:t xml:space="preserve">Operators who stand still face a slow, compounding erosion: fewer new customer wins, lower margin on the wins they do make, and an increasing share of their infrastructure value captured by somebody else's platform.</w:t>
      </w:r>
    </w:p>
    <w:p>
      <w:pPr>
        <w:pStyle w:val="Heading2"/>
      </w:pPr>
      <w:r>
        <w:t xml:space="preserve">2.2 Why Now: Three Converging Waves</w:t>
      </w:r>
    </w:p>
    <w:p>
      <w:pPr>
        <w:spacing w:after="120"/>
      </w:pPr>
      <w:r>
        <w:t xml:space="preserve">Three forces are turning a gradual pressure into an urgent one:</w:t>
      </w:r>
    </w:p>
    <w:p>
      <w:pPr>
        <w:pStyle w:val="ListParagraph"/>
        <w:numPr>
          <w:ilvl w:val="0"/>
          <w:numId w:val="2"/>
        </w:numPr>
        <w:spacing w:after="60"/>
      </w:pPr>
      <w:r>
        <w:rPr>
          <w:b/>
          <w:bCs/>
        </w:rPr>
        <w:t xml:space="preserve">AI workloads are reshaping the fabric. </w:t>
      </w:r>
      <w:r>
        <w:t xml:space="preserve">Inference is forecast to represent roughly 70 percent of AI demand by 2029, and roughly 87 percent of enterprises are repatriating AI workloads from public cloud into hybrid and sovereign environments over the next 12 to 24 months. Both trends drive demand for deterministic, private, encrypted connectivity at a scale the legacy fabric model was not designed for.</w:t>
      </w:r>
    </w:p>
    <w:p>
      <w:pPr>
        <w:pStyle w:val="ListParagraph"/>
        <w:numPr>
          <w:ilvl w:val="0"/>
          <w:numId w:val="2"/>
        </w:numPr>
        <w:spacing w:after="60"/>
      </w:pPr>
      <w:r>
        <w:rPr>
          <w:b/>
          <w:bCs/>
        </w:rPr>
        <w:t xml:space="preserve">Hyperscalers and Lumen are locking in the future. </w:t>
      </w:r>
      <w:r>
        <w:t xml:space="preserve">Lumen has reported approximately 5B USD in AI connectivity bookings under its Private Connectivity Fabric. Every quarter, the largest platforms consolidate more of the private-connectivity market. Operators who do not field a counter-offer today will not be asked to the table tomorrow.</w:t>
      </w:r>
    </w:p>
    <w:p>
      <w:pPr>
        <w:pStyle w:val="ListParagraph"/>
        <w:numPr>
          <w:ilvl w:val="0"/>
          <w:numId w:val="2"/>
        </w:numPr>
        <w:spacing w:after="60"/>
      </w:pPr>
      <w:r>
        <w:rPr>
          <w:b/>
          <w:bCs/>
        </w:rPr>
        <w:t xml:space="preserve">European sovereignty requirements are accelerating. </w:t>
      </w:r>
      <w:r>
        <w:t xml:space="preserve">GDPR, NIS2, and sovereign AI mandates are forcing European enterprises and public sector buyers to demand data-path encryption and in-region control. Southern European carriers, colos, and neoclouds that can answer that demand in the next four to six quarters will capture customer relationships that become very difficult to unseat.</w:t>
      </w:r>
    </w:p>
    <w:p>
      <w:pPr>
        <w:pStyle w:val="Heading2"/>
      </w:pPr>
      <w:r>
        <w:t xml:space="preserve">2.3 Why MaiaEdge: The Shortest Path Forward</w:t>
      </w:r>
    </w:p>
    <w:p>
      <w:pPr>
        <w:spacing w:after="120"/>
      </w:pPr>
      <w:r>
        <w:t xml:space="preserve">MaiaEdge is the only platform that lets an operator deliver modern carrier services (fast, private, federated, multi-tenant, cloud-connected) without either building a fabric from scratch or surrendering the customer to a NaaS platform.</w:t>
      </w:r>
    </w:p>
    <w:p>
      <w:pPr>
        <w:pStyle w:val="ListParagraph"/>
        <w:numPr>
          <w:ilvl w:val="0"/>
          <w:numId w:val="2"/>
        </w:numPr>
        <w:spacing w:after="60"/>
      </w:pPr>
      <w:r>
        <w:t xml:space="preserve">Minutes to activate, not weeks. New services go live through the PCE without physical build cycles.</w:t>
      </w:r>
    </w:p>
    <w:p>
      <w:pPr>
        <w:pStyle w:val="ListParagraph"/>
        <w:numPr>
          <w:ilvl w:val="0"/>
          <w:numId w:val="2"/>
        </w:numPr>
        <w:spacing w:after="60"/>
      </w:pPr>
      <w:r>
        <w:t xml:space="preserve">Your brand, your customer, your pricing. The operator stays the commercial counterparty; we stay invisible to the end customer.</w:t>
      </w:r>
    </w:p>
    <w:p>
      <w:pPr>
        <w:pStyle w:val="ListParagraph"/>
        <w:numPr>
          <w:ilvl w:val="0"/>
          <w:numId w:val="2"/>
        </w:numPr>
        <w:spacing w:after="60"/>
      </w:pPr>
      <w:r>
        <w:t xml:space="preserve">Any transport, any peer. Dark fiber, DIA, leased lines, peer carriers, Equinix and Megaport all compose into a single fabric under the operator's control.</w:t>
      </w:r>
    </w:p>
    <w:p>
      <w:pPr>
        <w:pStyle w:val="ListParagraph"/>
        <w:numPr>
          <w:ilvl w:val="0"/>
          <w:numId w:val="2"/>
        </w:numPr>
        <w:spacing w:after="60"/>
      </w:pPr>
      <w:r>
        <w:t xml:space="preserve">Production today. Deployed across hundreds of sites including IENTC's 800-plus-cell-tower mobile backhaul, and in regulated European networks.</w:t>
      </w:r>
    </w:p>
    <w:p>
      <w:pPr>
        <w:pStyle w:val="Heading2"/>
      </w:pPr>
      <w:r>
        <w:t xml:space="preserve">2.4 Why Southern Europe, Why This Representative</w:t>
      </w:r>
    </w:p>
    <w:p>
      <w:pPr>
        <w:spacing w:after="120"/>
      </w:pPr>
      <w:r>
        <w:t xml:space="preserve">Southern Europe is one of the highest-priority expansion geographies for MaiaEdge in the next 12 months. The region combines a concentrated set of regional fiber operators with fragmented routes, several serious colocation and campus builders, and a growing neocloud and sovereign AI community responding to the same regulatory pressures. None of our direct competitors have established representative coverage in this region. A capable representative taking the territory now can establish the commercial position that will define the market for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8"/>
              <w:left w:val="single" w:color="E0A800" w:sz="8"/>
              <w:bottom w:val="single" w:color="E0A800" w:sz="8"/>
              <w:right w:val="single" w:color="E0A800" w:sz="8"/>
            </w:tcBorders>
            <w:shd w:fill="FFF4D6" w:val="clear"/>
            <w:tcMar>
              <w:top w:type="dxa" w:w="160"/>
              <w:left w:type="dxa" w:w="200"/>
              <w:bottom w:type="dxa" w:w="160"/>
              <w:right w:type="dxa" w:w="200"/>
            </w:tcMar>
          </w:tcPr>
          <w:p>
            <w:pPr>
              <w:spacing w:after="80"/>
            </w:pPr>
            <w:r>
              <w:rPr>
                <w:b/>
                <w:bCs/>
                <w:color w:val="7C5900"/>
                <w:sz w:val="18"/>
                <w:szCs w:val="18"/>
              </w:rPr>
              <w:t xml:space="preserve">WHY IT MATTERS</w:t>
            </w:r>
          </w:p>
          <w:p>
            <w:pPr>
              <w:spacing w:after="80"/>
            </w:pPr>
            <w:r>
              <w:rPr>
                <w:sz w:val="22"/>
                <w:szCs w:val="22"/>
              </w:rPr>
              <w:t xml:space="preserve">Southern Europe is still an unclaimed market for federated private networking. Early establishment of branded fabric, cloud on-ramp, and AI campus deployments here locks in multi-year customer relationships before Lumen, Megaport, or Equinix can reach them.</w:t>
            </w:r>
          </w:p>
          <w:p>
            <w:pPr>
              <w:spacing w:after="0"/>
            </w:pPr>
            <w:r>
              <w:rPr>
                <w:sz w:val="22"/>
                <w:szCs w:val="22"/>
              </w:rPr>
              <w:t xml:space="preserve">For the representative, this is a ground-floor territory with significant deal sizes and strong founder-level support from the MaiaEdge team.</w:t>
            </w:r>
          </w:p>
        </w:tc>
      </w:tr>
    </w:tbl>
    <w:p>
      <w:r>
        <w:br w:type="page"/>
      </w:r>
    </w:p>
    <w:p>
      <w:pPr>
        <w:pStyle w:val="Heading1"/>
      </w:pPr>
      <w:r>
        <w:t xml:space="preserve">3. Product Overview</w:t>
      </w:r>
    </w:p>
    <w:p>
      <w:pPr>
        <w:spacing w:after="120"/>
      </w:pPr>
      <w:r>
        <w:t xml:space="preserve">The MaiaEdge platform consists of three tightly integrated elements: the Path Border Controller at the edge, the Path Computation Engine in the cloud, and the Port Extender for tenant density. Together they replace the need to stitch together routers, MPLS, SD-WAN, and NaaS fabrics to deliver private services.</w:t>
      </w:r>
    </w:p>
    <w:p>
      <w:pPr>
        <w:pStyle w:val="Heading2"/>
      </w:pPr>
      <w:r>
        <w:t xml:space="preserve">3.1 Path Border Controller (PBC)</w:t>
      </w:r>
    </w:p>
    <w:p>
      <w:pPr>
        <w:spacing w:after="120"/>
      </w:pPr>
      <w:r>
        <w:t xml:space="preserve">The PBC is a 1RU edge appliance deployed at the boundary of an operator's network. It terminates and forwards private paths between the operator's domain and any upstream, downstream, or peer network.</w:t>
      </w:r>
    </w:p>
    <w:p>
      <w:pPr>
        <w:pStyle w:val="ListParagraph"/>
        <w:numPr>
          <w:ilvl w:val="0"/>
          <w:numId w:val="2"/>
        </w:numPr>
        <w:spacing w:after="60"/>
      </w:pPr>
      <w:r>
        <w:t xml:space="preserve">1RU form factor with dual 100G interfaces, available in 10G and 100G service tiers.</w:t>
      </w:r>
    </w:p>
    <w:p>
      <w:pPr>
        <w:pStyle w:val="ListParagraph"/>
        <w:numPr>
          <w:ilvl w:val="0"/>
          <w:numId w:val="2"/>
        </w:numPr>
        <w:spacing w:after="60"/>
      </w:pPr>
      <w:r>
        <w:t xml:space="preserve">Line-rate AES-256-GCM IPsec encryption with no performance degradation.</w:t>
      </w:r>
    </w:p>
    <w:p>
      <w:pPr>
        <w:pStyle w:val="ListParagraph"/>
        <w:numPr>
          <w:ilvl w:val="0"/>
          <w:numId w:val="2"/>
        </w:numPr>
        <w:spacing w:after="60"/>
      </w:pPr>
      <w:r>
        <w:t xml:space="preserve">Stateless forwarding: less than 2 microseconds of latency overhead per hop.</w:t>
      </w:r>
    </w:p>
    <w:p>
      <w:pPr>
        <w:pStyle w:val="ListParagraph"/>
        <w:numPr>
          <w:ilvl w:val="0"/>
          <w:numId w:val="2"/>
        </w:numPr>
        <w:spacing w:after="60"/>
      </w:pPr>
      <w:r>
        <w:t xml:space="preserve">Transport-agnostic: runs over dark fiber, waves, DIA, leased lines, or any Ethernet transport.</w:t>
      </w:r>
    </w:p>
    <w:p>
      <w:pPr>
        <w:pStyle w:val="ListParagraph"/>
        <w:numPr>
          <w:ilvl w:val="0"/>
          <w:numId w:val="2"/>
        </w:numPr>
        <w:spacing w:after="60"/>
      </w:pPr>
      <w:r>
        <w:t xml:space="preserve">No routing protocols required at the PBC: no BGP, OSPF, or MPLS signaling in the data path.</w:t>
      </w:r>
    </w:p>
    <w:p>
      <w:pPr>
        <w:pStyle w:val="Heading2"/>
      </w:pPr>
      <w:r>
        <w:t xml:space="preserve">3.2 Path Computation Engine (PCE)</w:t>
      </w:r>
    </w:p>
    <w:p>
      <w:pPr>
        <w:spacing w:after="120"/>
      </w:pPr>
      <w:r>
        <w:t xml:space="preserve">The PCE is a cloud-native orchestrator that handles path computation, policy enforcement, and telemetry across all PBCs in an operator's fabric and across federated peers.</w:t>
      </w:r>
    </w:p>
    <w:p>
      <w:pPr>
        <w:pStyle w:val="ListParagraph"/>
        <w:numPr>
          <w:ilvl w:val="0"/>
          <w:numId w:val="2"/>
        </w:numPr>
        <w:spacing w:after="60"/>
      </w:pPr>
      <w:r>
        <w:t xml:space="preserve">Real-time path computation across multiple domains.</w:t>
      </w:r>
    </w:p>
    <w:p>
      <w:pPr>
        <w:pStyle w:val="ListParagraph"/>
        <w:numPr>
          <w:ilvl w:val="0"/>
          <w:numId w:val="2"/>
        </w:numPr>
        <w:spacing w:after="60"/>
      </w:pPr>
      <w:r>
        <w:t xml:space="preserve">Policy-driven service instantiation with per-tenant SLA enforcement.</w:t>
      </w:r>
    </w:p>
    <w:p>
      <w:pPr>
        <w:pStyle w:val="ListParagraph"/>
        <w:numPr>
          <w:ilvl w:val="0"/>
          <w:numId w:val="2"/>
        </w:numPr>
        <w:spacing w:after="60"/>
      </w:pPr>
      <w:r>
        <w:t xml:space="preserve">Hop-by-hop telemetry from customer edge through the operator network into the destination (including public cloud environments).</w:t>
      </w:r>
    </w:p>
    <w:p>
      <w:pPr>
        <w:pStyle w:val="ListParagraph"/>
        <w:numPr>
          <w:ilvl w:val="0"/>
          <w:numId w:val="2"/>
        </w:numPr>
        <w:spacing w:after="60"/>
      </w:pPr>
      <w:r>
        <w:t xml:space="preserve">API-first design for integration with existing OSS, BSS, and customer portals.</w:t>
      </w:r>
    </w:p>
    <w:p>
      <w:pPr>
        <w:pStyle w:val="ListParagraph"/>
        <w:numPr>
          <w:ilvl w:val="0"/>
          <w:numId w:val="2"/>
        </w:numPr>
        <w:spacing w:after="60"/>
      </w:pPr>
      <w:r>
        <w:t xml:space="preserve">Federation logic that allows independent operators to exchange service capacity while preserving commercial sovereignty.</w:t>
      </w:r>
    </w:p>
    <w:p>
      <w:pPr>
        <w:pStyle w:val="Heading2"/>
      </w:pPr>
      <w:r>
        <w:t xml:space="preserve">3.3 Port Extender (MPP)</w:t>
      </w:r>
    </w:p>
    <w:p>
      <w:pPr>
        <w:spacing w:after="120"/>
      </w:pPr>
      <w:r>
        <w:t xml:space="preserve">The Port Extender is a companion chassis to the PBC that adds 48 additional tenant ports. It is the core enabler of the fabric-in-a-box use case: one PBC plus one or more extenders becomes a full carrier-grade fabric for a single colocation site or campus.</w:t>
      </w:r>
    </w:p>
    <w:p>
      <w:pPr>
        <w:pStyle w:val="ListParagraph"/>
        <w:numPr>
          <w:ilvl w:val="0"/>
          <w:numId w:val="2"/>
        </w:numPr>
        <w:spacing w:after="60"/>
      </w:pPr>
      <w:r>
        <w:t xml:space="preserve">Up to 48 tenant ports per chassis, supporting cross-connects, cloud on-ramps, and transit handoffs in one deployment.</w:t>
      </w:r>
    </w:p>
    <w:p>
      <w:pPr>
        <w:pStyle w:val="ListParagraph"/>
        <w:numPr>
          <w:ilvl w:val="0"/>
          <w:numId w:val="2"/>
        </w:numPr>
        <w:spacing w:after="60"/>
      </w:pPr>
      <w:r>
        <w:t xml:space="preserve">Stackable with multiple extenders for large campus deployments.</w:t>
      </w:r>
    </w:p>
    <w:p>
      <w:pPr>
        <w:pStyle w:val="ListParagraph"/>
        <w:numPr>
          <w:ilvl w:val="0"/>
          <w:numId w:val="2"/>
        </w:numPr>
        <w:spacing w:after="60"/>
      </w:pPr>
      <w:r>
        <w:t xml:space="preserve">Tenant isolation by per-customer private path, not by VLAN ID, bypassing the approximately 4,094-VLAN limit that constrains traditional Ethernet fabrics.</w:t>
      </w:r>
    </w:p>
    <w:p>
      <w:pPr>
        <w:pStyle w:val="Heading2"/>
      </w:pPr>
      <w:r>
        <w:t xml:space="preserve">3.4 What MaiaEdge Is Not</w:t>
      </w:r>
    </w:p>
    <w:p>
      <w:pPr>
        <w:spacing w:after="120"/>
      </w:pPr>
      <w:r>
        <w:t xml:space="preserve">Clear positioning matters in every discovery conversation. Representatives should be fluent in what MaiaEdge is not:</w:t>
      </w:r>
    </w:p>
    <w:p>
      <w:pPr>
        <w:pStyle w:val="ListParagraph"/>
        <w:numPr>
          <w:ilvl w:val="0"/>
          <w:numId w:val="2"/>
        </w:numPr>
        <w:spacing w:after="60"/>
      </w:pPr>
      <w:r>
        <w:t xml:space="preserve">Not a NaaS platform. We do not sign the end customer. You sign the end customer. Megaport and Equinix Fabric own the customer relationship; MaiaEdge enables you to own it.</w:t>
      </w:r>
    </w:p>
    <w:p>
      <w:pPr>
        <w:pStyle w:val="ListParagraph"/>
        <w:numPr>
          <w:ilvl w:val="0"/>
          <w:numId w:val="2"/>
        </w:numPr>
        <w:spacing w:after="60"/>
      </w:pPr>
      <w:r>
        <w:t xml:space="preserve">Not SD-WAN. SD-WAN is built for enterprise branch connectivity. MaiaEdge is built for carriers at carrier scale.</w:t>
      </w:r>
    </w:p>
    <w:p>
      <w:pPr>
        <w:pStyle w:val="ListParagraph"/>
        <w:numPr>
          <w:ilvl w:val="0"/>
          <w:numId w:val="2"/>
        </w:numPr>
        <w:spacing w:after="60"/>
      </w:pPr>
      <w:r>
        <w:t xml:space="preserve">Not a router replacement. MaiaEdge complements existing Cisco, Juniper, Nokia, and Arista deployments at the service edge.</w:t>
      </w:r>
    </w:p>
    <w:p>
      <w:pPr>
        <w:pStyle w:val="ListParagraph"/>
        <w:numPr>
          <w:ilvl w:val="0"/>
          <w:numId w:val="2"/>
        </w:numPr>
        <w:spacing w:after="60"/>
      </w:pPr>
      <w:r>
        <w:t xml:space="preserve">Not an orchestration or OSS layer. MaiaEdge is a hardware plus cloud control plane combination. It integrates with orchestration rather than replacing it.</w:t>
      </w:r>
    </w:p>
    <w:p>
      <w:r>
        <w:br w:type="page"/>
      </w:r>
    </w:p>
    <w:p>
      <w:pPr>
        <w:pStyle w:val="Heading1"/>
      </w:pPr>
      <w:r>
        <w:t xml:space="preserve">4. Target Buyer Segments</w:t>
      </w:r>
    </w:p>
    <w:p>
      <w:pPr>
        <w:spacing w:after="120"/>
      </w:pPr>
      <w:r>
        <w:t xml:space="preserve">The Southern European market contains strong representation of each of our three primary segments. This briefing focuses on the personas, pain points, and value pillars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80"/>
        <w:gridCol w:w="2480"/>
      </w:tblGrid>
      <w:tr>
        <w:trPr>
          <w:tblHeader/>
        </w:trPr>
        <w:tc>
          <w:tcPr>
            <w:tcW w:type="dxa" w:w="18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Segment</w:t>
            </w:r>
          </w:p>
        </w:tc>
        <w:tc>
          <w:tcPr>
            <w:tcW w:type="dxa" w:w="26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Profile</w:t>
            </w:r>
          </w:p>
        </w:tc>
        <w:tc>
          <w:tcPr>
            <w:tcW w:type="dxa" w:w="248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Pillars</w:t>
            </w:r>
          </w:p>
        </w:tc>
        <w:tc>
          <w:tcPr>
            <w:tcW w:type="dxa" w:w="248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Primary Personas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Fiber operator / carrier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Regional and national fiber owners. Often with significant stranded capacity and underutilized routes.</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Extend reach, Monetize, Automate</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Chief Commercial Officer, VP Network, Head of Wholesale</w:t>
            </w:r>
          </w:p>
        </w:tc>
      </w:tr>
      <w:tr>
        <w:tc>
          <w:tcPr>
            <w:tcW w:type="dxa" w:w="18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Colocation operator</w:t>
            </w:r>
          </w:p>
        </w:tc>
        <w:tc>
          <w:tcPr>
            <w:tcW w:type="dxa" w:w="26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Data centers and meet-me room operators serving multi-tenant customer bases.</w:t>
            </w:r>
          </w:p>
        </w:tc>
        <w:tc>
          <w:tcPr>
            <w:tcW w:type="dxa" w:w="248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Instant, Monetize, Reach</w:t>
            </w:r>
          </w:p>
        </w:tc>
        <w:tc>
          <w:tcPr>
            <w:tcW w:type="dxa" w:w="248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VP Product, Head of Interconnection, Chief Commercial Officer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Neocloud / AI infra builder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GPU cloud providers across one or more colocation facilities. Training, inference, and sovereign AI workloads.</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Deterministic, Private, Instant</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Head of Network Engineering, CTO, VP Platform</w:t>
            </w:r>
          </w:p>
        </w:tc>
      </w:tr>
    </w:tbl>
    <w:p>
      <w:r>
        <w:t xml:space="preserve"/>
      </w:r>
    </w:p>
    <w:p>
      <w:pPr>
        <w:pStyle w:val="Heading2"/>
      </w:pPr>
      <w:r>
        <w:t xml:space="preserve">4.1 Fiber Operators and Carriers</w:t>
      </w:r>
    </w:p>
    <w:p>
      <w:pPr>
        <w:spacing w:after="120"/>
      </w:pPr>
      <w:r>
        <w:t xml:space="preserve">Southern European fiber operators tend to have deep regional reach but limited presence in hyperscaler hub markets. They typically carry 30 to 70 percent stranded fiber capacity that is economically difficult to monetize with traditional wholesale models.</w:t>
      </w:r>
    </w:p>
    <w:p>
      <w:pPr>
        <w:spacing w:after="120"/>
      </w:pPr>
      <w:r>
        <w:t xml:space="preserve">Lead with two pain points:</w:t>
      </w:r>
    </w:p>
    <w:p>
      <w:pPr>
        <w:pStyle w:val="ListParagraph"/>
        <w:numPr>
          <w:ilvl w:val="0"/>
          <w:numId w:val="2"/>
        </w:numPr>
        <w:spacing w:after="60"/>
      </w:pPr>
      <w:r>
        <w:t xml:space="preserve">Customers ask for cloud on-ramp services (AWS Direct Connect, Azure ExpressRoute, Google Cloud Interconnect) that the operator cannot deliver, forcing them to hand the revenue to Equinix, Megaport, or a larger competitor.</w:t>
      </w:r>
    </w:p>
    <w:p>
      <w:pPr>
        <w:pStyle w:val="ListParagraph"/>
        <w:numPr>
          <w:ilvl w:val="0"/>
          <w:numId w:val="2"/>
        </w:numPr>
        <w:spacing w:after="60"/>
      </w:pPr>
      <w:r>
        <w:t xml:space="preserve">Physical NNI builds to peer carriers take 90 to 120 days and carry multi-million-dollar annual commitments, making it uneconomic to extend reach into adjacent regions.</w:t>
      </w:r>
    </w:p>
    <w:p>
      <w:pPr>
        <w:spacing w:after="120"/>
      </w:pPr>
      <w:r>
        <w:t xml:space="preserve">Frame MaiaEdge as the shortest path to turning existing fiber assets into sellable private services, starting with federation over DIA and upgrading to permanent fiber once the revenue justifies it.</w:t>
      </w:r>
    </w:p>
    <w:p>
      <w:pPr>
        <w:pStyle w:val="Heading2"/>
      </w:pPr>
      <w:r>
        <w:t xml:space="preserve">4.2 Colocation Operators</w:t>
      </w:r>
    </w:p>
    <w:p>
      <w:pPr>
        <w:spacing w:after="120"/>
      </w:pPr>
      <w:r>
        <w:t xml:space="preserve">Most colocation operators generate 60 to 80 percent of their revenue from low-margin space and power sales. Interconnection revenue, which carries dramatically higher margin per cabinet, is the growth lever. Yet the dominant interconnection models force a difficult choice: build a fabric from scratch (multi-year, multi-million-dollar investment) or resell Megaport and Equinix Fabric (and hand over the customer relationship).</w:t>
      </w:r>
    </w:p>
    <w:p>
      <w:pPr>
        <w:spacing w:after="120"/>
      </w:pPr>
      <w:r>
        <w:t xml:space="preserve">Lead with the fabric-in-a-box narrative. A Southern European colocation provider can deploy a PBC plus port extender, federate with peer colocation operators, and stand up a branded private fabric inside of a quarter. No multi-year fabric development, no customer surrendered to a NaaS platform, no loss of commercial pricing power.</w:t>
      </w:r>
    </w:p>
    <w:p>
      <w:pPr>
        <w:pStyle w:val="Heading2"/>
      </w:pPr>
      <w:r>
        <w:t xml:space="preserve">4.3 Neoclouds and AI Infrastructure Builders</w:t>
      </w:r>
    </w:p>
    <w:p>
      <w:pPr>
        <w:spacing w:after="120"/>
      </w:pPr>
      <w:r>
        <w:t xml:space="preserve">Neoclouds are the operator; they are the customer. They run GPU clusters across one or more colocation facilities and care about two things above all else: deterministic network performance between GPU clusters and private, encrypted connectivity to customer environments.</w:t>
      </w:r>
    </w:p>
    <w:p>
      <w:pPr>
        <w:spacing w:after="120"/>
      </w:pPr>
      <w:r>
        <w:rPr>
          <w:b/>
          <w:bCs/>
        </w:rPr>
        <w:t xml:space="preserve">Important rule: </w:t>
      </w:r>
      <w:r>
        <w:t xml:space="preserve">When selling into neoclouds, do not use the sovereignty frame. They are the ones selling GPU cycles to enterprises; they are not operators trying to avoid losing their customers. Instead, lead with deterministic performance, private reach, and instant provisioning.</w:t>
      </w:r>
    </w:p>
    <w:p>
      <w:pPr>
        <w:spacing w:after="120"/>
      </w:pPr>
      <w:r>
        <w:t xml:space="preserve">Neocloud sub-segments to recognize:</w:t>
      </w:r>
    </w:p>
    <w:p>
      <w:pPr>
        <w:pStyle w:val="ListParagraph"/>
        <w:numPr>
          <w:ilvl w:val="0"/>
          <w:numId w:val="2"/>
        </w:numPr>
        <w:spacing w:after="60"/>
      </w:pPr>
      <w:r>
        <w:t xml:space="preserve">Large-Scale GPU providers (multi-facility, thousands to hundreds of thousands of GPUs).</w:t>
      </w:r>
    </w:p>
    <w:p>
      <w:pPr>
        <w:pStyle w:val="ListParagraph"/>
        <w:numPr>
          <w:ilvl w:val="0"/>
          <w:numId w:val="2"/>
        </w:numPr>
        <w:spacing w:after="60"/>
      </w:pPr>
      <w:r>
        <w:t xml:space="preserve">Tier 1 Inference specialists (latency-sensitive, geographically distributed).</w:t>
      </w:r>
    </w:p>
    <w:p>
      <w:pPr>
        <w:pStyle w:val="ListParagraph"/>
        <w:numPr>
          <w:ilvl w:val="0"/>
          <w:numId w:val="2"/>
        </w:numPr>
        <w:spacing w:after="60"/>
      </w:pPr>
      <w:r>
        <w:t xml:space="preserve">AI infrastructure providers serving enterprise model builders.</w:t>
      </w:r>
    </w:p>
    <w:p>
      <w:pPr>
        <w:pStyle w:val="ListParagraph"/>
        <w:numPr>
          <w:ilvl w:val="0"/>
          <w:numId w:val="2"/>
        </w:numPr>
        <w:spacing w:after="60"/>
      </w:pPr>
      <w:r>
        <w:t xml:space="preserve">Sovereign AI operators serving public sector and regulated industries (this segment cares deeply about data sovereignty, compliance, and encryption).</w:t>
      </w:r>
    </w:p>
    <w:p>
      <w:pPr>
        <w:pStyle w:val="ListParagraph"/>
        <w:numPr>
          <w:ilvl w:val="0"/>
          <w:numId w:val="2"/>
        </w:numPr>
        <w:spacing w:after="60"/>
      </w:pPr>
      <w:r>
        <w:t xml:space="preserve">Crypto-to-AI operators repurposing mining capacity for AI workloads.</w:t>
      </w:r>
    </w:p>
    <w:p>
      <w:r>
        <w:br w:type="page"/>
      </w:r>
    </w:p>
    <w:p>
      <w:pPr>
        <w:pStyle w:val="Heading1"/>
      </w:pPr>
      <w:r>
        <w:t xml:space="preserve">5. The Four Core Use Cases</w:t>
      </w:r>
    </w:p>
    <w:p>
      <w:pPr>
        <w:spacing w:after="120"/>
      </w:pPr>
      <w:r>
        <w:t xml:space="preserve">Every Southern European representative conversation should center on one or more of the four use cases below. Each use case includes: the pain point in customer language, how MaiaEdge solves it, why it matters commercially, a talk track, qualifying questions, and objection responses tied to proof points.</w:t>
      </w:r>
    </w:p>
    <w:p>
      <w:pPr>
        <w:pStyle w:val="Heading2"/>
      </w:pPr>
      <w:r>
        <w:t xml:space="preserve">5.1 Use Case 1: Transit Cost Reduction with DIA and Fiber Federation</w:t>
      </w:r>
    </w:p>
    <w:p>
      <w:pPr>
        <w:spacing w:after="120"/>
      </w:pPr>
      <w:r>
        <w:rPr>
          <w:b/>
          <w:bCs/>
        </w:rPr>
        <w:t xml:space="preserve">Primary segment: </w:t>
      </w:r>
      <w:r>
        <w:t xml:space="preserve">Fiber operators and carriers.</w:t>
      </w:r>
    </w:p>
    <w:p>
      <w:pPr>
        <w:spacing w:after="120"/>
      </w:pPr>
      <w:r>
        <w:rPr>
          <w:b/>
          <w:bCs/>
        </w:rPr>
        <w:t xml:space="preserve">Secondary segment: </w:t>
      </w:r>
      <w:r>
        <w:t xml:space="preserve">MSP aggregators and regional service providers.</w:t>
      </w:r>
    </w:p>
    <w:p>
      <w:pPr>
        <w:pStyle w:val="Heading3"/>
      </w:pPr>
      <w:r>
        <w:t xml:space="preserve">The Problem</w:t>
      </w:r>
    </w:p>
    <w:p>
      <w:pPr>
        <w:spacing w:after="120"/>
      </w:pPr>
      <w:r>
        <w:t xml:space="preserve">Traditional carrier-to-carrier interconnection requires physical NNIs: bilateral agreements, dedicated fiber or wave builds, BGP peering setup, and commercial commitments that often exceed several million dollars per year per peer. Build cycles take 90 to 120 days at best. Many operators walk away from cross-regional revenue because the NNI cost-to-revenue math does not close.</w:t>
      </w:r>
    </w:p>
    <w:p>
      <w:pPr>
        <w:spacing w:after="120"/>
      </w:pPr>
      <w:r>
        <w:t xml:space="preserve">Meanwhile, every operator already has access to Dedicated Internet Access (DIA) circuits in almost every market. DIA is underused for private services because the public internet cannot guarantee performance, cannot be trusted for sensitive traffic, and cannot be stitched into a carrier service catalog. Operators end up overpaying for fiber where it is available and refusing the business where it is not.</w:t>
      </w:r>
    </w:p>
    <w:p>
      <w:pPr>
        <w:pStyle w:val="Heading3"/>
      </w:pPr>
      <w:r>
        <w:t xml:space="preserve">The MaiaEdge Solution</w:t>
      </w:r>
    </w:p>
    <w:p>
      <w:pPr>
        <w:spacing w:after="120"/>
      </w:pPr>
      <w:r>
        <w:t xml:space="preserve">The MaiaEdge Dynamic NNI capability allows two PBC-equipped operators to establish a fully encrypted, deterministic private path over any transport, including commodity DIA, in minutes. The same PBC automatically promotes traffic onto fiber the moment a fiber NNI is provisioned between the sites. From the end customer's perspective, nothing changes during the transition.</w:t>
      </w:r>
    </w:p>
    <w:p>
      <w:pPr>
        <w:spacing w:after="120"/>
      </w:pPr>
      <w:r>
        <w:t xml:space="preserve">This collapses the transit economics in two ways. First, operators can activate new partner relationships immediately with zero CapEx, generate revenue against the DIA circuit, and only invest in fiber once the revenue justifies it. Second, operators can blend DIA and fiber together to avoid paying premium transit pricing for every byte: fiber carries the committed, guaranteed traffic, and DIA absorbs the burst and best-effort traffic with encryption and MaiaEdge path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8"/>
              <w:left w:val="single" w:color="E0A800" w:sz="8"/>
              <w:bottom w:val="single" w:color="E0A800" w:sz="8"/>
              <w:right w:val="single" w:color="E0A800" w:sz="8"/>
            </w:tcBorders>
            <w:shd w:fill="FFF4D6" w:val="clear"/>
            <w:tcMar>
              <w:top w:type="dxa" w:w="160"/>
              <w:left w:type="dxa" w:w="200"/>
              <w:bottom w:type="dxa" w:w="160"/>
              <w:right w:type="dxa" w:w="200"/>
            </w:tcMar>
          </w:tcPr>
          <w:p>
            <w:pPr>
              <w:spacing w:after="80"/>
            </w:pPr>
            <w:r>
              <w:rPr>
                <w:b/>
                <w:bCs/>
                <w:color w:val="7C5900"/>
                <w:sz w:val="18"/>
                <w:szCs w:val="18"/>
              </w:rPr>
              <w:t xml:space="preserve">WHY IT MATTERS</w:t>
            </w:r>
          </w:p>
          <w:p>
            <w:pPr>
              <w:spacing w:after="80"/>
            </w:pPr>
            <w:r>
              <w:rPr>
                <w:sz w:val="22"/>
                <w:szCs w:val="22"/>
              </w:rPr>
              <w:t xml:space="preserve">Every quarter an operator waits on a physical NNI is a quarter of lost revenue and a quarter in which the customer can be poached by a competitor who moved faster.</w:t>
            </w:r>
          </w:p>
          <w:p>
            <w:pPr>
              <w:spacing w:after="80"/>
            </w:pPr>
            <w:r>
              <w:rPr>
                <w:sz w:val="22"/>
                <w:szCs w:val="22"/>
              </w:rPr>
              <w:t xml:space="preserve">Blending DIA and fiber under unified path policy directly improves EBITDA on interconnection services. Operators typically see double-digit percentage reductions in net transit cost once the model is in place.</w:t>
            </w:r>
          </w:p>
          <w:p>
            <w:pPr>
              <w:spacing w:after="0"/>
            </w:pPr>
            <w:r>
              <w:rPr>
                <w:sz w:val="22"/>
                <w:szCs w:val="22"/>
              </w:rPr>
              <w:t xml:space="preserve">For the representative: every Southern European fiber operator has this pain. This is the fastest first-conversation door-opener in the region.</w:t>
            </w:r>
          </w:p>
        </w:tc>
      </w:tr>
    </w:tbl>
    <w:p>
      <w:pPr>
        <w:pStyle w:val="Heading3"/>
      </w:pPr>
      <w:r>
        <w:t xml:space="preserve">Talk Track</w:t>
      </w:r>
    </w:p>
    <w:p>
      <w:pPr>
        <w:spacing w:after="120"/>
      </w:pPr>
      <w:r>
        <w:rPr>
          <w:i/>
          <w:iCs/>
        </w:rPr>
        <w:t xml:space="preserve">Every regional operator I talk to has the same two-line story: customers keep asking for reach they cannot deliver, and the cost of adding new NNIs to reach those customers is uneconomic. MaiaEdge lets you stand up the NNI over DIA this week, turn on the revenue this week, and decide whether to upgrade to fiber once you know the account is real. In the meantime, you blend DIA and fiber across your own footprint so you are not paying premium transit rates for traffic that does not need it. Operators we work with typically see double-digit improvements in gross margin on interconnection services within the first year.</w:t>
      </w:r>
    </w:p>
    <w:p>
      <w:pPr>
        <w:pStyle w:val="Heading3"/>
      </w:pPr>
      <w:r>
        <w:t xml:space="preserve">Qualifying Questions</w:t>
      </w:r>
    </w:p>
    <w:p>
      <w:pPr>
        <w:pStyle w:val="ListParagraph"/>
        <w:numPr>
          <w:ilvl w:val="0"/>
          <w:numId w:val="2"/>
        </w:numPr>
        <w:spacing w:after="60"/>
      </w:pPr>
      <w:r>
        <w:t xml:space="preserve">How long does it take you to stand up a new NNI with a peer carrier today? What does that process look like?</w:t>
      </w:r>
    </w:p>
    <w:p>
      <w:pPr>
        <w:pStyle w:val="ListParagraph"/>
        <w:numPr>
          <w:ilvl w:val="0"/>
          <w:numId w:val="2"/>
        </w:numPr>
        <w:spacing w:after="60"/>
      </w:pPr>
      <w:r>
        <w:t xml:space="preserve">How many prospective customers in the last year have asked for reach that you could not deliver economically?</w:t>
      </w:r>
    </w:p>
    <w:p>
      <w:pPr>
        <w:pStyle w:val="ListParagraph"/>
        <w:numPr>
          <w:ilvl w:val="0"/>
          <w:numId w:val="2"/>
        </w:numPr>
        <w:spacing w:after="60"/>
      </w:pPr>
      <w:r>
        <w:t xml:space="preserve">What is your current transit cost as a percentage of wholesale revenue? Is that trending up or down?</w:t>
      </w:r>
    </w:p>
    <w:p>
      <w:pPr>
        <w:pStyle w:val="ListParagraph"/>
        <w:numPr>
          <w:ilvl w:val="0"/>
          <w:numId w:val="2"/>
        </w:numPr>
        <w:spacing w:after="60"/>
      </w:pPr>
      <w:r>
        <w:t xml:space="preserve">Do you have DIA circuits in markets where you do not yet have fiber? What are they being used for today?</w:t>
      </w:r>
    </w:p>
    <w:p>
      <w:pPr>
        <w:pStyle w:val="ListParagraph"/>
        <w:numPr>
          <w:ilvl w:val="0"/>
          <w:numId w:val="2"/>
        </w:numPr>
        <w:spacing w:after="60"/>
      </w:pPr>
      <w:r>
        <w:t xml:space="preserve">Which peer carriers would you federate with tomorrow if the activation friction were removed?</w:t>
      </w:r>
    </w:p>
    <w:p>
      <w:pPr>
        <w:pStyle w:val="Heading3"/>
      </w:pPr>
      <w:r>
        <w:t xml:space="preserve">Objections and Proof Points</w:t>
      </w:r>
    </w:p>
    <w:p>
      <w:pPr>
        <w:pStyle w:val="ListParagraph"/>
        <w:numPr>
          <w:ilvl w:val="0"/>
          <w:numId w:val="2"/>
        </w:numPr>
        <w:spacing w:after="60"/>
      </w:pPr>
      <w:r>
        <w:rPr>
          <w:b/>
          <w:bCs/>
        </w:rPr>
        <w:t xml:space="preserve">"Can you really guarantee performance over public DIA?" </w:t>
      </w:r>
      <w:r>
        <w:t xml:space="preserve">The PBC applies per-tenant path policy and encryption, measures hop-by-hop telemetry end-to-end, and enforces SLA commitments across transports. The operator keeps the visibility that DIA traditionally lacks.</w:t>
      </w:r>
    </w:p>
    <w:p>
      <w:pPr>
        <w:pStyle w:val="ListParagraph"/>
        <w:numPr>
          <w:ilvl w:val="0"/>
          <w:numId w:val="2"/>
        </w:numPr>
        <w:spacing w:after="60"/>
      </w:pPr>
      <w:r>
        <w:rPr>
          <w:b/>
          <w:bCs/>
        </w:rPr>
        <w:t xml:space="preserve">"We already have MPLS with our partners." </w:t>
      </w:r>
      <w:r>
        <w:t xml:space="preserve">MaiaEdge runs in parallel, not in replacement. Start with a single cross-regional partner where MPLS was too expensive or too slow, and use MaiaEdge to unlock that revenue while the MPLS footprint continues to serve legacy accounts.</w:t>
      </w:r>
    </w:p>
    <w:p>
      <w:pPr>
        <w:pStyle w:val="ListParagraph"/>
        <w:numPr>
          <w:ilvl w:val="0"/>
          <w:numId w:val="2"/>
        </w:numPr>
        <w:spacing w:after="60"/>
      </w:pPr>
      <w:r>
        <w:rPr>
          <w:b/>
          <w:bCs/>
        </w:rPr>
        <w:t xml:space="preserve">Proof point: </w:t>
      </w:r>
      <w:r>
        <w:t xml:space="preserve">RevNet described the experience as "if you are familiar with MegaPort, imagine having that capability between providers." Arvig called the provisioning "almost instantaneous."</w:t>
      </w:r>
    </w:p>
    <w:p>
      <w:r>
        <w:br w:type="page"/>
      </w:r>
    </w:p>
    <w:p>
      <w:pPr>
        <w:pStyle w:val="Heading2"/>
      </w:pPr>
      <w:r>
        <w:t xml:space="preserve">5.2 Use Case 2: Fabric-in-a-Box for Colocation Operators</w:t>
      </w:r>
    </w:p>
    <w:p>
      <w:pPr>
        <w:spacing w:after="120"/>
      </w:pPr>
      <w:r>
        <w:rPr>
          <w:b/>
          <w:bCs/>
        </w:rPr>
        <w:t xml:space="preserve">Primary segment: </w:t>
      </w:r>
      <w:r>
        <w:t xml:space="preserve">Colocation operators of any size, particularly regional and national colos without a global fabric.</w:t>
      </w:r>
    </w:p>
    <w:p>
      <w:pPr>
        <w:spacing w:after="120"/>
      </w:pPr>
      <w:r>
        <w:rPr>
          <w:b/>
          <w:bCs/>
        </w:rPr>
        <w:t xml:space="preserve">Secondary segment: </w:t>
      </w:r>
      <w:r>
        <w:t xml:space="preserve">Data center campus owners building new facilities.</w:t>
      </w:r>
    </w:p>
    <w:p>
      <w:pPr>
        <w:pStyle w:val="Heading3"/>
      </w:pPr>
      <w:r>
        <w:t xml:space="preserve">The Problem</w:t>
      </w:r>
    </w:p>
    <w:p>
      <w:pPr>
        <w:spacing w:after="120"/>
      </w:pPr>
      <w:r>
        <w:t xml:space="preserve">Colocation operators sit on one of the highest-value assets in the industry (meet-me rooms with concentrated customer demand) yet capture only a fraction of the interconnection revenue those customers generate. The two traditional paths are both bad: build a proprietary fabric over several years at tens of millions of dollars of engineering cost, or resell Equinix Fabric and Megaport and give the customer relationship to the NaaS platform.</w:t>
      </w:r>
    </w:p>
    <w:p>
      <w:pPr>
        <w:spacing w:after="120"/>
      </w:pPr>
      <w:r>
        <w:t xml:space="preserve">Both paths also fail on tenant density. Traditional Ethernet fabrics are constrained by the approximately 4,094 VLAN ID limit, which caps the number of logical tenants and forces operators into complex VLAN-stitching architectures that break cleanly at scale.</w:t>
      </w:r>
    </w:p>
    <w:p>
      <w:pPr>
        <w:pStyle w:val="Heading3"/>
      </w:pPr>
      <w:r>
        <w:t xml:space="preserve">The MaiaEdge Solution</w:t>
      </w:r>
    </w:p>
    <w:p>
      <w:pPr>
        <w:spacing w:after="120"/>
      </w:pPr>
      <w:r>
        <w:t xml:space="preserve">A colocation operator deploys a Path Border Controller and one or more Port Extenders inside their facility. The combination becomes a branded private fabric that operates entirely inside the operator's commercial envelope. Tenants get a single cross-connect into the fabric and can subscribe to any service available on it: cloud on-ramp, cross-site connectivity, remote peering, or private circuits to other tenants, all provisioned in minutes.</w:t>
      </w:r>
    </w:p>
    <w:p>
      <w:pPr>
        <w:spacing w:after="120"/>
      </w:pPr>
      <w:r>
        <w:t xml:space="preserve">Because tenant isolation is enforced by per-customer private paths rather than by VLAN ID, the fabric scales well beyond the 4,094-tenant limit. Centra, one of our operator partners, described the model as "fabric in a box: drop it in and add water." That is the pitch in a sentence.</w:t>
      </w:r>
    </w:p>
    <w:p>
      <w:pPr>
        <w:spacing w:after="120"/>
      </w:pPr>
      <w:r>
        <w:t xml:space="preserve">For colocation operators who want to extend beyond their own footprint, the same platform federates with peer operators, allowing a regional colo to offer services in markets where it has no physical presence, under its own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8"/>
              <w:left w:val="single" w:color="E0A800" w:sz="8"/>
              <w:bottom w:val="single" w:color="E0A800" w:sz="8"/>
              <w:right w:val="single" w:color="E0A800" w:sz="8"/>
            </w:tcBorders>
            <w:shd w:fill="FFF4D6" w:val="clear"/>
            <w:tcMar>
              <w:top w:type="dxa" w:w="160"/>
              <w:left w:type="dxa" w:w="200"/>
              <w:bottom w:type="dxa" w:w="160"/>
              <w:right w:type="dxa" w:w="200"/>
            </w:tcMar>
          </w:tcPr>
          <w:p>
            <w:pPr>
              <w:spacing w:after="80"/>
            </w:pPr>
            <w:r>
              <w:rPr>
                <w:b/>
                <w:bCs/>
                <w:color w:val="7C5900"/>
                <w:sz w:val="18"/>
                <w:szCs w:val="18"/>
              </w:rPr>
              <w:t xml:space="preserve">WHY IT MATTERS</w:t>
            </w:r>
          </w:p>
          <w:p>
            <w:pPr>
              <w:spacing w:after="80"/>
            </w:pPr>
            <w:r>
              <w:rPr>
                <w:sz w:val="22"/>
                <w:szCs w:val="22"/>
              </w:rPr>
              <w:t xml:space="preserve">Interconnection revenue is the margin story of the colocation business. Every euro of interconnection captured by Equinix or Megaport inside your facility is margin permanently lost to a competitor that does not own a single cabinet.</w:t>
            </w:r>
          </w:p>
          <w:p>
            <w:pPr>
              <w:spacing w:after="80"/>
            </w:pPr>
            <w:r>
              <w:rPr>
                <w:sz w:val="22"/>
                <w:szCs w:val="22"/>
              </w:rPr>
              <w:t xml:space="preserve">A branded fabric deployed inside a quarter converts a multi-year build decision into a quarterly one. Every quarter of delay compounds the share of tenant spend captured by NaaS platforms.</w:t>
            </w:r>
          </w:p>
          <w:p>
            <w:pPr>
              <w:spacing w:after="0"/>
            </w:pPr>
            <w:r>
              <w:rPr>
                <w:sz w:val="22"/>
                <w:szCs w:val="22"/>
              </w:rPr>
              <w:t xml:space="preserve">For the representative: the colo conversation in Southern Europe is typically a head-of-product or CCO decision, and the deal size scales fast as the operator moves from single-site to multi-site deployments.</w:t>
            </w:r>
          </w:p>
        </w:tc>
      </w:tr>
    </w:tbl>
    <w:p>
      <w:pPr>
        <w:pStyle w:val="Heading3"/>
      </w:pPr>
      <w:r>
        <w:t xml:space="preserve">Talk Track</w:t>
      </w:r>
    </w:p>
    <w:p>
      <w:pPr>
        <w:spacing w:after="120"/>
      </w:pPr>
      <w:r>
        <w:rPr>
          <w:i/>
          <w:iCs/>
        </w:rPr>
        <w:t xml:space="preserve">You already own the highest-value real estate in this business: the customers in your meet-me rooms. Right now, the interconnection revenue those customers generate is going to Equinix or Megaport because you do not have a fabric of your own. Building one from scratch would take you years. With MaiaEdge, you drop a PBC and a port extender into your meet-me room, and you have a carrier-grade branded fabric running inside of a quarter. You keep the customer. You keep the pricing. You decide what services to offer. And if you want to reach outside your footprint, you federate with a peer colo and extend without any physical build.</w:t>
      </w:r>
    </w:p>
    <w:p>
      <w:pPr>
        <w:pStyle w:val="Heading3"/>
      </w:pPr>
      <w:r>
        <w:t xml:space="preserve">Qualifying Questions</w:t>
      </w:r>
    </w:p>
    <w:p>
      <w:pPr>
        <w:pStyle w:val="ListParagraph"/>
        <w:numPr>
          <w:ilvl w:val="0"/>
          <w:numId w:val="2"/>
        </w:numPr>
        <w:spacing w:after="60"/>
      </w:pPr>
      <w:r>
        <w:t xml:space="preserve">What percentage of your revenue today comes from interconnection versus space and power?</w:t>
      </w:r>
    </w:p>
    <w:p>
      <w:pPr>
        <w:pStyle w:val="ListParagraph"/>
        <w:numPr>
          <w:ilvl w:val="0"/>
          <w:numId w:val="2"/>
        </w:numPr>
        <w:spacing w:after="60"/>
      </w:pPr>
      <w:r>
        <w:t xml:space="preserve">How many of your tenants currently buy cross-connects or fabric services from a third party inside your facility?</w:t>
      </w:r>
    </w:p>
    <w:p>
      <w:pPr>
        <w:pStyle w:val="ListParagraph"/>
        <w:numPr>
          <w:ilvl w:val="0"/>
          <w:numId w:val="2"/>
        </w:numPr>
        <w:spacing w:after="60"/>
      </w:pPr>
      <w:r>
        <w:t xml:space="preserve">Have you evaluated building your own fabric in the past? What stopped you?</w:t>
      </w:r>
    </w:p>
    <w:p>
      <w:pPr>
        <w:pStyle w:val="ListParagraph"/>
        <w:numPr>
          <w:ilvl w:val="0"/>
          <w:numId w:val="2"/>
        </w:numPr>
        <w:spacing w:after="60"/>
      </w:pPr>
      <w:r>
        <w:t xml:space="preserve">What would you charge for a Layer 2 private circuit between two of your tenants if you owned the fabric end to end?</w:t>
      </w:r>
    </w:p>
    <w:p>
      <w:pPr>
        <w:pStyle w:val="ListParagraph"/>
        <w:numPr>
          <w:ilvl w:val="0"/>
          <w:numId w:val="2"/>
        </w:numPr>
        <w:spacing w:after="60"/>
      </w:pPr>
      <w:r>
        <w:t xml:space="preserve">How important is maintaining your brand on interconnection services versus reselling a third-party fabric?</w:t>
      </w:r>
    </w:p>
    <w:p>
      <w:pPr>
        <w:pStyle w:val="Heading3"/>
      </w:pPr>
      <w:r>
        <w:t xml:space="preserve">Objections and Proof Points</w:t>
      </w:r>
    </w:p>
    <w:p>
      <w:pPr>
        <w:pStyle w:val="ListParagraph"/>
        <w:numPr>
          <w:ilvl w:val="0"/>
          <w:numId w:val="2"/>
        </w:numPr>
        <w:spacing w:after="60"/>
      </w:pPr>
      <w:r>
        <w:rPr>
          <w:b/>
          <w:bCs/>
        </w:rPr>
        <w:t xml:space="preserve">"We already use Equinix Fabric. Why would we add another vendor?" </w:t>
      </w:r>
      <w:r>
        <w:t xml:space="preserve">MaiaEdge does not replace Equinix Fabric. It replaces the business model in which Equinix owns your tenant's connectivity relationship. Your fabric sits in front of Equinix and Megaport; they become wholesale backends that your customers never see.</w:t>
      </w:r>
    </w:p>
    <w:p>
      <w:pPr>
        <w:pStyle w:val="ListParagraph"/>
        <w:numPr>
          <w:ilvl w:val="0"/>
          <w:numId w:val="2"/>
        </w:numPr>
        <w:spacing w:after="60"/>
      </w:pPr>
      <w:r>
        <w:rPr>
          <w:b/>
          <w:bCs/>
        </w:rPr>
        <w:t xml:space="preserve">"How does this scale past VLAN limits?" </w:t>
      </w:r>
      <w:r>
        <w:t xml:space="preserve">Tenant isolation is enforced at the PBC by encrypted private paths, not by VLAN IDs. We have deployed architectures that exceed the traditional 4,094-VLAN limit by design.</w:t>
      </w:r>
    </w:p>
    <w:p>
      <w:pPr>
        <w:pStyle w:val="ListParagraph"/>
        <w:numPr>
          <w:ilvl w:val="0"/>
          <w:numId w:val="2"/>
        </w:numPr>
        <w:spacing w:after="60"/>
      </w:pPr>
      <w:r>
        <w:rPr>
          <w:b/>
          <w:bCs/>
        </w:rPr>
        <w:t xml:space="preserve">Proof point: </w:t>
      </w:r>
      <w:r>
        <w:t xml:space="preserve">Centra, a colocation operator, describes the model as fabric-in-a-box. Josh Sordelet, Principal Product Manager at Equinix, called MaiaEdge "revolutionary and creative" for what it enables at the meet-me room.</w:t>
      </w:r>
    </w:p>
    <w:p>
      <w:r>
        <w:br w:type="page"/>
      </w:r>
    </w:p>
    <w:p>
      <w:pPr>
        <w:pStyle w:val="Heading2"/>
      </w:pPr>
      <w:r>
        <w:t xml:space="preserve">5.3 Use Case 3: Cloud On-Ramp Wholesale with Traffic Engineering</w:t>
      </w:r>
    </w:p>
    <w:p>
      <w:pPr>
        <w:spacing w:after="120"/>
      </w:pPr>
      <w:r>
        <w:rPr>
          <w:b/>
          <w:bCs/>
        </w:rPr>
        <w:t xml:space="preserve">Primary segment: </w:t>
      </w:r>
      <w:r>
        <w:t xml:space="preserve">All three audiences: fiber operators, colocation providers, MSP aggregators.</w:t>
      </w:r>
    </w:p>
    <w:p>
      <w:pPr>
        <w:spacing w:after="120"/>
      </w:pPr>
      <w:r>
        <w:rPr>
          <w:b/>
          <w:bCs/>
        </w:rPr>
        <w:t xml:space="preserve">Secondary segment: </w:t>
      </w:r>
      <w:r>
        <w:t xml:space="preserve">Neoclouds that need multi-cloud access for their own workloads.</w:t>
      </w:r>
    </w:p>
    <w:p>
      <w:pPr>
        <w:pStyle w:val="Heading3"/>
      </w:pPr>
      <w:r>
        <w:t xml:space="preserve">The Problem</w:t>
      </w:r>
    </w:p>
    <w:p>
      <w:pPr>
        <w:spacing w:after="120"/>
      </w:pPr>
      <w:r>
        <w:t xml:space="preserve">Cloud connectivity has historically been a capability gap for most regional operators. When a customer asks for AWS Direct Connect, Azure ExpressRoute, or Google Cloud Interconnect, the standard response is to redirect the customer to Equinix, Megaport, or a larger competitor. The operator exits the conversation, loses the revenue, and often loses the broader customer relationship.</w:t>
      </w:r>
    </w:p>
    <w:p>
      <w:pPr>
        <w:spacing w:after="120"/>
      </w:pPr>
      <w:r>
        <w:t xml:space="preserve">Even operators who have built some form of cloud on-ramp face two structural problems. First, traditional architectures require a dedicated port per customer plus a cloud router per multi-cloud customer, which adds 2,500 to 5,000 USD per month per customer in pure infrastructure cost before the operator sees margin. Second, the commercial model leaks to Equinix and Megaport over time: customers establish accounts with those platforms, learn their portals, and the operator is relegated to access provider.</w:t>
      </w:r>
    </w:p>
    <w:p>
      <w:pPr>
        <w:pStyle w:val="Heading3"/>
      </w:pPr>
      <w:r>
        <w:t xml:space="preserve">The MaiaEdge Solution</w:t>
      </w:r>
    </w:p>
    <w:p>
      <w:pPr>
        <w:spacing w:after="120"/>
      </w:pPr>
      <w:r>
        <w:t xml:space="preserve">MaiaEdge integrates directly with the Equinix Fabric and Megaport APIs. An operator with a single shared port on either platform can sell cloud on-ramp to dozens of customers through a single PBC, with the PCE automatically handling VLAN assignment, cloud provider provisioning, and per-customer path management. Multiple customers share the upstream fabric port, and our traffic engineering enforces SLA commitments per tenant even under oversubscription.</w:t>
      </w:r>
    </w:p>
    <w:p>
      <w:pPr>
        <w:spacing w:after="120"/>
      </w:pPr>
      <w:r>
        <w:t xml:space="preserve">Multi-cloud access works without a cloud router. The PBC provides direct Layer 2 private paths into AWS VPCs, Azure VNets, and equivalent destinations. There is no BGP session to configure, no managed cloud router to license, and no separate HA instance to pay for on each side. This eliminates the 2,500 to 5,000 USD per month per customer in infrastructure cost that traditional architectures carry.</w:t>
      </w:r>
    </w:p>
    <w:p>
      <w:pPr>
        <w:spacing w:after="120"/>
      </w:pPr>
      <w:r>
        <w:t xml:space="preserve">For operators without a physical fabric port, a dynamic NNI over a DIA circuit can stand up the upstream connectivity in days. For operators in markets without local fabric access, federation with a peer operator who already holds a port removes the infrastructure requirement entirely: the peer's port is invisible to the end customer.</w:t>
      </w:r>
    </w:p>
    <w:p>
      <w:pPr>
        <w:pStyle w:val="Heading3"/>
      </w:pPr>
      <w:r>
        <w:t xml:space="preserve">Traffic Engineering and EBITDA</w:t>
      </w:r>
    </w:p>
    <w:p>
      <w:pPr>
        <w:spacing w:after="120"/>
      </w:pPr>
      <w:r>
        <w:t xml:space="preserve">The commercial leverage here comes from oversubscription combined with traffic engineering. A single 100G upstream port can serve a large number of customers across Gold (guaranteed bandwidth), Silver (priority scheduling), and Bronze (best effort) tiers. The MaiaEdge PCE enforces per-tenant SLAs dynamically, so customers who pay for guaranteed bandwidth get it without compromise, while Bronze and Silver tenants share the remaining headroom. Oversubscription ratios of roughly 170 percent on the logical design are common and sustainable.</w:t>
      </w:r>
    </w:p>
    <w:p>
      <w:pPr>
        <w:spacing w:after="120"/>
      </w:pPr>
      <w:r>
        <w:t xml:space="preserve">The result is a cloud on-ramp product that behaves like a SaaS product. Fixed infrastructure cost, variable revenue, rising gross margin as customer density grows. At full utilization, a single 100G port deployment produces directionally high gross margin; the 10G port deployment is a capital-efficient entry point that reaches breakeven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8"/>
              <w:left w:val="single" w:color="E0A800" w:sz="8"/>
              <w:bottom w:val="single" w:color="E0A800" w:sz="8"/>
              <w:right w:val="single" w:color="E0A800" w:sz="8"/>
            </w:tcBorders>
            <w:shd w:fill="FFF4D6" w:val="clear"/>
            <w:tcMar>
              <w:top w:type="dxa" w:w="160"/>
              <w:left w:type="dxa" w:w="200"/>
              <w:bottom w:type="dxa" w:w="160"/>
              <w:right w:type="dxa" w:w="200"/>
            </w:tcMar>
          </w:tcPr>
          <w:p>
            <w:pPr>
              <w:spacing w:after="80"/>
            </w:pPr>
            <w:r>
              <w:rPr>
                <w:b/>
                <w:bCs/>
                <w:color w:val="7C5900"/>
                <w:sz w:val="18"/>
                <w:szCs w:val="18"/>
              </w:rPr>
              <w:t xml:space="preserve">WHY IT MATTERS</w:t>
            </w:r>
          </w:p>
          <w:p>
            <w:pPr>
              <w:spacing w:after="80"/>
            </w:pPr>
            <w:r>
              <w:rPr>
                <w:sz w:val="22"/>
                <w:szCs w:val="22"/>
              </w:rPr>
              <w:t xml:space="preserve">Cloud on-ramp is the single highest-leverage product an operator can add in 2026. Every customer who asks for it and does not get it from you will buy it from someone else, and that relationship becomes the anchor for every other connectivity product they buy.</w:t>
            </w:r>
          </w:p>
          <w:p>
            <w:pPr>
              <w:spacing w:after="80"/>
            </w:pPr>
            <w:r>
              <w:rPr>
                <w:sz w:val="22"/>
                <w:szCs w:val="22"/>
              </w:rPr>
              <w:t xml:space="preserve">The shared-port + traffic-engineering model turns cloud on-ramp from a cost-heavy, margin-thin product into a compound-margin product. Directionally, 100G deployments at full utilization produce gross margin in the mid-70 percent range.</w:t>
            </w:r>
          </w:p>
          <w:p>
            <w:pPr>
              <w:spacing w:after="0"/>
            </w:pPr>
            <w:r>
              <w:rPr>
                <w:sz w:val="22"/>
                <w:szCs w:val="22"/>
              </w:rPr>
              <w:t xml:space="preserve">Eliminating the cloud router removes 2,500 to 5,000 USD per customer per month in pure infrastructure cost, which becomes operator margin.</w:t>
            </w:r>
          </w:p>
        </w:tc>
      </w:tr>
    </w:tbl>
    <w:p>
      <w:pPr>
        <w:pStyle w:val="Heading3"/>
      </w:pPr>
      <w:r>
        <w:t xml:space="preserve">Talk Track</w:t>
      </w:r>
    </w:p>
    <w:p>
      <w:pPr>
        <w:spacing w:after="120"/>
      </w:pPr>
      <w:r>
        <w:rPr>
          <w:i/>
          <w:iCs/>
        </w:rPr>
        <w:t xml:space="preserve">Right now, every time one of your customers asks for AWS or Azure, you either send them to Equinix and lose the account, or you sell them a port-per-customer model that consumes your margin. We change both of those. With a single PBC and a shared port on Equinix Fabric or Megaport, you can sell branded cloud on-ramp to dozens of customers, tier your service into Gold, Silver, and Bronze, and oversubscribe the port intelligently while we enforce SLAs per tenant. Directionally, a 100G port deployment at full utilization produces gross margin in the mid-70 percent range. A 10G port is a low-risk regional entry point that reaches breakeven inside a handful of customers.</w:t>
      </w:r>
    </w:p>
    <w:p>
      <w:pPr>
        <w:pStyle w:val="Heading3"/>
      </w:pPr>
      <w:r>
        <w:t xml:space="preserve">Qualifying Questions</w:t>
      </w:r>
    </w:p>
    <w:p>
      <w:pPr>
        <w:pStyle w:val="ListParagraph"/>
        <w:numPr>
          <w:ilvl w:val="0"/>
          <w:numId w:val="2"/>
        </w:numPr>
        <w:spacing w:after="60"/>
      </w:pPr>
      <w:r>
        <w:t xml:space="preserve">How many of your customers have asked for direct cloud connectivity in the last twelve months?</w:t>
      </w:r>
    </w:p>
    <w:p>
      <w:pPr>
        <w:pStyle w:val="ListParagraph"/>
        <w:numPr>
          <w:ilvl w:val="0"/>
          <w:numId w:val="2"/>
        </w:numPr>
        <w:spacing w:after="60"/>
      </w:pPr>
      <w:r>
        <w:t xml:space="preserve">When customers ask for cloud on-ramp, who do you send them to? How much annual revenue is that?</w:t>
      </w:r>
    </w:p>
    <w:p>
      <w:pPr>
        <w:pStyle w:val="ListParagraph"/>
        <w:numPr>
          <w:ilvl w:val="0"/>
          <w:numId w:val="2"/>
        </w:numPr>
        <w:spacing w:after="60"/>
      </w:pPr>
      <w:r>
        <w:t xml:space="preserve">Do you have a port on Equinix Fabric, Megaport, or another fabric today? What does it cost per month?</w:t>
      </w:r>
    </w:p>
    <w:p>
      <w:pPr>
        <w:pStyle w:val="ListParagraph"/>
        <w:numPr>
          <w:ilvl w:val="0"/>
          <w:numId w:val="2"/>
        </w:numPr>
        <w:spacing w:after="60"/>
      </w:pPr>
      <w:r>
        <w:t xml:space="preserve">Are you comfortable with an oversubscription model if we guarantee the SLA per tenant?</w:t>
      </w:r>
    </w:p>
    <w:p>
      <w:pPr>
        <w:pStyle w:val="ListParagraph"/>
        <w:numPr>
          <w:ilvl w:val="0"/>
          <w:numId w:val="2"/>
        </w:numPr>
        <w:spacing w:after="60"/>
      </w:pPr>
      <w:r>
        <w:t xml:space="preserve">What is your current gross margin on any connectivity service you resell today?</w:t>
      </w:r>
    </w:p>
    <w:p>
      <w:pPr>
        <w:pStyle w:val="Heading3"/>
      </w:pPr>
      <w:r>
        <w:t xml:space="preserve">Pricing Tiers (Directional)</w:t>
      </w:r>
    </w:p>
    <w:p>
      <w:pPr>
        <w:spacing w:after="120"/>
      </w:pPr>
      <w:r>
        <w:t xml:space="preserve">The service is typically packaged in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Tier</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Character</w:t>
            </w:r>
          </w:p>
        </w:tc>
        <w:tc>
          <w:tcPr>
            <w:tcW w:type="dxa" w:w="506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Customer Fit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Gold</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Guaranteed bandwidth, strict QoS, lowest latency</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Production workloads, financial services, mission-critical SaaS</w:t>
            </w:r>
          </w:p>
        </w:tc>
      </w:tr>
      <w:tr>
        <w:tc>
          <w:tcPr>
            <w:tcW w:type="dxa" w:w="18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Silver</w:t>
            </w:r>
          </w:p>
        </w:tc>
        <w:tc>
          <w:tcPr>
            <w:tcW w:type="dxa" w:w="25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High-priority scheduling with managed oversubscription</w:t>
            </w:r>
          </w:p>
        </w:tc>
        <w:tc>
          <w:tcPr>
            <w:tcW w:type="dxa" w:w="50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Primary workloads with tolerance for controlled variability</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Bronze</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Best-effort capacity</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SaaS access, development and test, backup, non-critical traffic</w:t>
            </w:r>
          </w:p>
        </w:tc>
      </w:tr>
    </w:tbl>
    <w:p>
      <w:r>
        <w:t xml:space="preserve"/>
      </w:r>
    </w:p>
    <w:p>
      <w:pPr>
        <w:pStyle w:val="Heading3"/>
      </w:pPr>
      <w:r>
        <w:t xml:space="preserve">Objections and Proof Points</w:t>
      </w:r>
    </w:p>
    <w:p>
      <w:pPr>
        <w:pStyle w:val="ListParagraph"/>
        <w:numPr>
          <w:ilvl w:val="0"/>
          <w:numId w:val="2"/>
        </w:numPr>
        <w:spacing w:after="60"/>
      </w:pPr>
      <w:r>
        <w:rPr>
          <w:b/>
          <w:bCs/>
        </w:rPr>
        <w:t xml:space="preserve">"Oversubscription will break customer trust." </w:t>
      </w:r>
      <w:r>
        <w:t xml:space="preserve">Oversubscription is a pricing model, not a performance model. Gold customers are never oversubscribed; the PCE enforces that. Silver is oversubscribed with priority scheduling. Bronze is explicitly best-effort and priced accordingly. Customers choose the tier that matches their workload.</w:t>
      </w:r>
    </w:p>
    <w:p>
      <w:pPr>
        <w:pStyle w:val="ListParagraph"/>
        <w:numPr>
          <w:ilvl w:val="0"/>
          <w:numId w:val="2"/>
        </w:numPr>
        <w:spacing w:after="60"/>
      </w:pPr>
      <w:r>
        <w:rPr>
          <w:b/>
          <w:bCs/>
        </w:rPr>
        <w:t xml:space="preserve">"We cannot compete with Equinix on price." </w:t>
      </w:r>
      <w:r>
        <w:t xml:space="preserve">You are not competing on port price; you are competing on relationship, local delivery, and bundled services. Equinix sells ports. You sell a managed, branded cloud on-ramp that your customer buys from you, not from Equinix.</w:t>
      </w:r>
    </w:p>
    <w:p>
      <w:pPr>
        <w:pStyle w:val="ListParagraph"/>
        <w:numPr>
          <w:ilvl w:val="0"/>
          <w:numId w:val="2"/>
        </w:numPr>
        <w:spacing w:after="60"/>
      </w:pPr>
      <w:r>
        <w:rPr>
          <w:b/>
          <w:bCs/>
        </w:rPr>
        <w:t xml:space="preserve">Proof point: </w:t>
      </w:r>
      <w:r>
        <w:t xml:space="preserve">Arvig described the activation of cloud on-ramp services as "almost instantaneous." Equinix itself (Josh Sordelet, Principal PM) described the model as revolutionary and creative.</w:t>
      </w:r>
    </w:p>
    <w:p>
      <w:r>
        <w:br w:type="page"/>
      </w:r>
    </w:p>
    <w:p>
      <w:pPr>
        <w:pStyle w:val="Heading2"/>
      </w:pPr>
      <w:r>
        <w:t xml:space="preserve">5.4 Use Case 4: AI Data Center Campus Design</w:t>
      </w:r>
    </w:p>
    <w:p>
      <w:pPr>
        <w:spacing w:after="120"/>
      </w:pPr>
      <w:r>
        <w:rPr>
          <w:b/>
          <w:bCs/>
        </w:rPr>
        <w:t xml:space="preserve">Primary segment: </w:t>
      </w:r>
      <w:r>
        <w:t xml:space="preserve">Neoclouds, AI infrastructure builders, AI colocation operators.</w:t>
      </w:r>
    </w:p>
    <w:p>
      <w:pPr>
        <w:spacing w:after="120"/>
      </w:pPr>
      <w:r>
        <w:rPr>
          <w:b/>
          <w:bCs/>
        </w:rPr>
        <w:t xml:space="preserve">Secondary segment: </w:t>
      </w:r>
      <w:r>
        <w:t xml:space="preserve">Colocation operators building new data center campuses with AI tenants.</w:t>
      </w:r>
    </w:p>
    <w:p>
      <w:pPr>
        <w:pStyle w:val="Heading3"/>
      </w:pPr>
      <w:r>
        <w:t xml:space="preserve">The Problem</w:t>
      </w:r>
    </w:p>
    <w:p>
      <w:pPr>
        <w:spacing w:after="120"/>
      </w:pPr>
      <w:r>
        <w:t xml:space="preserve">The scale of AI workloads has changed the network design problem fundamentally. Hyperscalers are now linking GPU clusters of hundreds of thousands of GPUs across multiple buildings on a single campus, treating the connected facilities as one AI factory. Inference workloads are projected to represent roughly 70 percent of AI demand by 2029, and enterprises are increasingly repatriating AI workloads out of public cloud into sovereign or hybrid environments (recent data suggests 87 percent of enterprises are moving in this direction over 12 to 24 months).</w:t>
      </w:r>
    </w:p>
    <w:p>
      <w:pPr>
        <w:spacing w:after="120"/>
      </w:pPr>
      <w:r>
        <w:t xml:space="preserve">Traditional data center network fabrics were not designed for this. Stitching new buildings into an existing campus fabric typically requires MPLS, BGP, and complex routing integration. Latency variance between buildings introduces jitter that forces expensive GPU recomputation. And the addition of new tenants into the fabric runs straight into the 4,094-VLAN limit, constraining tenant density at the exact moment AI tenants are demanding the most isolation.</w:t>
      </w:r>
    </w:p>
    <w:p>
      <w:pPr>
        <w:pStyle w:val="Heading3"/>
      </w:pPr>
      <w:r>
        <w:t xml:space="preserve">The MaiaEdge Solution</w:t>
      </w:r>
    </w:p>
    <w:p>
      <w:pPr>
        <w:spacing w:after="120"/>
      </w:pPr>
      <w:r>
        <w:t xml:space="preserve">MaiaEdge allows a campus operator (a neocloud, an AI colo, or a hyperscaler-adjacent builder) to design a single private fabric across every building on the campus from day one. Each building deploys one or more PBCs and port extenders at its network edge. The PCE stitches them together into a single campus fabric with deterministic, encrypted, private paths between any two endpoints on any building. New buildings come online by adding a PBC, not by re-architecting the fabric.</w:t>
      </w:r>
    </w:p>
    <w:p>
      <w:pPr>
        <w:spacing w:after="120"/>
      </w:pPr>
      <w:r>
        <w:t xml:space="preserve">Because tenant isolation is per-path, not per-VLAN, the fabric scales to thousands of isolated tenants without breaking into architectural workarounds. Because the paths are deterministic, inference and training traffic between GPU clusters travels with predictable latency, eliminating the jitter-driven recomputation tax that inflates AI compute costs. Because the data plane is AES-256-GCM encrypted at line rate, sovereign AI tenants get the data sovereignty guarantees they need without performance compromise.</w:t>
      </w:r>
    </w:p>
    <w:p>
      <w:pPr>
        <w:spacing w:after="120"/>
      </w:pPr>
      <w:r>
        <w:t xml:space="preserve">The same fabric simultaneously handles cloud on-ramp to the hyperscalers, private egress to enterprise customer sites, and inter-facility connectivity to peer campuses. One platform, one control plane, one service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8"/>
              <w:left w:val="single" w:color="E0A800" w:sz="8"/>
              <w:bottom w:val="single" w:color="E0A800" w:sz="8"/>
              <w:right w:val="single" w:color="E0A800" w:sz="8"/>
            </w:tcBorders>
            <w:shd w:fill="FFF4D6" w:val="clear"/>
            <w:tcMar>
              <w:top w:type="dxa" w:w="160"/>
              <w:left w:type="dxa" w:w="200"/>
              <w:bottom w:type="dxa" w:w="160"/>
              <w:right w:type="dxa" w:w="200"/>
            </w:tcMar>
          </w:tcPr>
          <w:p>
            <w:pPr>
              <w:spacing w:after="80"/>
            </w:pPr>
            <w:r>
              <w:rPr>
                <w:b/>
                <w:bCs/>
                <w:color w:val="7C5900"/>
                <w:sz w:val="18"/>
                <w:szCs w:val="18"/>
              </w:rPr>
              <w:t xml:space="preserve">WHY IT MATTERS</w:t>
            </w:r>
          </w:p>
          <w:p>
            <w:pPr>
              <w:spacing w:after="80"/>
            </w:pPr>
            <w:r>
              <w:rPr>
                <w:sz w:val="22"/>
                <w:szCs w:val="22"/>
              </w:rPr>
              <w:t xml:space="preserve">The AI campus fabric decision is a one-way door. The architecture chosen today defines the next five to ten years of operator economics. A fabric that cannot scale past VLAN limits or deliver deterministic latency becomes a ceiling on what workloads the campus can win.</w:t>
            </w:r>
          </w:p>
          <w:p>
            <w:pPr>
              <w:spacing w:after="80"/>
            </w:pPr>
            <w:r>
              <w:rPr>
                <w:sz w:val="22"/>
                <w:szCs w:val="22"/>
              </w:rPr>
              <w:t xml:space="preserve">Latency jitter is a direct tax on GPU economics. Deterministic paths between GPU clusters directly improve the gross margin per GPU hour sold.</w:t>
            </w:r>
          </w:p>
          <w:p>
            <w:pPr>
              <w:spacing w:after="80"/>
            </w:pPr>
            <w:r>
              <w:rPr>
                <w:sz w:val="22"/>
                <w:szCs w:val="22"/>
              </w:rPr>
              <w:t xml:space="preserve">European sovereign AI customers (government, defense, regulated industries) will not buy from a campus that cannot prove data-path encryption and in-region control. This is a hard qualifier, not a nice-to-have.</w:t>
            </w:r>
          </w:p>
          <w:p>
            <w:pPr>
              <w:spacing w:after="0"/>
            </w:pPr>
            <w:r>
              <w:rPr>
                <w:sz w:val="22"/>
                <w:szCs w:val="22"/>
              </w:rPr>
              <w:t xml:space="preserve">For the representative: Southern European AI campus builds are early. Landing a single AI campus deployment anchors multi-year revenue and opens every adjacent enterprise egress and cloud on-ramp opportunity.</w:t>
            </w:r>
          </w:p>
        </w:tc>
      </w:tr>
    </w:tbl>
    <w:p>
      <w:pPr>
        <w:pStyle w:val="Heading3"/>
      </w:pPr>
      <w:r>
        <w:t xml:space="preserve">Talk Track</w:t>
      </w:r>
    </w:p>
    <w:p>
      <w:pPr>
        <w:spacing w:after="120"/>
      </w:pPr>
      <w:r>
        <w:rPr>
          <w:i/>
          <w:iCs/>
        </w:rPr>
        <w:t xml:space="preserve">If you are building a campus-scale AI deployment today, you are designing for a fabric you will still be adding to five years from now. The economic pattern hyperscalers have already adopted is to treat every building as part of one AI factory. The question is whether your fabric can grow with that. MaiaEdge lets you design the campus as a single federated fabric from day one. New building comes online, you drop in a PBC and a port extender, and it is part of the fabric that same day. Per-path tenant isolation takes the VLAN ceiling off the table. Deterministic forwarding takes the jitter tax off your GPU economics. And you can expose the same fabric externally: cloud on-ramp, peer campus federation, private egress, all from the same infrastructure.</w:t>
      </w:r>
    </w:p>
    <w:p>
      <w:pPr>
        <w:pStyle w:val="Heading3"/>
      </w:pPr>
      <w:r>
        <w:t xml:space="preserve">Qualifying Questions</w:t>
      </w:r>
    </w:p>
    <w:p>
      <w:pPr>
        <w:pStyle w:val="ListParagraph"/>
        <w:numPr>
          <w:ilvl w:val="0"/>
          <w:numId w:val="2"/>
        </w:numPr>
        <w:spacing w:after="60"/>
      </w:pPr>
      <w:r>
        <w:t xml:space="preserve">How many buildings are you planning across this campus? On what build schedule?</w:t>
      </w:r>
    </w:p>
    <w:p>
      <w:pPr>
        <w:pStyle w:val="ListParagraph"/>
        <w:numPr>
          <w:ilvl w:val="0"/>
          <w:numId w:val="2"/>
        </w:numPr>
        <w:spacing w:after="60"/>
      </w:pPr>
      <w:r>
        <w:t xml:space="preserve">What is your current approach to inter-building connectivity? Dark fiber plus routing, MPLS, something else?</w:t>
      </w:r>
    </w:p>
    <w:p>
      <w:pPr>
        <w:pStyle w:val="ListParagraph"/>
        <w:numPr>
          <w:ilvl w:val="0"/>
          <w:numId w:val="2"/>
        </w:numPr>
        <w:spacing w:after="60"/>
      </w:pPr>
      <w:r>
        <w:t xml:space="preserve">How important is deterministic latency between GPU clusters to your workload design?</w:t>
      </w:r>
    </w:p>
    <w:p>
      <w:pPr>
        <w:pStyle w:val="ListParagraph"/>
        <w:numPr>
          <w:ilvl w:val="0"/>
          <w:numId w:val="2"/>
        </w:numPr>
        <w:spacing w:after="60"/>
      </w:pPr>
      <w:r>
        <w:t xml:space="preserve">How many logical tenants do you expect to isolate on this fabric within three years?</w:t>
      </w:r>
    </w:p>
    <w:p>
      <w:pPr>
        <w:pStyle w:val="ListParagraph"/>
        <w:numPr>
          <w:ilvl w:val="0"/>
          <w:numId w:val="2"/>
        </w:numPr>
        <w:spacing w:after="60"/>
      </w:pPr>
      <w:r>
        <w:t xml:space="preserve">Is data sovereignty or regulatory compliance (GDPR, NIS2, sovereign AI requirements) part of your customer pitch?</w:t>
      </w:r>
    </w:p>
    <w:p>
      <w:pPr>
        <w:pStyle w:val="ListParagraph"/>
        <w:numPr>
          <w:ilvl w:val="0"/>
          <w:numId w:val="2"/>
        </w:numPr>
        <w:spacing w:after="60"/>
      </w:pPr>
      <w:r>
        <w:t xml:space="preserve">Do you also need cloud on-ramp and enterprise customer egress from the same campus fabric?</w:t>
      </w:r>
    </w:p>
    <w:p>
      <w:pPr>
        <w:pStyle w:val="Heading3"/>
      </w:pPr>
      <w:r>
        <w:t xml:space="preserve">Objections and Proof Points</w:t>
      </w:r>
    </w:p>
    <w:p>
      <w:pPr>
        <w:pStyle w:val="ListParagraph"/>
        <w:numPr>
          <w:ilvl w:val="0"/>
          <w:numId w:val="2"/>
        </w:numPr>
        <w:spacing w:after="60"/>
      </w:pPr>
      <w:r>
        <w:rPr>
          <w:b/>
          <w:bCs/>
        </w:rPr>
        <w:t xml:space="preserve">"We will use 800G Ethernet and standard routing." </w:t>
      </w:r>
      <w:r>
        <w:t xml:space="preserve">The bandwidth is not the constraint; determinism and tenant density are. Standard routing introduces latency variance and VLAN-driven tenant ceilings at exactly the point where AI workloads reward determinism and isolation.</w:t>
      </w:r>
    </w:p>
    <w:p>
      <w:pPr>
        <w:pStyle w:val="ListParagraph"/>
        <w:numPr>
          <w:ilvl w:val="0"/>
          <w:numId w:val="2"/>
        </w:numPr>
        <w:spacing w:after="60"/>
      </w:pPr>
      <w:r>
        <w:rPr>
          <w:b/>
          <w:bCs/>
        </w:rPr>
        <w:t xml:space="preserve">"Can you really handle line-rate encryption without performance loss?" </w:t>
      </w:r>
      <w:r>
        <w:t xml:space="preserve">Yes. The PBC does AES-256-GCM at line rate with less than 2 microseconds of latency overhead per hop. The encryption is a design-time assumption, not a compromise.</w:t>
      </w:r>
    </w:p>
    <w:p>
      <w:pPr>
        <w:pStyle w:val="ListParagraph"/>
        <w:numPr>
          <w:ilvl w:val="0"/>
          <w:numId w:val="2"/>
        </w:numPr>
        <w:spacing w:after="60"/>
      </w:pPr>
      <w:r>
        <w:rPr>
          <w:b/>
          <w:bCs/>
        </w:rPr>
        <w:t xml:space="preserve">Proof point: </w:t>
      </w:r>
      <w:r>
        <w:t xml:space="preserve">Equinix Principal PM Josh Sordelet described the platform as revolutionary and creative. Our footprint includes hundreds of sites across the IENTC mobile backhaul deployment (800-plus cell towers under a single control plane), which demonstrates the platform's production scale.</w:t>
      </w:r>
    </w:p>
    <w:p>
      <w:r>
        <w:br w:type="page"/>
      </w:r>
    </w:p>
    <w:p>
      <w:pPr>
        <w:pStyle w:val="Heading1"/>
      </w:pPr>
      <w:r>
        <w:t xml:space="preserve">6. Discovery and Qualification</w:t>
      </w:r>
    </w:p>
    <w:p>
      <w:pPr>
        <w:spacing w:after="120"/>
      </w:pPr>
      <w:r>
        <w:t xml:space="preserve">A disciplined representative opens every conversation with segment identification, then drills into the use case most relevant to that segment. This section provides a universal discovery framework and segment-specific probing questions.</w:t>
      </w:r>
    </w:p>
    <w:p>
      <w:pPr>
        <w:pStyle w:val="Heading2"/>
      </w:pPr>
      <w:r>
        <w:t xml:space="preserve">6.1 Universal Opening Questions</w:t>
      </w:r>
    </w:p>
    <w:p>
      <w:pPr>
        <w:pStyle w:val="ListParagraph"/>
        <w:numPr>
          <w:ilvl w:val="0"/>
          <w:numId w:val="3"/>
        </w:numPr>
        <w:spacing w:after="60"/>
      </w:pPr>
      <w:r>
        <w:t xml:space="preserve">Tell me how your customers buy connectivity from you today. What does the end-to-end process look like from first request to activation?</w:t>
      </w:r>
    </w:p>
    <w:p>
      <w:pPr>
        <w:pStyle w:val="ListParagraph"/>
        <w:numPr>
          <w:ilvl w:val="0"/>
          <w:numId w:val="3"/>
        </w:numPr>
        <w:spacing w:after="60"/>
      </w:pPr>
      <w:r>
        <w:t xml:space="preserve">What kinds of customer requests are you turning away today because the infrastructure math does not work?</w:t>
      </w:r>
    </w:p>
    <w:p>
      <w:pPr>
        <w:pStyle w:val="ListParagraph"/>
        <w:numPr>
          <w:ilvl w:val="0"/>
          <w:numId w:val="3"/>
        </w:numPr>
        <w:spacing w:after="60"/>
      </w:pPr>
      <w:r>
        <w:t xml:space="preserve">How much of your revenue is at risk to NaaS platforms like Equinix Fabric and Megaport?</w:t>
      </w:r>
    </w:p>
    <w:p>
      <w:pPr>
        <w:pStyle w:val="ListParagraph"/>
        <w:numPr>
          <w:ilvl w:val="0"/>
          <w:numId w:val="3"/>
        </w:numPr>
        <w:spacing w:after="60"/>
      </w:pPr>
      <w:r>
        <w:t xml:space="preserve">What would change if you could provision new cross-domain services in minutes instead of months?</w:t>
      </w:r>
    </w:p>
    <w:p>
      <w:pPr>
        <w:pStyle w:val="ListParagraph"/>
        <w:numPr>
          <w:ilvl w:val="0"/>
          <w:numId w:val="3"/>
        </w:numPr>
        <w:spacing w:after="60"/>
      </w:pPr>
      <w:r>
        <w:t xml:space="preserve">How are you preparing your network for the AI workload pattern: higher bandwidth, more tenants, stricter latency requirements?</w:t>
      </w:r>
    </w:p>
    <w:p>
      <w:pPr>
        <w:pStyle w:val="Heading2"/>
      </w:pPr>
      <w:r>
        <w:t xml:space="preserve">6.2 Segment-Specific Probes</w:t>
      </w:r>
    </w:p>
    <w:p>
      <w:pPr>
        <w:pStyle w:val="Heading3"/>
      </w:pPr>
      <w:r>
        <w:t xml:space="preserve">For Fiber Operators and Carriers</w:t>
      </w:r>
    </w:p>
    <w:p>
      <w:pPr>
        <w:pStyle w:val="ListParagraph"/>
        <w:numPr>
          <w:ilvl w:val="0"/>
          <w:numId w:val="2"/>
        </w:numPr>
        <w:spacing w:after="60"/>
      </w:pPr>
      <w:r>
        <w:t xml:space="preserve">What percentage of your deployed fiber is currently carrying revenue-generating services?</w:t>
      </w:r>
    </w:p>
    <w:p>
      <w:pPr>
        <w:pStyle w:val="ListParagraph"/>
        <w:numPr>
          <w:ilvl w:val="0"/>
          <w:numId w:val="2"/>
        </w:numPr>
        <w:spacing w:after="60"/>
      </w:pPr>
      <w:r>
        <w:t xml:space="preserve">How long does a net-new NNI with a peer carrier take to activate, and what does it cost?</w:t>
      </w:r>
    </w:p>
    <w:p>
      <w:pPr>
        <w:pStyle w:val="ListParagraph"/>
        <w:numPr>
          <w:ilvl w:val="0"/>
          <w:numId w:val="2"/>
        </w:numPr>
        <w:spacing w:after="60"/>
      </w:pPr>
      <w:r>
        <w:t xml:space="preserve">Do you sell cloud on-ramp today? If not, why not? If yes, what are the margins?</w:t>
      </w:r>
    </w:p>
    <w:p>
      <w:pPr>
        <w:pStyle w:val="ListParagraph"/>
        <w:numPr>
          <w:ilvl w:val="0"/>
          <w:numId w:val="2"/>
        </w:numPr>
        <w:spacing w:after="60"/>
      </w:pPr>
      <w:r>
        <w:t xml:space="preserve">How many markets do you wish you could serve but currently cannot reach economically?</w:t>
      </w:r>
    </w:p>
    <w:p>
      <w:pPr>
        <w:pStyle w:val="Heading3"/>
      </w:pPr>
      <w:r>
        <w:t xml:space="preserve">For Colocation Operators</w:t>
      </w:r>
    </w:p>
    <w:p>
      <w:pPr>
        <w:pStyle w:val="ListParagraph"/>
        <w:numPr>
          <w:ilvl w:val="0"/>
          <w:numId w:val="2"/>
        </w:numPr>
        <w:spacing w:after="60"/>
      </w:pPr>
      <w:r>
        <w:t xml:space="preserve">What percentage of your revenue comes from interconnection today?</w:t>
      </w:r>
    </w:p>
    <w:p>
      <w:pPr>
        <w:pStyle w:val="ListParagraph"/>
        <w:numPr>
          <w:ilvl w:val="0"/>
          <w:numId w:val="2"/>
        </w:numPr>
        <w:spacing w:after="60"/>
      </w:pPr>
      <w:r>
        <w:t xml:space="preserve">How many of your tenants are paying Equinix or Megaport for services that you could deliver yourselves?</w:t>
      </w:r>
    </w:p>
    <w:p>
      <w:pPr>
        <w:pStyle w:val="ListParagraph"/>
        <w:numPr>
          <w:ilvl w:val="0"/>
          <w:numId w:val="2"/>
        </w:numPr>
        <w:spacing w:after="60"/>
      </w:pPr>
      <w:r>
        <w:t xml:space="preserve">Have you ever evaluated building your own fabric? What stopped you?</w:t>
      </w:r>
    </w:p>
    <w:p>
      <w:pPr>
        <w:pStyle w:val="ListParagraph"/>
        <w:numPr>
          <w:ilvl w:val="0"/>
          <w:numId w:val="2"/>
        </w:numPr>
        <w:spacing w:after="60"/>
      </w:pPr>
      <w:r>
        <w:t xml:space="preserve">How important is your brand on interconnection services?</w:t>
      </w:r>
    </w:p>
    <w:p>
      <w:pPr>
        <w:pStyle w:val="Heading3"/>
      </w:pPr>
      <w:r>
        <w:t xml:space="preserve">For Neoclouds and AI Builders</w:t>
      </w:r>
    </w:p>
    <w:p>
      <w:pPr>
        <w:pStyle w:val="ListParagraph"/>
        <w:numPr>
          <w:ilvl w:val="0"/>
          <w:numId w:val="2"/>
        </w:numPr>
        <w:spacing w:after="60"/>
      </w:pPr>
      <w:r>
        <w:t xml:space="preserve">How many colocation facilities do you operate across today? Are they in the same metro, the same country, or distributed?</w:t>
      </w:r>
    </w:p>
    <w:p>
      <w:pPr>
        <w:pStyle w:val="ListParagraph"/>
        <w:numPr>
          <w:ilvl w:val="0"/>
          <w:numId w:val="2"/>
        </w:numPr>
        <w:spacing w:after="60"/>
      </w:pPr>
      <w:r>
        <w:t xml:space="preserve">What is your network design for connecting GPU clusters across sites?</w:t>
      </w:r>
    </w:p>
    <w:p>
      <w:pPr>
        <w:pStyle w:val="ListParagraph"/>
        <w:numPr>
          <w:ilvl w:val="0"/>
          <w:numId w:val="2"/>
        </w:numPr>
        <w:spacing w:after="60"/>
      </w:pPr>
      <w:r>
        <w:t xml:space="preserve">How do you currently offer private connectivity to customer environments?</w:t>
      </w:r>
    </w:p>
    <w:p>
      <w:pPr>
        <w:pStyle w:val="ListParagraph"/>
        <w:numPr>
          <w:ilvl w:val="0"/>
          <w:numId w:val="2"/>
        </w:numPr>
        <w:spacing w:after="60"/>
      </w:pPr>
      <w:r>
        <w:t xml:space="preserve">Are sovereignty, encryption, or compliance requirements (GDPR, NIS2) shaping customer requests?</w:t>
      </w:r>
    </w:p>
    <w:p>
      <w:pPr>
        <w:pStyle w:val="Heading2"/>
      </w:pPr>
      <w:r>
        <w:t xml:space="preserve">6.3 Qualification Framework (MEDDPICC-lite)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Dimension</w:t>
            </w:r>
          </w:p>
        </w:tc>
        <w:tc>
          <w:tcPr>
            <w:tcW w:type="dxa" w:w="756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What Good Looks Like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Metrics</w:t>
            </w:r>
          </w:p>
        </w:tc>
        <w:tc>
          <w:tcPr>
            <w:tcW w:type="dxa" w:w="7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Prospect can articulate a revenue or cost number the use case will move (interconnection revenue per cabinet, transit cost as percent of revenue, cloud on-ramp revenue, GPU utilization).</w:t>
            </w:r>
          </w:p>
        </w:tc>
      </w:tr>
      <w:tr>
        <w:tc>
          <w:tcPr>
            <w:tcW w:type="dxa" w:w="18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Economic buyer</w:t>
            </w:r>
          </w:p>
        </w:tc>
        <w:tc>
          <w:tcPr>
            <w:tcW w:type="dxa" w:w="75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CCO, VP Product, or CTO engaged early. Not just network engineering.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Decision criteria</w:t>
            </w:r>
          </w:p>
        </w:tc>
        <w:tc>
          <w:tcPr>
            <w:tcW w:type="dxa" w:w="7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Prospect has articulated how they will compare MaiaEdge to an existing approach (NaaS resell, build their own, do nothing).</w:t>
            </w:r>
          </w:p>
        </w:tc>
      </w:tr>
      <w:tr>
        <w:tc>
          <w:tcPr>
            <w:tcW w:type="dxa" w:w="18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Decision process</w:t>
            </w:r>
          </w:p>
        </w:tc>
        <w:tc>
          <w:tcPr>
            <w:tcW w:type="dxa" w:w="75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Prospect has named the people, timeline, and gates from POC through commercial deployment.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Pain</w:t>
            </w:r>
          </w:p>
        </w:tc>
        <w:tc>
          <w:tcPr>
            <w:tcW w:type="dxa" w:w="7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Prospect has a visible, quantifiable pain or a visible strategic initiative (new AI campus, cloud on-ramp launch, interconnection expansion) driving the conversation.</w:t>
            </w:r>
          </w:p>
        </w:tc>
      </w:tr>
      <w:tr>
        <w:tc>
          <w:tcPr>
            <w:tcW w:type="dxa" w:w="18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Champion</w:t>
            </w:r>
          </w:p>
        </w:tc>
        <w:tc>
          <w:tcPr>
            <w:tcW w:type="dxa" w:w="75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One named individual inside the prospect who will sponsor the deployment internally. No champion, no POC.</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Competition</w:t>
            </w:r>
          </w:p>
        </w:tc>
        <w:tc>
          <w:tcPr>
            <w:tcW w:type="dxa" w:w="7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We know what the alternatives under consideration are (Megaport, build internally, Cisco SD-WAN, Nokia, do nothing).</w:t>
            </w:r>
          </w:p>
        </w:tc>
      </w:tr>
    </w:tbl>
    <w:p>
      <w:r>
        <w:br w:type="page"/>
      </w:r>
    </w:p>
    <w:p>
      <w:pPr>
        <w:pStyle w:val="Heading1"/>
      </w:pPr>
      <w:r>
        <w:t xml:space="preserve">7. Objection Handling</w:t>
      </w:r>
    </w:p>
    <w:p>
      <w:pPr>
        <w:spacing w:after="120"/>
      </w:pPr>
      <w:r>
        <w:t xml:space="preserve">Objections in Southern European markets tend to cluster around risk: a new vendor, a new technology, and a new commercial model all introduced at once. The responses below are designed for use in discovery calls and second conversations. The team credibility anchor (Acme Packet, 128 Technology) is the strongest single response to "you are too new" and should be used here, not in cold introductions.</w:t>
      </w:r>
    </w:p>
    <w:p>
      <w:pPr>
        <w:pStyle w:val="Heading2"/>
      </w:pPr>
      <w:r>
        <w:t xml:space="preserve">7.1 "We have not heard of you before."</w:t>
      </w:r>
    </w:p>
    <w:p>
      <w:pPr>
        <w:spacing w:after="120"/>
      </w:pPr>
      <w:r>
        <w:t xml:space="preserve">MaiaEdge was founded by the leaders behind Acme Packet (which had a 2.1 billion dollar exit to Oracle) and 128 Technology (acquired by Juniper). The founding team's combined exits exceed 2.5 billion dollars. We are Series A funded by tier 1 infrastructure investors. This is not a first-time team; it is a team that has built carrier-grade infrastructure three times before at scale. Deployed today into production in sites including IENTC's 800-plus-cell-tower mobile backhaul network.</w:t>
      </w:r>
    </w:p>
    <w:p>
      <w:pPr>
        <w:pStyle w:val="Heading2"/>
      </w:pPr>
      <w:r>
        <w:t xml:space="preserve">7.2 "We already have Megaport or Equinix Fabric."</w:t>
      </w:r>
    </w:p>
    <w:p>
      <w:pPr>
        <w:spacing w:after="120"/>
      </w:pPr>
      <w:r>
        <w:t xml:space="preserve">MaiaEdge does not replace them. It replaces the commercial model in which Megaport or Equinix owns your customer. Most operators who run the comparison end up using Megaport and Equinix as wholesale backends behind a MaiaEdge-powered branded fabric. You keep the customer; they become your infrastructure supplier. That inverts the margin equation.</w:t>
      </w:r>
    </w:p>
    <w:p>
      <w:pPr>
        <w:pStyle w:val="Heading2"/>
      </w:pPr>
      <w:r>
        <w:t xml:space="preserve">7.3 "Our customers just want the cheapest connectivity."</w:t>
      </w:r>
    </w:p>
    <w:p>
      <w:pPr>
        <w:spacing w:after="120"/>
      </w:pPr>
      <w:r>
        <w:t xml:space="preserve">In the segments we sell into, this is usually not the actual buying criterion. The buying criteria are time to activate, quality of the SLA, and visibility into the path. Customers choose the cheapest option only when the service is otherwise undifferentiated. MaiaEdge differentiates on all three axes.</w:t>
      </w:r>
    </w:p>
    <w:p>
      <w:pPr>
        <w:pStyle w:val="Heading2"/>
      </w:pPr>
      <w:r>
        <w:t xml:space="preserve">7.4 "We do not want to learn a new platform."</w:t>
      </w:r>
    </w:p>
    <w:p>
      <w:pPr>
        <w:spacing w:after="120"/>
      </w:pPr>
      <w:r>
        <w:t xml:space="preserve">The PCE is API-first, which means it integrates into whatever OSS, BSS, or customer portal you already run. Your network engineers do not learn a new routing protocol (there is no BGP in the field). Your operations team does not learn a new configuration pattern (paths are policy-driven, not CLI-driven). The platform complements your existing Cisco, Juniper, Nokia, and Arista deployments; it does not replace them.</w:t>
      </w:r>
    </w:p>
    <w:p>
      <w:pPr>
        <w:pStyle w:val="Heading2"/>
      </w:pPr>
      <w:r>
        <w:t xml:space="preserve">7.5 "Is this production ready?"</w:t>
      </w:r>
    </w:p>
    <w:p>
      <w:pPr>
        <w:spacing w:after="120"/>
      </w:pPr>
      <w:r>
        <w:t xml:space="preserve">Yes. Deployed in production carrier networks today. IENTC runs the platform across 800-plus cell towers as their mobile backhaul. Arvig, RevNet, Centra, and Ecotel (Germany) have spoken publicly about their deployments. The PBC runs at line rate with documented latency and encryption performance.</w:t>
      </w:r>
    </w:p>
    <w:p>
      <w:pPr>
        <w:pStyle w:val="Heading2"/>
      </w:pPr>
      <w:r>
        <w:t xml:space="preserve">7.6 "How does this work internationally? We are in Southern Europe."</w:t>
      </w:r>
    </w:p>
    <w:p>
      <w:pPr>
        <w:spacing w:after="120"/>
      </w:pPr>
      <w:r>
        <w:t xml:space="preserve">The PBC platform is deployed in production in European networks today and is fully compliant with European regulatory frameworks, including data-path encryption requirements. Hardware is shipped FCA Burlington under Incoterms 2020. Your representative agreement will cover the commercial terms for Southern European delivery in detail.</w:t>
      </w:r>
    </w:p>
    <w:p>
      <w:pPr>
        <w:pStyle w:val="Heading2"/>
      </w:pPr>
      <w:r>
        <w:t xml:space="preserve">7.7 "We want to wait until the technology matures."</w:t>
      </w:r>
    </w:p>
    <w:p>
      <w:pPr>
        <w:spacing w:after="120"/>
      </w:pPr>
      <w:r>
        <w:t xml:space="preserve">The technology is already in production. The category (federated private networking for carriers) is maturing rapidly because the alternative (physical NNI builds and NaaS lock-in) is no longer economic in the AI era. Waiting is not a neutral option: every quarter you wait, the hyperscalers and the NaaS platforms expand their footprint. Early adopters in the segment are capturing the customer relationships that the waiters will not get back.</w:t>
      </w:r>
    </w:p>
    <w:p>
      <w:r>
        <w:br w:type="page"/>
      </w:r>
    </w:p>
    <w:p>
      <w:pPr>
        <w:pStyle w:val="Heading1"/>
      </w:pPr>
      <w:r>
        <w:t xml:space="preserve">8. Competitive Positioning</w:t>
      </w:r>
    </w:p>
    <w:p>
      <w:pPr>
        <w:spacing w:after="120"/>
      </w:pPr>
      <w:r>
        <w:t xml:space="preserve">Representatives should be conversant in how MaiaEdge positions against each category of competitor. The categorical position is as important as the feature position: in most cases, the right move is to move the customer out of the feature debate and onto the business model debate.</w:t>
      </w:r>
    </w:p>
    <w:p>
      <w:pPr>
        <w:pStyle w:val="Heading2"/>
      </w:pPr>
      <w:r>
        <w:t xml:space="preserve">8.1 Versus Megaport and Equinix Fabric (NaaS)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Dimension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NaaS (Megaport, Equinix Fabric)</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MaiaEdge</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Customer ownership</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NaaS owns the end customer</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You own the end customer</w:t>
            </w:r>
          </w:p>
        </w:tc>
      </w:tr>
      <w:tr>
        <w:tc>
          <w:tcPr>
            <w:tcW w:type="dxa" w:w="312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Brand</w:t>
            </w:r>
          </w:p>
        </w:tc>
        <w:tc>
          <w:tcPr>
            <w:tcW w:type="dxa" w:w="312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NaaS brand visible to customer</w:t>
            </w:r>
          </w:p>
        </w:tc>
        <w:tc>
          <w:tcPr>
            <w:tcW w:type="dxa" w:w="312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Your brand end to end</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Pricing power</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NaaS published pricing constrains yours</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You set pricing</w:t>
            </w:r>
          </w:p>
        </w:tc>
      </w:tr>
      <w:tr>
        <w:tc>
          <w:tcPr>
            <w:tcW w:type="dxa" w:w="312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Build time</w:t>
            </w:r>
          </w:p>
        </w:tc>
        <w:tc>
          <w:tcPr>
            <w:tcW w:type="dxa" w:w="312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Zero (use theirs)</w:t>
            </w:r>
          </w:p>
        </w:tc>
        <w:tc>
          <w:tcPr>
            <w:tcW w:type="dxa" w:w="312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Minutes to days (build your own)</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Strategic position</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You are an access reseller</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You are an infrastructure operator</w:t>
            </w:r>
          </w:p>
        </w:tc>
      </w:tr>
    </w:tbl>
    <w:p>
      <w:r>
        <w:t xml:space="preserve"/>
      </w:r>
    </w:p>
    <w:p>
      <w:pPr>
        <w:spacing w:after="120"/>
      </w:pPr>
      <w:r>
        <w:rPr>
          <w:b/>
          <w:bCs/>
        </w:rPr>
        <w:t xml:space="preserve">Positioning line: </w:t>
      </w:r>
      <w:r>
        <w:rPr>
          <w:i/>
          <w:iCs/>
        </w:rPr>
        <w:t xml:space="preserve">"Megaport builds their fabric; MaiaEdge lets you build yours."</w:t>
      </w:r>
    </w:p>
    <w:p>
      <w:pPr>
        <w:pStyle w:val="Heading2"/>
      </w:pPr>
      <w:r>
        <w:t xml:space="preserve">8.2 Versus Lumen PCF</w:t>
      </w:r>
    </w:p>
    <w:p>
      <w:pPr>
        <w:spacing w:after="120"/>
      </w:pPr>
      <w:r>
        <w:t xml:space="preserve">Lumen's Private Connectivity Fabric is marketed as a one-stop solution for enterprise private connectivity and has captured substantial AI connectivity booked revenue (reported at approximately 5 billion dollars). It is also explicitly Lumen's empire: every customer on PCF is a Lumen customer, and every dollar of margin accrues to Lumen.</w:t>
      </w:r>
    </w:p>
    <w:p>
      <w:pPr>
        <w:spacing w:after="120"/>
      </w:pPr>
      <w:r>
        <w:rPr>
          <w:b/>
          <w:bCs/>
        </w:rPr>
        <w:t xml:space="preserve">Positioning line: </w:t>
      </w:r>
      <w:r>
        <w:rPr>
          <w:i/>
          <w:iCs/>
        </w:rPr>
        <w:t xml:space="preserve">"Lumen builds their empire; MaiaEdge empowers you to build yours."</w:t>
      </w:r>
    </w:p>
    <w:p>
      <w:pPr>
        <w:spacing w:after="120"/>
      </w:pPr>
      <w:r>
        <w:t xml:space="preserve">For Southern European carriers, the Lumen positioning is a gift: customers in this region typically do not want their connectivity footprint dependent on a US-headquartered hyperscale carrier. MaiaEdge lets them deliver the same business outcome (fast, private, federated connectivity) with their brand and sovereignty intact.</w:t>
      </w:r>
    </w:p>
    <w:p>
      <w:pPr>
        <w:pStyle w:val="Heading2"/>
      </w:pPr>
      <w:r>
        <w:t xml:space="preserve">8.3 Versus SD-WAN (Cisco, Versa, Fortinet)</w:t>
      </w:r>
    </w:p>
    <w:p>
      <w:pPr>
        <w:spacing w:after="120"/>
      </w:pPr>
      <w:r>
        <w:t xml:space="preserve">SD-WAN is a perfectly reasonable technology for enterprise branch connectivity. It was not designed for carrier operations and does not scale economically to carrier-grade deployments. SD-WAN lacks multi-tenant fabric abstraction, carrier-grade SLA enforcement, and the commercial model that lets an operator deliver it as a wholesale product.</w:t>
      </w:r>
    </w:p>
    <w:p>
      <w:pPr>
        <w:spacing w:after="120"/>
      </w:pPr>
      <w:r>
        <w:rPr>
          <w:b/>
          <w:bCs/>
        </w:rPr>
        <w:t xml:space="preserve">Positioning line: </w:t>
      </w:r>
      <w:r>
        <w:rPr>
          <w:i/>
          <w:iCs/>
        </w:rPr>
        <w:t xml:space="preserve">"SD-WAN is for their branches. MaiaEdge is for your network."</w:t>
      </w:r>
    </w:p>
    <w:p>
      <w:pPr>
        <w:pStyle w:val="Heading2"/>
      </w:pPr>
      <w:r>
        <w:t xml:space="preserve">8.4 Versus Cisco, Juniper, Nokia, Arista (Router Vendors)</w:t>
      </w:r>
    </w:p>
    <w:p>
      <w:pPr>
        <w:spacing w:after="120"/>
      </w:pPr>
      <w:r>
        <w:t xml:space="preserve">These are not competitive. MaiaEdge complements them. The PBC sits at the service edge in front of or alongside the existing router fleet. We are not replacing the operator's underlay; we are providing the service overlay that the existing underlay cannot cleanly deliver on its own. Position MaiaEdge as the product layer that makes the operator's existing investment more monetizable.</w:t>
      </w:r>
    </w:p>
    <w:p>
      <w:pPr>
        <w:pStyle w:val="Heading2"/>
      </w:pPr>
      <w:r>
        <w:t xml:space="preserve">8.5 Versus "Do Nothing"</w:t>
      </w:r>
    </w:p>
    <w:p>
      <w:pPr>
        <w:spacing w:after="120"/>
      </w:pPr>
      <w:r>
        <w:t xml:space="preserve">Do nothing is the most common competitor in this category, and usually the most dangerous. The cost of doing nothing is measured in three ways: (1) revenue not captured because the operator cannot serve a customer request, (2) customers migrating to operators who can, and (3) the slow conversion of the operator's base from high-margin private services to low-margin transit. Every quarter of delay compounds all three.</w:t>
      </w:r>
    </w:p>
    <w:p>
      <w:r>
        <w:br w:type="page"/>
      </w:r>
    </w:p>
    <w:p>
      <w:pPr>
        <w:pStyle w:val="Heading1"/>
      </w:pPr>
      <w:r>
        <w:t xml:space="preserve">9. Proof Points and Customer References</w:t>
      </w:r>
    </w:p>
    <w:p>
      <w:pPr>
        <w:spacing w:after="120"/>
      </w:pPr>
      <w:r>
        <w:t xml:space="preserve">The representative is encouraged to use these proof points as directional references in discovery. Named customer quotes are for internal use and may be used in discovery calls. For anything appearing in written outbound (email, LinkedIn, websites), the messaging should be anonymized until Tim Ziemer or the MaiaEdge team has confirmed the specific reference is approved for external citation.</w:t>
      </w:r>
    </w:p>
    <w:p>
      <w:pPr>
        <w:pStyle w:val="Heading2"/>
      </w:pPr>
      <w:r>
        <w:t xml:space="preserve">9.1 Customer 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Customer</w:t>
            </w:r>
          </w:p>
        </w:tc>
        <w:tc>
          <w:tcPr>
            <w:tcW w:type="dxa" w:w="3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Segment</w:t>
            </w:r>
          </w:p>
        </w:tc>
        <w:tc>
          <w:tcPr>
            <w:tcW w:type="dxa" w:w="436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Proof Point</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Arvig</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Regional fiber operator</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Described the provisioning experience as "almost instantaneous" relative to their prior NNI build cycles.</w:t>
            </w:r>
          </w:p>
        </w:tc>
      </w:tr>
      <w:tr>
        <w:tc>
          <w:tcPr>
            <w:tcW w:type="dxa" w:w="20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RevNet</w:t>
            </w:r>
          </w:p>
        </w:tc>
        <w:tc>
          <w:tcPr>
            <w:tcW w:type="dxa" w:w="30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Service provider</w:t>
            </w:r>
          </w:p>
        </w:tc>
        <w:tc>
          <w:tcPr>
            <w:tcW w:type="dxa" w:w="4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"If you are familiar with MegaPort, imagine having that capability between providers."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Centra</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Colocation operator</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Described the deployment as "fabric in a box: drop it in and add water."</w:t>
            </w:r>
          </w:p>
        </w:tc>
      </w:tr>
      <w:tr>
        <w:tc>
          <w:tcPr>
            <w:tcW w:type="dxa" w:w="20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Equinix</w:t>
            </w:r>
          </w:p>
        </w:tc>
        <w:tc>
          <w:tcPr>
            <w:tcW w:type="dxa" w:w="30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Global colocation / fabric platform</w:t>
            </w:r>
          </w:p>
        </w:tc>
        <w:tc>
          <w:tcPr>
            <w:tcW w:type="dxa" w:w="4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"Revolutionary and creative" (Josh Sordelet, Principal Product Manager).</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IENTC</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Mobile backhaul</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Operates 800-plus cell towers under a single MaiaEdge control plane.</w:t>
            </w:r>
          </w:p>
        </w:tc>
      </w:tr>
      <w:tr>
        <w:tc>
          <w:tcPr>
            <w:tcW w:type="dxa" w:w="20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Ecotel (Germany)</w:t>
            </w:r>
          </w:p>
        </w:tc>
        <w:tc>
          <w:tcPr>
            <w:tcW w:type="dxa" w:w="30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European carrier</w:t>
            </w:r>
          </w:p>
        </w:tc>
        <w:tc>
          <w:tcPr>
            <w:tcW w:type="dxa" w:w="4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Reference deployment confirming European regulatory and commercial fit.</w:t>
            </w:r>
          </w:p>
        </w:tc>
      </w:tr>
    </w:tbl>
    <w:p>
      <w:r>
        <w:t xml:space="preserve"/>
      </w:r>
    </w:p>
    <w:p>
      <w:pPr>
        <w:pStyle w:val="Heading2"/>
      </w:pPr>
      <w:r>
        <w:t xml:space="preserve">9.2 Team Credibility Summary</w:t>
      </w:r>
    </w:p>
    <w:p>
      <w:pPr>
        <w:pStyle w:val="ListParagraph"/>
        <w:numPr>
          <w:ilvl w:val="0"/>
          <w:numId w:val="2"/>
        </w:numPr>
        <w:spacing w:after="60"/>
      </w:pPr>
      <w:r>
        <w:t xml:space="preserve">Founded by leaders behind Acme Packet (2.1B USD exit to Oracle) and 128 Technology (acquired by Juniper).</w:t>
      </w:r>
    </w:p>
    <w:p>
      <w:pPr>
        <w:pStyle w:val="ListParagraph"/>
        <w:numPr>
          <w:ilvl w:val="0"/>
          <w:numId w:val="2"/>
        </w:numPr>
        <w:spacing w:after="60"/>
      </w:pPr>
      <w:r>
        <w:t xml:space="preserve">Combined team enterprise value creation exceeds 2.5B USD.</w:t>
      </w:r>
    </w:p>
    <w:p>
      <w:pPr>
        <w:pStyle w:val="ListParagraph"/>
        <w:numPr>
          <w:ilvl w:val="0"/>
          <w:numId w:val="2"/>
        </w:numPr>
        <w:spacing w:after="60"/>
      </w:pPr>
      <w:r>
        <w:t xml:space="preserve">Series A funded by tier 1 infrastructure investors.</w:t>
      </w:r>
    </w:p>
    <w:p>
      <w:pPr>
        <w:pStyle w:val="ListParagraph"/>
        <w:numPr>
          <w:ilvl w:val="0"/>
          <w:numId w:val="2"/>
        </w:numPr>
        <w:spacing w:after="60"/>
      </w:pPr>
      <w:r>
        <w:t xml:space="preserve">Team built from carrier operators, not software-first startups. Hardware and carrier-grade operations are muscle memory.</w:t>
      </w:r>
    </w:p>
    <w:p>
      <w:pPr>
        <w:pStyle w:val="Heading2"/>
      </w:pPr>
      <w:r>
        <w:t xml:space="preserve">9.3 International Delivery Terms</w:t>
      </w:r>
    </w:p>
    <w:p>
      <w:pPr>
        <w:spacing w:after="120"/>
      </w:pPr>
      <w:r>
        <w:t xml:space="preserve">For Southern European customers, hardware is shipped FCA Burlington under Incoterms 2020. Commercial terms, warranty, and support mechanisms for the representative territory are governed by the representative agreement already under NDA.</w:t>
      </w:r>
    </w:p>
    <w:p>
      <w:r>
        <w:br w:type="page"/>
      </w:r>
    </w:p>
    <w:p>
      <w:pPr>
        <w:pStyle w:val="Heading1"/>
      </w:pPr>
      <w:r>
        <w:t xml:space="preserve">10. Getting Started as a MaiaEdge Representative</w:t>
      </w:r>
    </w:p>
    <w:p>
      <w:pPr>
        <w:spacing w:after="120"/>
      </w:pPr>
      <w:r>
        <w:t xml:space="preserve">This section outlines the first 90 days of representative activity and the support structure the representative can expect from the MaiaEdge team.</w:t>
      </w:r>
    </w:p>
    <w:p>
      <w:pPr>
        <w:pStyle w:val="Heading2"/>
      </w:pPr>
      <w:r>
        <w:t xml:space="preserve">10.1 First 30 Days: Territory Mapping</w:t>
      </w:r>
    </w:p>
    <w:p>
      <w:pPr>
        <w:pStyle w:val="ListParagraph"/>
        <w:numPr>
          <w:ilvl w:val="0"/>
          <w:numId w:val="3"/>
        </w:numPr>
        <w:spacing w:after="60"/>
      </w:pPr>
      <w:r>
        <w:t xml:space="preserve">Build a target account list of 30 to 50 accounts across the three primary segments. Aim for roughly equal representation of fiber operators, colocation providers, and neocloud or AI builders.</w:t>
      </w:r>
    </w:p>
    <w:p>
      <w:pPr>
        <w:pStyle w:val="ListParagraph"/>
        <w:numPr>
          <w:ilvl w:val="0"/>
          <w:numId w:val="3"/>
        </w:numPr>
        <w:spacing w:after="60"/>
      </w:pPr>
      <w:r>
        <w:t xml:space="preserve">Qualify each account on three dimensions: segment fit (does one of the four use cases apply), buyer access (is a CCO, VP Product, or CTO reachable), and deal size potential (does the use case justify a 6-figure deployment).</w:t>
      </w:r>
    </w:p>
    <w:p>
      <w:pPr>
        <w:pStyle w:val="ListParagraph"/>
        <w:numPr>
          <w:ilvl w:val="0"/>
          <w:numId w:val="3"/>
        </w:numPr>
        <w:spacing w:after="60"/>
      </w:pPr>
      <w:r>
        <w:t xml:space="preserve">Share the target list with Tim Ziemer for review. Alignment on priorities prevents wasted cycles on accounts that are not a fit.</w:t>
      </w:r>
    </w:p>
    <w:p>
      <w:pPr>
        <w:pStyle w:val="Heading2"/>
      </w:pPr>
      <w:r>
        <w:t xml:space="preserve">10.2 Days 30 to 60: First Discovery Conversations</w:t>
      </w:r>
    </w:p>
    <w:p>
      <w:pPr>
        <w:pStyle w:val="ListParagraph"/>
        <w:numPr>
          <w:ilvl w:val="0"/>
          <w:numId w:val="3"/>
        </w:numPr>
        <w:spacing w:after="60"/>
      </w:pPr>
      <w:r>
        <w:t xml:space="preserve">Book 10 to 15 discovery conversations with qualified accounts. Use the universal opening questions in Section 6.1, then drill into the most relevant use case.</w:t>
      </w:r>
    </w:p>
    <w:p>
      <w:pPr>
        <w:pStyle w:val="ListParagraph"/>
        <w:numPr>
          <w:ilvl w:val="0"/>
          <w:numId w:val="3"/>
        </w:numPr>
        <w:spacing w:after="60"/>
      </w:pPr>
      <w:r>
        <w:t xml:space="preserve">Debrief every discovery call with the MaiaEdge team within 48 hours. The faster the team sees the signal from the market, the faster the product and messaging can adjust.</w:t>
      </w:r>
    </w:p>
    <w:p>
      <w:pPr>
        <w:pStyle w:val="ListParagraph"/>
        <w:numPr>
          <w:ilvl w:val="0"/>
          <w:numId w:val="3"/>
        </w:numPr>
        <w:spacing w:after="60"/>
      </w:pPr>
      <w:r>
        <w:t xml:space="preserve">Identify 3 to 5 qualified POC candidates. A qualified POC means: champion identified, economic buyer engaged, success criteria documented.</w:t>
      </w:r>
    </w:p>
    <w:p>
      <w:pPr>
        <w:pStyle w:val="Heading2"/>
      </w:pPr>
      <w:r>
        <w:t xml:space="preserve">10.3 Days 60 to 90: POC Activation</w:t>
      </w:r>
    </w:p>
    <w:p>
      <w:pPr>
        <w:pStyle w:val="ListParagraph"/>
        <w:numPr>
          <w:ilvl w:val="0"/>
          <w:numId w:val="3"/>
        </w:numPr>
        <w:spacing w:after="60"/>
      </w:pPr>
      <w:r>
        <w:t xml:space="preserve">Move at least one qualified POC into activation. POC hardware and commercial terms are provided by the MaiaEdge team under NDA.</w:t>
      </w:r>
    </w:p>
    <w:p>
      <w:pPr>
        <w:pStyle w:val="ListParagraph"/>
        <w:numPr>
          <w:ilvl w:val="0"/>
          <w:numId w:val="3"/>
        </w:numPr>
        <w:spacing w:after="60"/>
      </w:pPr>
      <w:r>
        <w:t xml:space="preserve">Prepare the commercial proposal for the first conversion from POC to purchase order. The sales engineering team (Kyle Blackwell) joins for the technical design.</w:t>
      </w:r>
    </w:p>
    <w:p>
      <w:pPr>
        <w:pStyle w:val="ListParagraph"/>
        <w:numPr>
          <w:ilvl w:val="0"/>
          <w:numId w:val="3"/>
        </w:numPr>
        <w:spacing w:after="60"/>
      </w:pPr>
      <w:r>
        <w:t xml:space="preserve">Build the 12-month pipeline forecast with Tim Ziemer. Aim for a pipeline coverage ratio of roughly 3 to 4 times the target revenue.</w:t>
      </w:r>
    </w:p>
    <w:p>
      <w:pPr>
        <w:pStyle w:val="Heading2"/>
      </w:pPr>
      <w:r>
        <w:t xml:space="preserve">10.4 Support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Function</w:t>
            </w:r>
          </w:p>
        </w:tc>
        <w:tc>
          <w:tcPr>
            <w:tcW w:type="dxa" w:w="686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r>
              <w:rPr>
                <w:b/>
                <w:bCs/>
                <w:color w:val="FFFFFF"/>
              </w:rPr>
              <w:t xml:space="preserve">Who and What</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Strategic support</w:t>
            </w:r>
          </w:p>
        </w:tc>
        <w:tc>
          <w:tcPr>
            <w:tcW w:type="dxa" w:w="68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 Ziemer (CRO and Co-Founder). International sales leadership, commercial strategy, executive engagement. timziemer@maiaedge.io</w:t>
            </w:r>
          </w:p>
        </w:tc>
      </w:tr>
      <w:tr>
        <w:tc>
          <w:tcPr>
            <w:tcW w:type="dxa" w:w="25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Sales engineering</w:t>
            </w:r>
          </w:p>
        </w:tc>
        <w:tc>
          <w:tcPr>
            <w:tcW w:type="dxa" w:w="68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Kyle Blackwell. POC design, technical deep dives, network architecture validation.</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Sales operations / support</w:t>
            </w:r>
          </w:p>
        </w:tc>
        <w:tc>
          <w:tcPr>
            <w:tcW w:type="dxa" w:w="68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Woody Acosta. Quote generation, order processing, commercial documentation.</w:t>
            </w:r>
          </w:p>
        </w:tc>
      </w:tr>
      <w:tr>
        <w:tc>
          <w:tcPr>
            <w:tcW w:type="dxa" w:w="250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CEO engagement</w:t>
            </w:r>
          </w:p>
        </w:tc>
        <w:tc>
          <w:tcPr>
            <w:tcW w:type="dxa" w:w="68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r>
              <w:t xml:space="preserve">Abilash Menon (CEO and Co-Founder) engages on strategic accounts and major POC commitments.</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RevOps</w:t>
            </w:r>
          </w:p>
        </w:tc>
        <w:tc>
          <w:tcPr>
            <w:tcW w:type="dxa" w:w="68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Cooper Kennedy. CRM, pipeline hygiene, forecasting alignment.</w:t>
            </w:r>
          </w:p>
        </w:tc>
      </w:tr>
    </w:tbl>
    <w:p>
      <w:r>
        <w:t xml:space="preserve"/>
      </w:r>
    </w:p>
    <w:p>
      <w:pPr>
        <w:pStyle w:val="Heading2"/>
      </w:pPr>
      <w:r>
        <w:t xml:space="preserve">10.5 Commercial Resources Available Under NDA</w:t>
      </w:r>
    </w:p>
    <w:p>
      <w:pPr>
        <w:spacing w:after="120"/>
      </w:pPr>
      <w:r>
        <w:t xml:space="preserve">Once the representative is active in the field, the following additional resources are available on request. These materials contain commercial detail beyond what appears in this briefing and should be shared only with prospects who have signed the appropriate confidentiality agreements.</w:t>
      </w:r>
    </w:p>
    <w:p>
      <w:pPr>
        <w:pStyle w:val="ListParagraph"/>
        <w:numPr>
          <w:ilvl w:val="0"/>
          <w:numId w:val="2"/>
        </w:numPr>
        <w:spacing w:after="60"/>
      </w:pPr>
      <w:r>
        <w:t xml:space="preserve">PBC and PCE datasheets with full technical specifications.</w:t>
      </w:r>
    </w:p>
    <w:p>
      <w:pPr>
        <w:pStyle w:val="ListParagraph"/>
        <w:numPr>
          <w:ilvl w:val="0"/>
          <w:numId w:val="2"/>
        </w:numPr>
        <w:spacing w:after="60"/>
      </w:pPr>
      <w:r>
        <w:t xml:space="preserve">Cloud on-ramp financial model with detailed Gold, Silver, and Bronze tier pricing.</w:t>
      </w:r>
    </w:p>
    <w:p>
      <w:pPr>
        <w:pStyle w:val="ListParagraph"/>
        <w:numPr>
          <w:ilvl w:val="0"/>
          <w:numId w:val="2"/>
        </w:numPr>
        <w:spacing w:after="60"/>
      </w:pPr>
      <w:r>
        <w:t xml:space="preserve">Segment-specific battle cards (fiber operator, colocation, neocloud).</w:t>
      </w:r>
    </w:p>
    <w:p>
      <w:pPr>
        <w:pStyle w:val="ListParagraph"/>
        <w:numPr>
          <w:ilvl w:val="0"/>
          <w:numId w:val="2"/>
        </w:numPr>
        <w:spacing w:after="60"/>
      </w:pPr>
      <w:r>
        <w:t xml:space="preserve">Competitive positioning documents against Lumen PCF, Megaport, and Equinix Fabric.</w:t>
      </w:r>
    </w:p>
    <w:p>
      <w:pPr>
        <w:pStyle w:val="ListParagraph"/>
        <w:numPr>
          <w:ilvl w:val="0"/>
          <w:numId w:val="2"/>
        </w:numPr>
        <w:spacing w:after="60"/>
      </w:pPr>
      <w:r>
        <w:t xml:space="preserve">ICP playbook with buyer personas and trigger events.</w:t>
      </w:r>
    </w:p>
    <w:p>
      <w:pPr>
        <w:pStyle w:val="ListParagraph"/>
        <w:numPr>
          <w:ilvl w:val="0"/>
          <w:numId w:val="2"/>
        </w:numPr>
        <w:spacing w:after="60"/>
      </w:pPr>
      <w:r>
        <w:t xml:space="preserve">Standard order form, MSA, and POC agreement templates.</w:t>
      </w:r>
    </w:p>
    <w:p>
      <w:pPr>
        <w:pStyle w:val="Heading2"/>
      </w:pPr>
      <w:r>
        <w:t xml:space="preserve">10.6 Messaging Discipline</w:t>
      </w:r>
    </w:p>
    <w:p>
      <w:pPr>
        <w:spacing w:after="120"/>
      </w:pPr>
      <w:r>
        <w:t xml:space="preserve">A few non-negotiable rules that apply across every representative conversation:</w:t>
      </w:r>
    </w:p>
    <w:p>
      <w:pPr>
        <w:pStyle w:val="ListParagraph"/>
        <w:numPr>
          <w:ilvl w:val="0"/>
          <w:numId w:val="2"/>
        </w:numPr>
        <w:spacing w:after="60"/>
      </w:pPr>
      <w:r>
        <w:t xml:space="preserve">Always pair speed with operator ownership when selling into fiber, carrier, or colo. Speed without ownership sounds like a NaaS pitch.</w:t>
      </w:r>
    </w:p>
    <w:p>
      <w:pPr>
        <w:pStyle w:val="ListParagraph"/>
        <w:numPr>
          <w:ilvl w:val="0"/>
          <w:numId w:val="2"/>
        </w:numPr>
        <w:spacing w:after="60"/>
      </w:pPr>
      <w:r>
        <w:t xml:space="preserve">When selling into neoclouds, drop the sovereignty frame. Neoclouds are the customer, not the operator; lead with deterministic performance and private reach.</w:t>
      </w:r>
    </w:p>
    <w:p>
      <w:pPr>
        <w:pStyle w:val="ListParagraph"/>
        <w:numPr>
          <w:ilvl w:val="0"/>
          <w:numId w:val="2"/>
        </w:numPr>
        <w:spacing w:after="60"/>
      </w:pPr>
      <w:r>
        <w:t xml:space="preserve">The only acceptable category descriptor is "carrier infrastructure." Do not use "NaaS," "IaaS," or "platform" as substitutes.</w:t>
      </w:r>
    </w:p>
    <w:p>
      <w:pPr>
        <w:pStyle w:val="ListParagraph"/>
        <w:numPr>
          <w:ilvl w:val="0"/>
          <w:numId w:val="2"/>
        </w:numPr>
        <w:spacing w:after="60"/>
      </w:pPr>
      <w:r>
        <w:t xml:space="preserve">Reserve team credibility anchors (Acme Packet, 128 Technology) for discovery calls and follow-ups. Do not lead cold outreach with them.</w:t>
      </w:r>
    </w:p>
    <w:p>
      <w:pPr>
        <w:pStyle w:val="ListParagraph"/>
        <w:numPr>
          <w:ilvl w:val="0"/>
          <w:numId w:val="2"/>
        </w:numPr>
        <w:spacing w:after="60"/>
      </w:pPr>
      <w:r>
        <w:t xml:space="preserve">Customer names in proof points are for discovery conversations. Anonymize in any written outbound until approved.</w:t>
      </w:r>
    </w:p>
    <w:p>
      <w:r>
        <w:t xml:space="preserve"/>
      </w:r>
    </w:p>
    <w:p>
      <w:pPr>
        <w:spacing w:after="120"/>
      </w:pPr>
      <w:r>
        <w:t xml:space="preserve">Welcome to MaiaEdge. The Southern European market is one of the highest-priority expansion geographies for the company, and a capable representative can establish a meaningful position in it quickly. Questions, escalations, and strategic alignment always come to Tim Ziemer (timziemer@maiaedge.io).</w:t>
      </w:r>
    </w:p>
    <w:p>
      <w:r>
        <w:t xml:space="preserve"/>
      </w:r>
    </w:p>
    <w:p>
      <w:pPr>
        <w:spacing w:after="120"/>
        <w:jc w:val="center"/>
      </w:pPr>
      <w:r>
        <w:rPr>
          <w:i/>
          <w:iCs/>
        </w:rPr>
        <w:t xml:space="preserve">End of Partner Enablement Guide</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4A4A"/>
        <w:sz w:val="18"/>
        <w:szCs w:val="18"/>
      </w:rPr>
      <w:t xml:space="preserve">April 2026  |  For representative use only under NDA</w:t>
    </w:r>
    <w:r>
      <w:rPr>
        <w:sz w:val="18"/>
        <w:szCs w:val="18"/>
      </w:rPr>
      <w:t xml:space="preserve">	</w:t>
    </w:r>
    <w:r>
      <w:rPr>
        <w:color w:val="4A4A4A"/>
        <w:sz w:val="18"/>
        <w:szCs w:val="18"/>
      </w:rPr>
      <w:t xml:space="preserve">Page </w:t>
    </w:r>
    <w:r>
      <w:rPr>
        <w:color w:val="4A4A4A"/>
        <w:sz w:val="18"/>
        <w:szCs w:val="18"/>
      </w:rPr>
      <w:fldChar w:fldCharType="begin"/>
      <w:instrText xml:space="preserve">PAGE</w:instrText>
      <w:fldChar w:fldCharType="separate"/>
      <w:fldChar w:fldCharType="end"/>
    </w:r>
    <w:r>
      <w:rPr>
        <w:color w:val="4A4A4A"/>
        <w:sz w:val="18"/>
        <w:szCs w:val="18"/>
      </w:rPr>
      <w:t xml:space="preserve"> of </w:t>
    </w:r>
    <w:r>
      <w:rPr>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1A" w:sz="6" w:space="4"/>
      </w:pBdr>
      <w:tabs>
        <w:tab w:val="right" w:pos="9026"/>
      </w:tabs>
    </w:pPr>
    <w:r>
      <w:drawing>
        <wp:inline distT="0" distB="0" distL="0" distR="0">
          <wp:extent cx="1143000" cy="323850"/>
          <wp:effectExtent t="0" r="0" b="0" l="0"/>
          <wp:docPr id="1" name="MaiaEdgeHeaderLogo" descr="MaiaEdge logo" title="Maia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23850"/>
                  </a:xfrm>
                  <a:prstGeom prst="rect">
                    <a:avLst/>
                  </a:prstGeom>
                </pic:spPr>
              </pic:pic>
            </a:graphicData>
          </a:graphic>
        </wp:inline>
      </w:drawing>
    </w:r>
    <w:r>
      <w:rPr>
        <w:sz w:val="18"/>
        <w:szCs w:val="18"/>
      </w:rPr>
      <w:t xml:space="preserve">	</w:t>
    </w:r>
    <w:r>
      <w:rPr>
        <w:b/>
        <w:bCs/>
        <w:color w:val="4A4A4A"/>
        <w:sz w:val="18"/>
        <w:szCs w:val="18"/>
      </w:rPr>
      <w:t xml:space="preserve">Partner Enablement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1A" w:sz="8" w:space="4"/>
      </w:pBd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299dec5e19feea64f738452f06e19fb3e93c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299dec5e19feea64f738452f06e19fb3e93c0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MaiaEdge Partner Enablement Guide</dc:title>
  <dc:creator>MaiaEdge</dc:creator>
  <dc:description>Southern Europe Representative Briefing</dc:description>
  <cp:lastModifiedBy>Un-named</cp:lastModifiedBy>
  <cp:revision>1</cp:revision>
  <dcterms:created xsi:type="dcterms:W3CDTF">2026-04-22T20:07:30.474Z</dcterms:created>
  <dcterms:modified xsi:type="dcterms:W3CDTF">2026-04-22T20:07:30.478Z</dcterms:modified>
</cp:coreProperties>
</file>

<file path=docProps/custom.xml><?xml version="1.0" encoding="utf-8"?>
<Properties xmlns="http://schemas.openxmlformats.org/officeDocument/2006/custom-properties" xmlns:vt="http://schemas.openxmlformats.org/officeDocument/2006/docPropsVTypes"/>
</file>