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80"/>
        <w:gridCol w:w="4680"/>
      </w:tblGrid>
      <w:tr>
        <w:tc>
          <w:tcPr>
            <w:tcW w:type="dxa" w:w="5040"/>
            <w:shd w:val="clear" w:color="auto" w:fill="1A376C"/>
          </w:tcPr>
          <w:p>
            <w:pPr>
              <w:spacing w:before="160" w:after="40"/>
              <w:ind w:left="216"/>
            </w:pPr>
            <w:r>
              <w:rPr>
                <w:b/>
                <w:color w:val="FFFFFF"/>
                <w:sz w:val="40"/>
              </w:rPr>
              <w:t>MaiaEdge</w:t>
            </w:r>
          </w:p>
          <w:p>
            <w:pPr>
              <w:spacing w:before="0" w:after="160"/>
              <w:ind w:left="216"/>
            </w:pPr>
            <w:r>
              <w:rPr>
                <w:color w:val="A8C4E8"/>
                <w:sz w:val="16"/>
              </w:rPr>
              <w:t>Intelligent Network Infrastructure</w:t>
            </w:r>
          </w:p>
        </w:tc>
        <w:tc>
          <w:tcPr>
            <w:tcW w:type="dxa" w:w="4320"/>
            <w:shd w:val="clear" w:color="auto" w:fill="1A376C"/>
          </w:tcPr>
          <w:p>
            <w:pPr>
              <w:spacing w:before="200" w:after="40"/>
              <w:ind w:right="216"/>
              <w:jc w:val="right"/>
            </w:pPr>
            <w:r>
              <w:rPr>
                <w:b/>
                <w:color w:val="A8C4E8"/>
                <w:sz w:val="18"/>
              </w:rPr>
              <w:t>FOUNDING CUSTOMER AGREEMENT</w:t>
            </w:r>
          </w:p>
          <w:p>
            <w:pPr>
              <w:spacing w:before="0" w:after="160"/>
              <w:ind w:right="216"/>
              <w:jc w:val="right"/>
            </w:pPr>
            <w:r>
              <w:rPr>
                <w:color w:val="FFFFFF"/>
                <w:sz w:val="16"/>
              </w:rPr>
              <w:t>Effective Date: April 19, 2026</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E5FA3"/>
          </w:tcPr>
          <w:p>
            <w:pPr>
              <w:spacing w:before="80" w:after="80"/>
              <w:ind w:left="144"/>
            </w:pPr>
            <w:r>
              <w:rPr>
                <w:b/>
                <w:color w:val="FFFFFF"/>
                <w:sz w:val="18"/>
              </w:rPr>
              <w:t>MAIAEDGE INC. (“MaiaEdge”)</w:t>
            </w:r>
          </w:p>
        </w:tc>
        <w:tc>
          <w:tcPr>
            <w:tcW w:type="dxa" w:w="4680"/>
            <w:shd w:val="clear" w:color="auto" w:fill="2E5FA3"/>
          </w:tcPr>
          <w:p>
            <w:pPr>
              <w:spacing w:before="80" w:after="80"/>
              <w:ind w:left="144"/>
            </w:pPr>
            <w:r>
              <w:rPr>
                <w:b/>
                <w:color w:val="FFFFFF"/>
                <w:sz w:val="18"/>
              </w:rPr>
              <w:t>HDCO GROUP (“Customer”)</w:t>
            </w:r>
          </w:p>
        </w:tc>
      </w:tr>
      <w:tr>
        <w:tc>
          <w:tcPr>
            <w:tcW w:type="dxa" w:w="4680"/>
          </w:tcPr>
          <w:p>
            <w:pPr>
              <w:spacing w:before="80" w:after="80"/>
              <w:ind w:left="144"/>
            </w:pPr>
            <w:r>
              <w:rPr>
                <w:sz w:val="18"/>
              </w:rPr>
              <w:t>77 S. Bedford St., Suite 150</w:t>
              <w:br/>
              <w:t>Burlington, MA 01803</w:t>
              <w:br/>
              <w:t>Contact: Abilash Menon, CEO</w:t>
              <w:br/>
              <w:t>Email: timziemer@maiaedge.io</w:t>
            </w:r>
          </w:p>
        </w:tc>
        <w:tc>
          <w:tcPr>
            <w:tcW w:type="dxa" w:w="4680"/>
          </w:tcPr>
          <w:p>
            <w:pPr>
              <w:spacing w:before="80" w:after="80"/>
              <w:ind w:left="144"/>
            </w:pPr>
            <w:r>
              <w:rPr>
                <w:sz w:val="18"/>
              </w:rPr>
              <w:t>Miami, FL 33101</w:t>
              <w:br/>
              <w:t>Contact: Victor Rodriguez</w:t>
              <w:br/>
              <w:t>Email: vrodriguez@hdcogroup.com</w:t>
            </w:r>
          </w:p>
        </w:tc>
      </w:tr>
    </w:tbl>
    <w:p/>
    <w:p>
      <w:pPr>
        <w:spacing w:before="280" w:after="80"/>
      </w:pPr>
      <w:r>
        <w:rPr>
          <w:b/>
          <w:color w:val="2E5FA3"/>
          <w:sz w:val="22"/>
        </w:rPr>
        <w:t>Section —. Background and Purpose</w:t>
      </w:r>
    </w:p>
    <w:p>
      <w:pPr>
        <w:spacing w:before="40" w:after="120"/>
        <w:ind w:left="360"/>
      </w:pPr>
      <w:r>
        <w:rPr>
          <w:color w:val="000000"/>
          <w:sz w:val="20"/>
        </w:rPr>
        <w:t>This Founding Customer Agreement (the "Agreement") is entered into as of the Effective Date above between MaiaEdge Inc. and HDCO Group. This Agreement documents HDCO Group's commitment as a founding customer for two distinct MaiaEdge product lines: (1) the MaiaEdge 100Gbps Path Border Controller ("100G PBC") hardware platform, and (2) the MaiaEdge Software PBC, a new software-only product currently under development. The parties have agreed to structure these commitments separately, as described below. HDCO Group's participation as a founding customer for the MaiaEdge Software PBC accelerates MaiaEdge's development timeline and entitles HDCO Group to exclusive founding customer pricing not available to subsequent purchasers.</w:t>
      </w:r>
    </w:p>
    <w:p>
      <w:pPr>
        <w:spacing w:before="280" w:after="80"/>
      </w:pPr>
      <w:r>
        <w:rPr>
          <w:b/>
          <w:color w:val="2E5FA3"/>
          <w:sz w:val="22"/>
        </w:rPr>
        <w:t>Section 1. 100G PBC Hardware Commitment</w:t>
      </w:r>
    </w:p>
    <w:p>
      <w:pPr>
        <w:spacing w:before="40" w:after="120"/>
        <w:ind w:left="360"/>
      </w:pPr>
      <w:r>
        <w:rPr>
          <w:color w:val="000000"/>
          <w:sz w:val="20"/>
        </w:rPr>
        <w:t>As a condition of this Agreement, HDCO Group commits to a minimum purchase of [__________] in MaiaEdge 100G Path Border Controller units over the term of the commercial relationship, beginning with an initial order of between five (5) and seven (7) units. Follow-on orders for an additional twenty-two (22) or more units are anticipated and will be documented under separate Order Forms consistent with MaiaEdge's standard commercial terms. This hardware commitment is a prerequisite for MaiaEdge's allocation of development resources to the MaiaEdge Software PBC product described in Section 2 below.</w:t>
      </w:r>
    </w:p>
    <w:p>
      <w:pPr>
        <w:spacing w:before="40" w:after="120"/>
        <w:ind w:left="360"/>
      </w:pPr>
      <w:r>
        <w:rPr>
          <w:color w:val="000000"/>
          <w:sz w:val="20"/>
        </w:rPr>
        <w:t>Each 100G PBC unit order will be governed by a separate MaiaEdge Order Form and, where applicable, a Master Subscription Agreement. Pricing for 100G PBC units is subject to HDCO Group's established customer discount of thirty percent (30%) off list price.</w:t>
      </w:r>
    </w:p>
    <w:p>
      <w:pPr>
        <w:spacing w:before="280" w:after="80"/>
      </w:pPr>
      <w:r>
        <w:rPr>
          <w:b/>
          <w:color w:val="2E5FA3"/>
          <w:sz w:val="22"/>
        </w:rPr>
        <w:t>Section 2. MaiaEdge Software PBC — Product Overview</w:t>
      </w:r>
    </w:p>
    <w:p>
      <w:pPr>
        <w:spacing w:before="40" w:after="120"/>
        <w:ind w:left="360"/>
      </w:pPr>
      <w:r>
        <w:rPr>
          <w:color w:val="000000"/>
          <w:sz w:val="20"/>
        </w:rPr>
        <w:t>The MaiaEdge Software PBC is a software-only implementation of MaiaEdge's Path Border Controller and Path Computation Engine technology, designed for smaller network deployments where a dedicated hardware appliance is not required. Unlike the 100G PBC hardware platform, the MaiaEdge Software PBC runs on customer-procured commodity server hardware meeting specifications published by MaiaEdge (see Section 6).</w:t>
      </w:r>
    </w:p>
    <w:p>
      <w:pPr>
        <w:spacing w:before="40" w:after="120"/>
        <w:ind w:left="360"/>
      </w:pPr>
      <w:r>
        <w:rPr>
          <w:color w:val="000000"/>
          <w:sz w:val="20"/>
        </w:rPr>
        <w:t>The MaiaEdge Software PBC is currently under development. MaiaEdge will use HDCO Group's founding customer commitment described in this Agreement to accelerate the product's commercial availability. HDCO Group, as the founding customer, has provided input on the product's hardware compatibility requirements and will have early access to the product upon delivery.</w:t>
      </w:r>
    </w:p>
    <w:p>
      <w:pPr>
        <w:spacing w:before="280" w:after="80"/>
      </w:pPr>
      <w:r>
        <w:rPr>
          <w:b/>
          <w:color w:val="2E5FA3"/>
          <w:sz w:val="22"/>
        </w:rPr>
        <w:t>Section 3. Founding Customer Pricing</w:t>
      </w:r>
    </w:p>
    <w:p>
      <w:pPr>
        <w:spacing w:before="40" w:after="120"/>
        <w:ind w:left="360"/>
      </w:pPr>
      <w:r>
        <w:rPr>
          <w:color w:val="000000"/>
          <w:sz w:val="20"/>
        </w:rPr>
        <w:t>HDCO Group commits to purchase five hundred (500) MaiaEdge Software PBC licenses under a thirty-six (36) month subscription term at the Founding Customer Price set forth below. This pricing is exclusive to HDCO Group as the founding customer and reflects a 33.3% discount from MaiaEdge's standard list price.</w:t>
      </w:r>
    </w:p>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2E5FA3"/>
          </w:tcPr>
          <w:p>
            <w:pPr>
              <w:spacing w:before="60" w:after="60"/>
              <w:ind w:left="115"/>
            </w:pPr>
            <w:r>
              <w:rPr>
                <w:b/>
                <w:color w:val="FFFFFF"/>
                <w:sz w:val="18"/>
              </w:rPr>
            </w:r>
          </w:p>
        </w:tc>
        <w:tc>
          <w:tcPr>
            <w:tcW w:type="dxa" w:w="1872"/>
            <w:shd w:val="clear" w:color="auto" w:fill="2E5FA3"/>
          </w:tcPr>
          <w:p>
            <w:pPr>
              <w:spacing w:before="60" w:after="60"/>
              <w:ind w:left="115" w:right="115"/>
              <w:jc w:val="right"/>
            </w:pPr>
            <w:r>
              <w:rPr>
                <w:b/>
                <w:color w:val="FFFFFF"/>
                <w:sz w:val="18"/>
              </w:rPr>
              <w:t>Per License</w:t>
            </w:r>
          </w:p>
        </w:tc>
        <w:tc>
          <w:tcPr>
            <w:tcW w:type="dxa" w:w="2880"/>
            <w:shd w:val="clear" w:color="auto" w:fill="2E5FA3"/>
          </w:tcPr>
          <w:p>
            <w:pPr>
              <w:spacing w:before="60" w:after="60"/>
              <w:ind w:left="115" w:right="115"/>
              <w:jc w:val="right"/>
            </w:pPr>
            <w:r>
              <w:rPr>
                <w:b/>
                <w:color w:val="FFFFFF"/>
                <w:sz w:val="18"/>
              </w:rPr>
              <w:t>500 Licenses (Total)</w:t>
            </w:r>
          </w:p>
        </w:tc>
      </w:tr>
      <w:tr>
        <w:tc>
          <w:tcPr>
            <w:tcW w:type="dxa" w:w="4320"/>
          </w:tcPr>
          <w:p>
            <w:pPr>
              <w:spacing w:before="60" w:after="60"/>
              <w:ind w:left="115"/>
            </w:pPr>
            <w:r>
              <w:rPr>
                <w:b w:val="0"/>
                <w:sz w:val="18"/>
              </w:rPr>
              <w:t>List Price (36-month term)</w:t>
            </w:r>
          </w:p>
        </w:tc>
        <w:tc>
          <w:tcPr>
            <w:tcW w:type="dxa" w:w="1872"/>
          </w:tcPr>
          <w:p>
            <w:pPr>
              <w:spacing w:before="60" w:after="60"/>
              <w:ind w:left="115" w:right="115"/>
              <w:jc w:val="right"/>
            </w:pPr>
            <w:r>
              <w:rPr>
                <w:b w:val="0"/>
                <w:sz w:val="18"/>
              </w:rPr>
              <w:t>$600</w:t>
            </w:r>
          </w:p>
        </w:tc>
        <w:tc>
          <w:tcPr>
            <w:tcW w:type="dxa" w:w="2880"/>
          </w:tcPr>
          <w:p>
            <w:pPr>
              <w:spacing w:before="60" w:after="60"/>
              <w:ind w:left="115" w:right="115"/>
              <w:jc w:val="right"/>
            </w:pPr>
            <w:r>
              <w:rPr>
                <w:b w:val="0"/>
                <w:sz w:val="18"/>
              </w:rPr>
              <w:t>$300,000</w:t>
            </w:r>
          </w:p>
        </w:tc>
      </w:tr>
      <w:tr>
        <w:tc>
          <w:tcPr>
            <w:tcW w:type="dxa" w:w="4320"/>
            <w:shd w:val="clear" w:color="auto" w:fill="F2F4F8"/>
          </w:tcPr>
          <w:p>
            <w:pPr>
              <w:spacing w:before="60" w:after="60"/>
              <w:ind w:left="115"/>
            </w:pPr>
            <w:r>
              <w:rPr>
                <w:b w:val="0"/>
                <w:sz w:val="18"/>
              </w:rPr>
              <w:t>Founding Customer Discount (33.3%)</w:t>
            </w:r>
          </w:p>
        </w:tc>
        <w:tc>
          <w:tcPr>
            <w:tcW w:type="dxa" w:w="1872"/>
            <w:shd w:val="clear" w:color="auto" w:fill="F2F4F8"/>
          </w:tcPr>
          <w:p>
            <w:pPr>
              <w:spacing w:before="60" w:after="60"/>
              <w:ind w:left="115" w:right="115"/>
              <w:jc w:val="right"/>
            </w:pPr>
            <w:r>
              <w:rPr>
                <w:b w:val="0"/>
                <w:sz w:val="18"/>
              </w:rPr>
              <w:t>($200)</w:t>
            </w:r>
          </w:p>
        </w:tc>
        <w:tc>
          <w:tcPr>
            <w:tcW w:type="dxa" w:w="2880"/>
            <w:shd w:val="clear" w:color="auto" w:fill="F2F4F8"/>
          </w:tcPr>
          <w:p>
            <w:pPr>
              <w:spacing w:before="60" w:after="60"/>
              <w:ind w:left="115" w:right="115"/>
              <w:jc w:val="right"/>
            </w:pPr>
            <w:r>
              <w:rPr>
                <w:b w:val="0"/>
                <w:sz w:val="18"/>
              </w:rPr>
              <w:t>($100,000)</w:t>
            </w:r>
          </w:p>
        </w:tc>
      </w:tr>
      <w:tr>
        <w:tc>
          <w:tcPr>
            <w:tcW w:type="dxa" w:w="4320"/>
            <w:shd w:val="clear" w:color="auto" w:fill="E8EDF5"/>
          </w:tcPr>
          <w:p>
            <w:pPr>
              <w:spacing w:before="60" w:after="60"/>
              <w:ind w:left="115"/>
            </w:pPr>
            <w:r>
              <w:rPr>
                <w:b/>
                <w:sz w:val="18"/>
              </w:rPr>
              <w:t>Founding Customer Price (36-month term)</w:t>
            </w:r>
          </w:p>
        </w:tc>
        <w:tc>
          <w:tcPr>
            <w:tcW w:type="dxa" w:w="1872"/>
            <w:shd w:val="clear" w:color="auto" w:fill="E8EDF5"/>
          </w:tcPr>
          <w:p>
            <w:pPr>
              <w:spacing w:before="60" w:after="60"/>
              <w:ind w:left="115" w:right="115"/>
              <w:jc w:val="right"/>
            </w:pPr>
            <w:r>
              <w:rPr>
                <w:b/>
                <w:sz w:val="18"/>
              </w:rPr>
              <w:t>$400</w:t>
            </w:r>
          </w:p>
        </w:tc>
        <w:tc>
          <w:tcPr>
            <w:tcW w:type="dxa" w:w="2880"/>
            <w:shd w:val="clear" w:color="auto" w:fill="E8EDF5"/>
          </w:tcPr>
          <w:p>
            <w:pPr>
              <w:spacing w:before="60" w:after="60"/>
              <w:ind w:left="115" w:right="115"/>
              <w:jc w:val="right"/>
            </w:pPr>
            <w:r>
              <w:rPr>
                <w:b/>
                <w:sz w:val="18"/>
              </w:rPr>
              <w:t>$200,000</w:t>
            </w:r>
          </w:p>
        </w:tc>
      </w:tr>
      <w:tr>
        <w:tc>
          <w:tcPr>
            <w:tcW w:type="dxa" w:w="4320"/>
            <w:shd w:val="clear" w:color="auto" w:fill="E8EDF5"/>
          </w:tcPr>
          <w:p>
            <w:pPr>
              <w:spacing w:before="60" w:after="60"/>
              <w:ind w:left="115"/>
            </w:pPr>
            <w:r>
              <w:rPr>
                <w:b/>
                <w:sz w:val="18"/>
              </w:rPr>
              <w:t>Total Contract Value (TCV)</w:t>
            </w:r>
          </w:p>
        </w:tc>
        <w:tc>
          <w:tcPr>
            <w:tcW w:type="dxa" w:w="1872"/>
            <w:shd w:val="clear" w:color="auto" w:fill="E8EDF5"/>
          </w:tcPr>
          <w:p>
            <w:pPr>
              <w:spacing w:before="60" w:after="60"/>
              <w:ind w:left="115" w:right="115"/>
              <w:jc w:val="right"/>
            </w:pPr>
            <w:r>
              <w:rPr>
                <w:b/>
                <w:sz w:val="18"/>
              </w:rPr>
            </w:r>
          </w:p>
        </w:tc>
        <w:tc>
          <w:tcPr>
            <w:tcW w:type="dxa" w:w="2880"/>
            <w:shd w:val="clear" w:color="auto" w:fill="E8EDF5"/>
          </w:tcPr>
          <w:p>
            <w:pPr>
              <w:spacing w:before="60" w:after="60"/>
              <w:ind w:left="115" w:right="115"/>
              <w:jc w:val="right"/>
            </w:pPr>
            <w:r>
              <w:rPr>
                <w:b/>
                <w:sz w:val="18"/>
              </w:rPr>
              <w:t>$200,000</w:t>
            </w:r>
          </w:p>
        </w:tc>
      </w:tr>
    </w:tbl>
    <w:p/>
    <w:p>
      <w:pPr>
        <w:spacing w:before="280" w:after="80"/>
      </w:pPr>
      <w:r>
        <w:rPr>
          <w:b/>
          <w:color w:val="2E5FA3"/>
          <w:sz w:val="22"/>
        </w:rPr>
        <w:t>Section 4. Subscription Term and Activation</w:t>
      </w:r>
    </w:p>
    <w:p>
      <w:pPr>
        <w:spacing w:before="40" w:after="120"/>
        <w:ind w:left="360"/>
      </w:pPr>
      <w:r>
        <w:rPr>
          <w:color w:val="000000"/>
          <w:sz w:val="20"/>
        </w:rPr>
        <w:t>The thirty-six (36) month subscription term (the "Term") commences on the date MaiaEdge delivers the MaiaEdge Software PBC to HDCO Group for production use (the "Activation Date"). The subscription clock does not begin until the Activation Date, regardless of when pre-payments are made under Section 5. HDCO Group's pre-payments described in Section 5 are credited against the subscription fees for the first eighteen (18) months of the Term.</w:t>
      </w:r>
    </w:p>
    <w:p>
      <w:pPr>
        <w:spacing w:before="40" w:after="120"/>
        <w:ind w:left="360"/>
      </w:pPr>
      <w:r>
        <w:rPr>
          <w:color w:val="000000"/>
          <w:sz w:val="20"/>
        </w:rPr>
        <w:t>Beginning in month nineteen (19) of the Term, HDCO Group will be invoiced monthly in advance at the monthly subscription rate set forth in Section 5, consistent with MaiaEdge's standard billing practices. The Term will automatically expire at the end of month thirty-six (36) unless the parties agree in writing to a renewal.</w:t>
      </w:r>
    </w:p>
    <w:p>
      <w:pPr>
        <w:spacing w:before="280" w:after="80"/>
      </w:pPr>
      <w:r>
        <w:rPr>
          <w:b/>
          <w:color w:val="2E5FA3"/>
          <w:sz w:val="22"/>
        </w:rPr>
        <w:t>Section 5. Payment Schedule</w:t>
      </w:r>
    </w:p>
    <w:p>
      <w:pPr>
        <w:spacing w:before="40" w:after="120"/>
        <w:ind w:left="360"/>
      </w:pPr>
      <w:r>
        <w:rPr>
          <w:color w:val="000000"/>
          <w:sz w:val="20"/>
        </w:rPr>
        <w:t>HDCO Group's total payment obligation under this Agreement is five hundred (500) licenses × $400 per license = $200,000 (the "Total Contract Value"). Payments are structured in three phases as follows:</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2E5FA3"/>
          </w:tcPr>
          <w:p>
            <w:pPr>
              <w:spacing w:before="60" w:after="60"/>
              <w:ind w:left="115"/>
            </w:pPr>
            <w:r>
              <w:rPr>
                <w:b/>
                <w:color w:val="FFFFFF"/>
                <w:sz w:val="18"/>
              </w:rPr>
              <w:t>Payment</w:t>
            </w:r>
          </w:p>
        </w:tc>
        <w:tc>
          <w:tcPr>
            <w:tcW w:type="dxa" w:w="3456"/>
            <w:shd w:val="clear" w:color="auto" w:fill="2E5FA3"/>
          </w:tcPr>
          <w:p>
            <w:pPr>
              <w:spacing w:before="60" w:after="60"/>
              <w:ind w:left="115"/>
            </w:pPr>
            <w:r>
              <w:rPr>
                <w:b/>
                <w:color w:val="FFFFFF"/>
                <w:sz w:val="18"/>
              </w:rPr>
              <w:t>Trigger / Timing</w:t>
            </w:r>
          </w:p>
        </w:tc>
        <w:tc>
          <w:tcPr>
            <w:tcW w:type="dxa" w:w="1440"/>
            <w:shd w:val="clear" w:color="auto" w:fill="2E5FA3"/>
          </w:tcPr>
          <w:p>
            <w:pPr>
              <w:spacing w:before="60" w:after="60"/>
              <w:ind w:left="115"/>
            </w:pPr>
            <w:r>
              <w:rPr>
                <w:b/>
                <w:color w:val="FFFFFF"/>
                <w:sz w:val="18"/>
              </w:rPr>
              <w:t>Amount</w:t>
            </w:r>
          </w:p>
        </w:tc>
        <w:tc>
          <w:tcPr>
            <w:tcW w:type="dxa" w:w="2880"/>
            <w:shd w:val="clear" w:color="auto" w:fill="2E5FA3"/>
          </w:tcPr>
          <w:p>
            <w:pPr>
              <w:spacing w:before="60" w:after="60"/>
              <w:ind w:left="115"/>
            </w:pPr>
            <w:r>
              <w:rPr>
                <w:b/>
                <w:color w:val="FFFFFF"/>
                <w:sz w:val="18"/>
              </w:rPr>
              <w:t>Subscription Months Covered</w:t>
            </w:r>
          </w:p>
        </w:tc>
      </w:tr>
      <w:tr>
        <w:tc>
          <w:tcPr>
            <w:tcW w:type="dxa" w:w="1440"/>
          </w:tcPr>
          <w:p>
            <w:pPr>
              <w:spacing w:before="60" w:after="60"/>
              <w:ind w:left="115"/>
            </w:pPr>
            <w:r>
              <w:rPr>
                <w:b w:val="0"/>
                <w:sz w:val="18"/>
              </w:rPr>
              <w:t>Payment 1</w:t>
            </w:r>
          </w:p>
        </w:tc>
        <w:tc>
          <w:tcPr>
            <w:tcW w:type="dxa" w:w="3456"/>
          </w:tcPr>
          <w:p>
            <w:pPr>
              <w:spacing w:before="60" w:after="60"/>
              <w:ind w:left="115"/>
            </w:pPr>
            <w:r>
              <w:rPr>
                <w:b w:val="0"/>
                <w:sz w:val="18"/>
              </w:rPr>
              <w:t>Due at Agreement signing</w:t>
            </w:r>
          </w:p>
        </w:tc>
        <w:tc>
          <w:tcPr>
            <w:tcW w:type="dxa" w:w="1440"/>
          </w:tcPr>
          <w:p>
            <w:pPr>
              <w:spacing w:before="60" w:after="60"/>
              <w:ind w:left="115"/>
            </w:pPr>
            <w:r>
              <w:rPr>
                <w:b w:val="0"/>
                <w:sz w:val="18"/>
              </w:rPr>
              <w:t>$50,000</w:t>
            </w:r>
          </w:p>
        </w:tc>
        <w:tc>
          <w:tcPr>
            <w:tcW w:type="dxa" w:w="2880"/>
          </w:tcPr>
          <w:p>
            <w:pPr>
              <w:spacing w:before="60" w:after="60"/>
              <w:ind w:left="115"/>
            </w:pPr>
            <w:r>
              <w:rPr>
                <w:b w:val="0"/>
                <w:sz w:val="18"/>
              </w:rPr>
              <w:t>Months 1 – 9</w:t>
            </w:r>
          </w:p>
        </w:tc>
      </w:tr>
      <w:tr>
        <w:tc>
          <w:tcPr>
            <w:tcW w:type="dxa" w:w="1440"/>
            <w:shd w:val="clear" w:color="auto" w:fill="F2F4F8"/>
          </w:tcPr>
          <w:p>
            <w:pPr>
              <w:spacing w:before="60" w:after="60"/>
              <w:ind w:left="115"/>
            </w:pPr>
            <w:r>
              <w:rPr>
                <w:b w:val="0"/>
                <w:sz w:val="18"/>
              </w:rPr>
              <w:t>Payment 2</w:t>
            </w:r>
          </w:p>
        </w:tc>
        <w:tc>
          <w:tcPr>
            <w:tcW w:type="dxa" w:w="3456"/>
            <w:shd w:val="clear" w:color="auto" w:fill="F2F4F8"/>
          </w:tcPr>
          <w:p>
            <w:pPr>
              <w:spacing w:before="60" w:after="60"/>
              <w:ind w:left="115"/>
            </w:pPr>
            <w:r>
              <w:rPr>
                <w:b w:val="0"/>
                <w:sz w:val="18"/>
              </w:rPr>
              <w:t>Due upon [__________]</w:t>
            </w:r>
          </w:p>
        </w:tc>
        <w:tc>
          <w:tcPr>
            <w:tcW w:type="dxa" w:w="1440"/>
            <w:shd w:val="clear" w:color="auto" w:fill="F2F4F8"/>
          </w:tcPr>
          <w:p>
            <w:pPr>
              <w:spacing w:before="60" w:after="60"/>
              <w:ind w:left="115"/>
            </w:pPr>
            <w:r>
              <w:rPr>
                <w:b w:val="0"/>
                <w:sz w:val="18"/>
              </w:rPr>
              <w:t>$50,000</w:t>
            </w:r>
          </w:p>
        </w:tc>
        <w:tc>
          <w:tcPr>
            <w:tcW w:type="dxa" w:w="2880"/>
            <w:shd w:val="clear" w:color="auto" w:fill="F2F4F8"/>
          </w:tcPr>
          <w:p>
            <w:pPr>
              <w:spacing w:before="60" w:after="60"/>
              <w:ind w:left="115"/>
            </w:pPr>
            <w:r>
              <w:rPr>
                <w:b w:val="0"/>
                <w:sz w:val="18"/>
              </w:rPr>
              <w:t>Months 10 – 18</w:t>
            </w:r>
          </w:p>
        </w:tc>
      </w:tr>
      <w:tr>
        <w:tc>
          <w:tcPr>
            <w:tcW w:type="dxa" w:w="1440"/>
          </w:tcPr>
          <w:p>
            <w:pPr>
              <w:spacing w:before="60" w:after="60"/>
              <w:ind w:left="115"/>
            </w:pPr>
            <w:r>
              <w:rPr>
                <w:b w:val="0"/>
                <w:sz w:val="18"/>
              </w:rPr>
              <w:t>Monthly Billing</w:t>
            </w:r>
          </w:p>
        </w:tc>
        <w:tc>
          <w:tcPr>
            <w:tcW w:type="dxa" w:w="3456"/>
          </w:tcPr>
          <w:p>
            <w:pPr>
              <w:spacing w:before="60" w:after="60"/>
              <w:ind w:left="115"/>
            </w:pPr>
            <w:r>
              <w:rPr>
                <w:b w:val="0"/>
                <w:sz w:val="18"/>
              </w:rPr>
              <w:t>Monthly in advance, beginning Month 19</w:t>
            </w:r>
          </w:p>
        </w:tc>
        <w:tc>
          <w:tcPr>
            <w:tcW w:type="dxa" w:w="1440"/>
          </w:tcPr>
          <w:p>
            <w:pPr>
              <w:spacing w:before="60" w:after="60"/>
              <w:ind w:left="115"/>
            </w:pPr>
            <w:r>
              <w:rPr>
                <w:b w:val="0"/>
                <w:sz w:val="18"/>
              </w:rPr>
              <w:t>$5,556/mo</w:t>
            </w:r>
          </w:p>
        </w:tc>
        <w:tc>
          <w:tcPr>
            <w:tcW w:type="dxa" w:w="2880"/>
          </w:tcPr>
          <w:p>
            <w:pPr>
              <w:spacing w:before="60" w:after="60"/>
              <w:ind w:left="115"/>
            </w:pPr>
            <w:r>
              <w:rPr>
                <w:b w:val="0"/>
                <w:sz w:val="18"/>
              </w:rPr>
              <w:t>Months 19 – 36 (18 payments)</w:t>
            </w:r>
          </w:p>
        </w:tc>
      </w:tr>
      <w:tr>
        <w:tc>
          <w:tcPr>
            <w:tcW w:type="dxa" w:w="1440"/>
            <w:shd w:val="clear" w:color="auto" w:fill="E8EDF5"/>
          </w:tcPr>
          <w:p>
            <w:pPr>
              <w:spacing w:before="60" w:after="60"/>
              <w:ind w:left="115"/>
            </w:pPr>
            <w:r>
              <w:rPr>
                <w:b/>
                <w:sz w:val="18"/>
              </w:rPr>
              <w:t>Total</w:t>
            </w:r>
          </w:p>
        </w:tc>
        <w:tc>
          <w:tcPr>
            <w:tcW w:type="dxa" w:w="3456"/>
            <w:shd w:val="clear" w:color="auto" w:fill="E8EDF5"/>
          </w:tcPr>
          <w:p>
            <w:pPr>
              <w:spacing w:before="60" w:after="60"/>
              <w:ind w:left="115"/>
            </w:pPr>
            <w:r>
              <w:rPr>
                <w:b/>
                <w:sz w:val="18"/>
              </w:rPr>
            </w:r>
          </w:p>
        </w:tc>
        <w:tc>
          <w:tcPr>
            <w:tcW w:type="dxa" w:w="1440"/>
            <w:shd w:val="clear" w:color="auto" w:fill="E8EDF5"/>
          </w:tcPr>
          <w:p>
            <w:pPr>
              <w:spacing w:before="60" w:after="60"/>
              <w:ind w:left="115"/>
            </w:pPr>
            <w:r>
              <w:rPr>
                <w:b/>
                <w:sz w:val="18"/>
              </w:rPr>
              <w:t>$200,000</w:t>
            </w:r>
          </w:p>
        </w:tc>
        <w:tc>
          <w:tcPr>
            <w:tcW w:type="dxa" w:w="2880"/>
            <w:shd w:val="clear" w:color="auto" w:fill="E8EDF5"/>
          </w:tcPr>
          <w:p>
            <w:pPr>
              <w:spacing w:before="60" w:after="60"/>
              <w:ind w:left="115"/>
            </w:pPr>
            <w:r>
              <w:rPr>
                <w:b/>
                <w:sz w:val="18"/>
              </w:rPr>
              <w:t>36 months</w:t>
            </w:r>
          </w:p>
        </w:tc>
      </w:tr>
    </w:tbl>
    <w:p/>
    <w:p>
      <w:pPr>
        <w:spacing w:before="40" w:after="120"/>
        <w:ind w:left="360"/>
      </w:pPr>
      <w:r>
        <w:rPr>
          <w:color w:val="000000"/>
          <w:sz w:val="20"/>
        </w:rPr>
        <w:t>All payments are due within thirty (30) days of invoice (Net 30). Payments 1 and 2 are non-refundable once made, except as provided in Section 8 (Longstop Date). Monthly billing commences automatically upon the expiration of the pre-paid period and continues through the end of the Term without further action required by either party.</w:t>
      </w:r>
    </w:p>
    <w:p>
      <w:pPr>
        <w:spacing w:before="280" w:after="80"/>
      </w:pPr>
      <w:r>
        <w:rPr>
          <w:b/>
          <w:color w:val="2E5FA3"/>
          <w:sz w:val="22"/>
        </w:rPr>
        <w:t>Section 6. Hardware Requirements</w:t>
      </w:r>
    </w:p>
    <w:p>
      <w:pPr>
        <w:spacing w:before="40" w:after="120"/>
        <w:ind w:left="360"/>
      </w:pPr>
      <w:r>
        <w:rPr>
          <w:color w:val="000000"/>
          <w:sz w:val="20"/>
        </w:rPr>
        <w:t>The MaiaEdge Software PBC is a software-only product. HDCO Group is responsible for procuring the server hardware on which the software will run. MaiaEdge will publish a Hardware Compatibility Specification (the "HCS") prior to or concurrent with product delivery, specifying the minimum and recommended server hardware configurations (including CPU, memory, storage, and network interface requirements) on which the MaiaEdge Software PBC is supported and warranted to operate.</w:t>
      </w:r>
    </w:p>
    <w:p>
      <w:pPr>
        <w:spacing w:before="40" w:after="120"/>
        <w:ind w:left="360"/>
      </w:pPr>
      <w:r>
        <w:rPr>
          <w:color w:val="000000"/>
          <w:sz w:val="20"/>
        </w:rPr>
        <w:t>MaiaEdge's support and warranty obligations under this Agreement apply only to deployments running on hardware that meets or exceeds the published HCS. HDCO Group is encouraged to share its anticipated hardware procurement plans with MaiaEdge prior to purchase to ensure compatibility. MaiaEdge will provide reasonable advance notice of any changes to the HCS.</w:t>
      </w:r>
    </w:p>
    <w:p>
      <w:pPr>
        <w:spacing w:before="280" w:after="80"/>
      </w:pPr>
      <w:r>
        <w:rPr>
          <w:b/>
          <w:color w:val="2E5FA3"/>
          <w:sz w:val="22"/>
        </w:rPr>
        <w:t>Section 7. Development Milestone and Second Payment Trigger</w:t>
      </w:r>
    </w:p>
    <w:p>
      <w:pPr>
        <w:spacing w:before="40" w:after="120"/>
        <w:ind w:left="360"/>
      </w:pPr>
      <w:r>
        <w:rPr>
          <w:color w:val="000000"/>
          <w:sz w:val="20"/>
        </w:rPr>
        <w:t>Payment 2 ($50,000) becomes due upon the occurrence of the following development milestone (the "Milestone"): [__________].</w:t>
      </w:r>
    </w:p>
    <w:p>
      <w:pPr>
        <w:spacing w:before="40" w:after="120"/>
        <w:ind w:left="360"/>
      </w:pPr>
      <w:r>
        <w:rPr>
          <w:color w:val="000000"/>
          <w:sz w:val="20"/>
        </w:rPr>
        <w:t>MaiaEdge will provide HDCO Group with written notice upon achievement of the Milestone, together with an invoice for Payment 2. Payment 2 is due within thirty (30) days of such notice. MaiaEdge will use commercially reasonable efforts to achieve the Milestone and will provide HDCO Group with quarterly progress updates from the date of signing.</w:t>
      </w:r>
    </w:p>
    <w:p>
      <w:pPr>
        <w:spacing w:before="280" w:after="80"/>
      </w:pPr>
      <w:r>
        <w:rPr>
          <w:b/>
          <w:color w:val="2E5FA3"/>
          <w:sz w:val="22"/>
        </w:rPr>
        <w:t>Section 8. Delivery Commitment and Longstop Date</w:t>
      </w:r>
    </w:p>
    <w:p>
      <w:pPr>
        <w:spacing w:before="40" w:after="120"/>
        <w:ind w:left="360"/>
      </w:pPr>
      <w:r>
        <w:rPr>
          <w:color w:val="000000"/>
          <w:sz w:val="20"/>
        </w:rPr>
        <w:t>MaiaEdge commits to delivering the MaiaEdge Software PBC to HDCO Group for production use no later than [__________] (the "Longstop Date"). In the event MaiaEdge fails to deliver the product by the Longstop Date, HDCO Group's sole remedy shall be a full refund of any pre-payments made under Section 5 that have not yet been credited against delivered services, and either party may terminate this Agreement upon thirty (30) days' written notice without further liability.</w:t>
      </w:r>
    </w:p>
    <w:p>
      <w:pPr>
        <w:spacing w:before="40" w:after="120"/>
        <w:ind w:left="360"/>
      </w:pPr>
      <w:r>
        <w:rPr>
          <w:color w:val="000000"/>
          <w:sz w:val="20"/>
        </w:rPr>
        <w:t>For the avoidance of doubt, delays caused by HDCO Group's failure to perform its obligations under this Agreement (including failure to make timely payments) shall toll the Longstop Date by an equivalent period.</w:t>
      </w:r>
    </w:p>
    <w:p>
      <w:pPr>
        <w:spacing w:before="280" w:after="80"/>
      </w:pPr>
      <w:r>
        <w:rPr>
          <w:b/>
          <w:color w:val="2E5FA3"/>
          <w:sz w:val="22"/>
        </w:rPr>
        <w:t>Section 9. Founding Customer Benefits</w:t>
      </w:r>
    </w:p>
    <w:p>
      <w:pPr>
        <w:spacing w:before="40" w:after="120"/>
        <w:ind w:left="360"/>
      </w:pPr>
      <w:r>
        <w:rPr>
          <w:color w:val="000000"/>
          <w:sz w:val="20"/>
        </w:rPr>
        <w:t>In recognition of HDCO Group's role as the founding customer for the MaiaEdge Software PBC, MaiaEdge agrees to provide the following benefits during the Term:</w:t>
      </w:r>
    </w:p>
    <w:p>
      <w:pPr>
        <w:spacing w:before="40" w:after="80"/>
        <w:ind w:left="720"/>
      </w:pPr>
      <w:r>
        <w:rPr>
          <w:b/>
          <w:sz w:val="20"/>
        </w:rPr>
        <w:t xml:space="preserve">Locked Pricing: </w:t>
      </w:r>
      <w:r>
        <w:rPr>
          <w:sz w:val="20"/>
        </w:rPr>
        <w:t>The Founding Customer Price of $400 per license is fixed for the full thirty-six (36) month Term and will not be subject to price increases.</w:t>
      </w:r>
    </w:p>
    <w:p>
      <w:pPr>
        <w:spacing w:before="40" w:after="80"/>
        <w:ind w:left="720"/>
      </w:pPr>
      <w:r>
        <w:rPr>
          <w:b/>
          <w:sz w:val="20"/>
        </w:rPr>
        <w:t xml:space="preserve">Early Access: </w:t>
      </w:r>
      <w:r>
        <w:rPr>
          <w:sz w:val="20"/>
        </w:rPr>
        <w:t>HDCO Group will receive access to the MaiaEdge Software PBC prior to general commercial availability.</w:t>
      </w:r>
    </w:p>
    <w:p>
      <w:pPr>
        <w:spacing w:before="40" w:after="80"/>
        <w:ind w:left="720"/>
      </w:pPr>
      <w:r>
        <w:rPr>
          <w:b/>
          <w:sz w:val="20"/>
        </w:rPr>
        <w:t xml:space="preserve">Product Input: </w:t>
      </w:r>
      <w:r>
        <w:rPr>
          <w:sz w:val="20"/>
        </w:rPr>
        <w:t>MaiaEdge will consult with HDCO Group on hardware compatibility specifications and key product features during the development period.</w:t>
      </w:r>
    </w:p>
    <w:p>
      <w:pPr>
        <w:spacing w:before="40" w:after="80"/>
        <w:ind w:left="720"/>
      </w:pPr>
      <w:r>
        <w:rPr>
          <w:b/>
          <w:sz w:val="20"/>
        </w:rPr>
        <w:t xml:space="preserve">Priority Support: </w:t>
      </w:r>
      <w:r>
        <w:rPr>
          <w:sz w:val="20"/>
        </w:rPr>
        <w:t>HDCO Group will receive priority technical support during the first twelve (12) months of the subscription Term.</w:t>
      </w:r>
    </w:p>
    <w:p>
      <w:pPr>
        <w:spacing w:before="280" w:after="80"/>
      </w:pPr>
      <w:r>
        <w:rPr>
          <w:b/>
          <w:color w:val="2E5FA3"/>
          <w:sz w:val="22"/>
        </w:rPr>
        <w:t>Section 10. General Terms</w:t>
      </w:r>
    </w:p>
    <w:p>
      <w:pPr>
        <w:spacing w:before="40" w:after="100"/>
        <w:ind w:left="360"/>
      </w:pPr>
      <w:r>
        <w:rPr>
          <w:b/>
          <w:sz w:val="20"/>
        </w:rPr>
        <w:t xml:space="preserve">Governing Law. </w:t>
      </w:r>
      <w:r>
        <w:rPr>
          <w:sz w:val="20"/>
        </w:rPr>
        <w:t>This Agreement shall be governed by and construed in accordance with the laws of the Commonwealth of Massachusetts, without regard to its conflict of law provisions.</w:t>
      </w:r>
    </w:p>
    <w:p>
      <w:pPr>
        <w:spacing w:before="40" w:after="100"/>
        <w:ind w:left="360"/>
      </w:pPr>
      <w:r>
        <w:rPr>
          <w:b/>
          <w:sz w:val="20"/>
        </w:rPr>
        <w:t xml:space="preserve">Entire Agreement. </w:t>
      </w:r>
      <w:r>
        <w:rPr>
          <w:sz w:val="20"/>
        </w:rPr>
        <w:t>This Agreement constitutes the entire agreement between the parties with respect to the MaiaEdge Software PBC founding customer commitment and supersedes all prior discussions, representations, and understandings relating to the same subject matter. The 100G PBC hardware orders described in Section 1 shall be governed by separate Order Forms and, where applicable, a Master Subscription Agreement.</w:t>
      </w:r>
    </w:p>
    <w:p>
      <w:pPr>
        <w:spacing w:before="40" w:after="100"/>
        <w:ind w:left="360"/>
      </w:pPr>
      <w:r>
        <w:rPr>
          <w:b/>
          <w:sz w:val="20"/>
        </w:rPr>
        <w:t xml:space="preserve">Amendment. </w:t>
      </w:r>
      <w:r>
        <w:rPr>
          <w:sz w:val="20"/>
        </w:rPr>
        <w:t>This Agreement may not be amended except by a written instrument signed by authorized representatives of both parties.</w:t>
      </w:r>
    </w:p>
    <w:p>
      <w:pPr>
        <w:spacing w:before="40" w:after="100"/>
        <w:ind w:left="360"/>
      </w:pPr>
      <w:r>
        <w:rPr>
          <w:b/>
          <w:sz w:val="20"/>
        </w:rPr>
        <w:t xml:space="preserve">Severability. </w:t>
      </w:r>
      <w:r>
        <w:rPr>
          <w:sz w:val="20"/>
        </w:rPr>
        <w:t>If any provision of this Agreement is held invalid or unenforceable, the remaining provisions shall continue in full force and effect.</w:t>
      </w:r>
    </w:p>
    <w:p>
      <w:pPr>
        <w:spacing w:before="40" w:after="100"/>
        <w:ind w:left="360"/>
      </w:pPr>
      <w:r>
        <w:rPr>
          <w:b/>
          <w:sz w:val="20"/>
        </w:rPr>
        <w:t xml:space="preserve">Notices. </w:t>
      </w:r>
      <w:r>
        <w:rPr>
          <w:sz w:val="20"/>
        </w:rPr>
        <w:t>All notices under this Agreement shall be in writing and delivered by email with confirmation of receipt to the contacts listed in the Parties section above.</w:t>
      </w:r>
    </w:p>
    <w:p>
      <w:pPr>
        <w:spacing w:before="40" w:after="100"/>
        <w:ind w:left="360"/>
      </w:pPr>
      <w:r>
        <w:rPr>
          <w:b/>
          <w:sz w:val="20"/>
        </w:rPr>
        <w:t xml:space="preserve">Non-Solicitation. </w:t>
      </w:r>
      <w:r>
        <w:rPr>
          <w:sz w:val="20"/>
        </w:rPr>
        <w:t>During the Term and for twelve (12) months thereafter, neither party shall directly solicit for employment any employee of the other party who was involved in the performance of this Agreement.</w:t>
      </w:r>
    </w:p>
    <w:p/>
    <w:p>
      <w:pPr>
        <w:spacing w:before="80" w:after="240"/>
      </w:pPr>
      <w:r>
        <w:rPr>
          <w:b w:val="0"/>
          <w:i w:val="0"/>
          <w:sz w:val="20"/>
        </w:rPr>
        <w:t>IN WITNESS WHEREOF, the parties have executed this Agreement as of the Effective Date.</w:t>
      </w:r>
    </w:p>
    <w:tbl>
      <w:tblPr>
        <w:tblW w:type="auto" w:w="0"/>
        <w:jc w:val="center"/>
        <w:tblLook w:firstColumn="1" w:firstRow="1" w:lastColumn="0" w:lastRow="0" w:noHBand="0" w:noVBand="1" w:val="04A0"/>
      </w:tblPr>
      <w:tblGrid>
        <w:gridCol w:w="4680"/>
        <w:gridCol w:w="4680"/>
      </w:tblGrid>
      <w:tr>
        <w:tc>
          <w:tcPr>
            <w:tcW w:type="dxa" w:w="4680"/>
          </w:tcPr>
          <w:p>
            <w:pPr>
              <w:spacing w:before="60" w:after="60"/>
              <w:ind w:left="144"/>
            </w:pPr>
            <w:r>
              <w:rPr>
                <w:b/>
                <w:color w:val="1A376C"/>
                <w:sz w:val="20"/>
              </w:rPr>
              <w:t>MAIAEDGE INC.</w:t>
            </w:r>
          </w:p>
        </w:tc>
        <w:tc>
          <w:tcPr>
            <w:tcW w:type="dxa" w:w="4680"/>
          </w:tcPr>
          <w:p>
            <w:pPr>
              <w:spacing w:before="60" w:after="60"/>
              <w:ind w:left="144"/>
            </w:pPr>
            <w:r>
              <w:rPr>
                <w:b/>
                <w:color w:val="1A376C"/>
                <w:sz w:val="20"/>
              </w:rPr>
              <w:t>HDCO GROUP</w:t>
            </w:r>
          </w:p>
        </w:tc>
      </w:tr>
      <w:tr>
        <w:tc>
          <w:tcPr>
            <w:tcW w:type="dxa" w:w="4680"/>
          </w:tcPr>
          <w:p>
            <w:pPr>
              <w:spacing w:before="60" w:after="60"/>
              <w:ind w:left="144"/>
            </w:pPr>
            <w:r>
              <w:rPr>
                <w:sz w:val="20"/>
              </w:rPr>
            </w:r>
          </w:p>
        </w:tc>
        <w:tc>
          <w:tcPr>
            <w:tcW w:type="dxa" w:w="4680"/>
          </w:tcPr>
          <w:p>
            <w:pPr>
              <w:spacing w:before="60" w:after="60"/>
              <w:ind w:left="144"/>
            </w:pPr>
            <w:r>
              <w:rPr>
                <w:sz w:val="20"/>
              </w:rPr>
            </w:r>
          </w:p>
        </w:tc>
      </w:tr>
      <w:tr>
        <w:tc>
          <w:tcPr>
            <w:tcW w:type="dxa" w:w="4680"/>
          </w:tcPr>
          <w:p>
            <w:pPr>
              <w:spacing w:before="60" w:after="60"/>
              <w:ind w:left="144"/>
            </w:pPr>
            <w:r>
              <w:rPr>
                <w:sz w:val="20"/>
              </w:rPr>
              <w:t>Signature: ___________________________</w:t>
            </w:r>
          </w:p>
        </w:tc>
        <w:tc>
          <w:tcPr>
            <w:tcW w:type="dxa" w:w="4680"/>
          </w:tcPr>
          <w:p>
            <w:pPr>
              <w:spacing w:before="60" w:after="60"/>
              <w:ind w:left="144"/>
            </w:pPr>
            <w:r>
              <w:rPr>
                <w:sz w:val="20"/>
              </w:rPr>
              <w:t>Signature: ___________________________</w:t>
            </w:r>
          </w:p>
        </w:tc>
      </w:tr>
      <w:tr>
        <w:tc>
          <w:tcPr>
            <w:tcW w:type="dxa" w:w="4680"/>
          </w:tcPr>
          <w:p>
            <w:pPr>
              <w:spacing w:before="60" w:after="60"/>
              <w:ind w:left="144"/>
            </w:pPr>
            <w:r>
              <w:rPr>
                <w:sz w:val="20"/>
              </w:rPr>
              <w:t>Name:      Abilash Menon</w:t>
            </w:r>
          </w:p>
        </w:tc>
        <w:tc>
          <w:tcPr>
            <w:tcW w:type="dxa" w:w="4680"/>
          </w:tcPr>
          <w:p>
            <w:pPr>
              <w:spacing w:before="60" w:after="60"/>
              <w:ind w:left="144"/>
            </w:pPr>
            <w:r>
              <w:rPr>
                <w:sz w:val="20"/>
              </w:rPr>
              <w:t>Name:      Victor Rodriguez</w:t>
            </w:r>
          </w:p>
        </w:tc>
      </w:tr>
      <w:tr>
        <w:tc>
          <w:tcPr>
            <w:tcW w:type="dxa" w:w="4680"/>
          </w:tcPr>
          <w:p>
            <w:pPr>
              <w:spacing w:before="60" w:after="60"/>
              <w:ind w:left="144"/>
            </w:pPr>
            <w:r>
              <w:rPr>
                <w:sz w:val="20"/>
              </w:rPr>
              <w:t>Title:     CEO</w:t>
            </w:r>
          </w:p>
        </w:tc>
        <w:tc>
          <w:tcPr>
            <w:tcW w:type="dxa" w:w="4680"/>
          </w:tcPr>
          <w:p>
            <w:pPr>
              <w:spacing w:before="60" w:after="60"/>
              <w:ind w:left="144"/>
            </w:pPr>
            <w:r>
              <w:rPr>
                <w:sz w:val="20"/>
              </w:rPr>
              <w:t>Title:     ___________________________</w:t>
            </w:r>
          </w:p>
        </w:tc>
      </w:tr>
      <w:tr>
        <w:tc>
          <w:tcPr>
            <w:tcW w:type="dxa" w:w="4680"/>
          </w:tcPr>
          <w:p>
            <w:pPr>
              <w:spacing w:before="60" w:after="60"/>
              <w:ind w:left="144"/>
            </w:pPr>
            <w:r>
              <w:rPr>
                <w:sz w:val="20"/>
              </w:rPr>
              <w:t>Date:      ___________________________</w:t>
            </w:r>
          </w:p>
        </w:tc>
        <w:tc>
          <w:tcPr>
            <w:tcW w:type="dxa" w:w="4680"/>
          </w:tcPr>
          <w:p>
            <w:pPr>
              <w:spacing w:before="60" w:after="60"/>
              <w:ind w:left="144"/>
            </w:pPr>
            <w:r>
              <w:rPr>
                <w:sz w:val="20"/>
              </w:rPr>
              <w:t>Date:      ___________________________</w:t>
            </w:r>
          </w:p>
        </w:tc>
      </w:tr>
    </w:tbl>
    <w:p/>
    <w:p>
      <w:pPr>
        <w:spacing w:before="200"/>
        <w:jc w:val="center"/>
      </w:pPr>
      <w:r>
        <w:rPr>
          <w:i/>
          <w:color w:val="888888"/>
          <w:sz w:val="16"/>
        </w:rPr>
        <w:t>MaiaEdge Inc. · 77 S. Bedford St., Suite 150, Burlington, MA 01803 · timziemer@maiaedge.io</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