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472"/>
            <w:shd w:val="clear" w:color="auto" w:fill="1E1E1E"/>
            <w:vAlign w:val="center"/>
          </w:tcPr>
          <w:p>
            <w:pPr>
              <w:spacing w:before="120" w:after="120"/>
              <w:ind w:left="173"/>
            </w:pPr>
            <w:r>
              <w:drawing>
                <wp:inline xmlns:a="http://schemas.openxmlformats.org/drawingml/2006/main" xmlns:pic="http://schemas.openxmlformats.org/drawingml/2006/picture">
                  <wp:extent cx="2377440" cy="6792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aEdge_Logo_Horizontal_Rev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79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88"/>
            <w:shd w:val="clear" w:color="auto" w:fill="1E1E1E"/>
            <w:vAlign w:val="center"/>
          </w:tcPr>
          <w:p>
            <w:pPr>
              <w:spacing w:before="200" w:after="40"/>
              <w:ind w:right="173"/>
              <w:jc w:val="right"/>
            </w:pPr>
            <w:r>
              <w:rPr>
                <w:b/>
                <w:color w:val="F5A623"/>
                <w:sz w:val="20"/>
              </w:rPr>
              <w:t>FOUNDING CUSTOMER</w:t>
            </w:r>
          </w:p>
          <w:p>
            <w:pPr>
              <w:spacing w:before="0" w:after="40"/>
              <w:ind w:right="173"/>
              <w:jc w:val="right"/>
            </w:pPr>
            <w:r>
              <w:rPr>
                <w:b/>
                <w:color w:val="FFFFFF"/>
                <w:sz w:val="20"/>
              </w:rPr>
              <w:t>TERM SHEET</w:t>
            </w:r>
          </w:p>
          <w:p>
            <w:pPr>
              <w:spacing w:before="80" w:after="160"/>
              <w:ind w:right="173"/>
              <w:jc w:val="right"/>
            </w:pPr>
            <w:r>
              <w:rPr>
                <w:color w:val="CCCCCC"/>
                <w:sz w:val="16"/>
              </w:rPr>
              <w:t>Draft — April 19, 2026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5F5"/>
          </w:tcPr>
          <w:p>
            <w:pPr>
              <w:spacing w:before="100" w:after="100"/>
              <w:ind w:left="216"/>
            </w:pPr>
            <w:r>
              <w:rPr>
                <w:i/>
                <w:color w:val="2C2C2C"/>
                <w:sz w:val="18"/>
              </w:rPr>
              <w:t>PURPOSE:  This term sheet summarizes the commercial terms agreed in principle between MaiaEdge Inc. and HDCO Group. It is a structured outline for legal counsel to draft a formal binding agreement. Items marked [TO BE AGREED] require alignment before drafting begins.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100" w:after="100"/>
              <w:ind w:left="216"/>
            </w:pPr>
            <w:r>
              <w:rPr>
                <w:b/>
                <w:color w:val="F5A623"/>
                <w:sz w:val="19"/>
              </w:rPr>
              <w:t>1.  PARTIES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Seller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MaiaEdge Inc.</w:t>
              <w:br/>
              <w:t>77 S. Bedford St., Suite 150, Burlington, MA 01803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Customer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HDCO Group, Miami, FL 33101</w:t>
              <w:br/>
              <w:t>Contact: Victor Rodriguez  |  vrodriguez@hdcogroup.com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MaiaEdge Signatory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Abilash Menon, CEO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100" w:after="100"/>
              <w:ind w:left="216"/>
            </w:pPr>
            <w:r>
              <w:rPr>
                <w:b/>
                <w:color w:val="F5A623"/>
                <w:sz w:val="19"/>
              </w:rPr>
              <w:t>2.  DEAL OVERVIEW</w:t>
            </w:r>
          </w:p>
        </w:tc>
      </w:tr>
    </w:tbl>
    <w:p>
      <w:pPr>
        <w:spacing w:before="0" w:after="60"/>
      </w:pPr>
    </w:p>
    <w:p>
      <w:pPr>
        <w:spacing w:before="40" w:after="100"/>
        <w:ind w:left="216"/>
      </w:pPr>
      <w:r>
        <w:rPr>
          <w:i w:val="0"/>
          <w:sz w:val="19"/>
        </w:rPr>
        <w:t>This arrangement covers two related but independent commitments, each governed by separate documentation:</w:t>
      </w:r>
    </w:p>
    <w:p>
      <w:pPr>
        <w:pStyle w:val="ListBullet"/>
        <w:spacing w:before="40" w:after="60"/>
        <w:ind w:left="576"/>
      </w:pPr>
      <w:r>
        <w:rPr>
          <w:sz w:val="19"/>
        </w:rPr>
        <w:t>100G PBC Hardware — HDCO Group commits to a minimum purchase threshold of MaiaEdge 100G Path Border Controller units, beginning with 5–7 units and 22+ to follow.</w:t>
      </w:r>
    </w:p>
    <w:p>
      <w:pPr>
        <w:pStyle w:val="ListBullet"/>
        <w:spacing w:before="40" w:after="60"/>
        <w:ind w:left="576"/>
      </w:pPr>
      <w:r>
        <w:rPr>
          <w:sz w:val="19"/>
        </w:rPr>
        <w:t>MaiaEdge Software PBC (New Product) — HDCO Group commits as founding customer for a software-only PBC currently under development. This commitment enables MaiaEdge to accelerate development and entitles HDCO Group to exclusive founding customer pricing.</w:t>
      </w:r>
    </w:p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100" w:after="100"/>
              <w:ind w:left="216"/>
            </w:pPr>
            <w:r>
              <w:rPr>
                <w:b/>
                <w:color w:val="F5A623"/>
                <w:sz w:val="19"/>
              </w:rPr>
              <w:t>3.  100G PBC HARDWARE COMMITMENT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20"/>
              <w:ind w:left="173"/>
            </w:pPr>
            <w:r>
              <w:rPr>
                <w:b/>
                <w:color w:val="2C2C2C"/>
                <w:sz w:val="19"/>
              </w:rPr>
              <w:t>Minimum Threshold</w:t>
            </w:r>
          </w:p>
        </w:tc>
        <w:tc>
          <w:tcPr>
            <w:tcW w:type="dxa" w:w="6480"/>
          </w:tcPr>
          <w:p>
            <w:pPr>
              <w:spacing w:before="60" w:after="20"/>
              <w:ind w:left="115"/>
            </w:pPr>
            <w:r>
              <w:rPr>
                <w:sz w:val="19"/>
              </w:rPr>
              <w:t>[TO BE AGREED]</w:t>
            </w:r>
          </w:p>
          <w:p>
            <w:pPr>
              <w:spacing w:before="0" w:after="80"/>
              <w:ind w:left="115"/>
            </w:pPr>
            <w:r>
              <w:rPr>
                <w:i/>
                <w:color w:val="555555"/>
                <w:sz w:val="17"/>
              </w:rPr>
              <w:t>Dollar amount or unit count to be agreed. This commitment is a prerequisite for MaiaEdge to allocate development resources to the Software PBC.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Initial Order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5–7 units  (separate Order Form)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Follow-On Orders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22+ additional units, phased  (separate Order Forms)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Discount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Standard HDCO 30% off list price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Governing Docs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Separate MaiaEdge Order Form(s) and Master Subscription Agreement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100" w:after="100"/>
              <w:ind w:left="216"/>
            </w:pPr>
            <w:r>
              <w:rPr>
                <w:b/>
                <w:color w:val="F5A623"/>
                <w:sz w:val="19"/>
              </w:rPr>
              <w:t>4.  MAIAEDGE SOFTWARE PBC — FOUNDING CUSTOMER TERMS</w:t>
            </w:r>
          </w:p>
        </w:tc>
      </w:tr>
    </w:tbl>
    <w:p>
      <w:pPr>
        <w:spacing w:before="0" w:after="80"/>
      </w:pPr>
    </w:p>
    <w:p>
      <w:pPr>
        <w:spacing w:before="160" w:after="60"/>
        <w:ind w:left="288"/>
      </w:pPr>
      <w:r>
        <w:rPr>
          <w:b/>
          <w:color w:val="C47D0A"/>
          <w:sz w:val="20"/>
        </w:rPr>
        <w:t>4a.  Product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Product Name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MaiaEdge Software PBC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Description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Software-only Path Border Controller and Path Computation Engine for smaller network deployments. Runs on customer-procured commodity server hardware meeting MaiaEdge specifications (see Section 5).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Status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Under development. Founding customer commitment accelerates delivery.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License Count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500 licenses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Subscription Term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36 months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Billing Model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Monthly in advance (MaiaEdge standard)</w:t>
            </w:r>
          </w:p>
        </w:tc>
      </w:tr>
    </w:tbl>
    <w:p>
      <w:pPr>
        <w:spacing w:before="0" w:after="120"/>
      </w:pPr>
    </w:p>
    <w:p>
      <w:pPr>
        <w:spacing w:before="160" w:after="60"/>
        <w:ind w:left="288"/>
      </w:pPr>
      <w:r>
        <w:rPr>
          <w:b/>
          <w:color w:val="C47D0A"/>
          <w:sz w:val="20"/>
        </w:rPr>
        <w:t>4b.  Founding Customer Pricing</w:t>
      </w:r>
    </w:p>
    <w:p>
      <w:pPr>
        <w:spacing w:before="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color="auto" w:fill="2C2C2C"/>
          </w:tcPr>
          <w:p>
            <w:pPr>
              <w:spacing w:before="60" w:after="60"/>
              <w:ind w:left="115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872"/>
            <w:shd w:val="clear" w:color="auto" w:fill="2C2C2C"/>
          </w:tcPr>
          <w:p>
            <w:pPr>
              <w:spacing w:before="60" w:after="60"/>
              <w:ind w:left="115"/>
            </w:pPr>
            <w:r>
              <w:rPr>
                <w:b/>
                <w:color w:val="FFFFFF"/>
                <w:sz w:val="18"/>
              </w:rPr>
              <w:t>Per License</w:t>
            </w:r>
          </w:p>
        </w:tc>
        <w:tc>
          <w:tcPr>
            <w:tcW w:type="dxa" w:w="3168"/>
            <w:shd w:val="clear" w:color="auto" w:fill="2C2C2C"/>
          </w:tcPr>
          <w:p>
            <w:pPr>
              <w:spacing w:before="60" w:after="60"/>
              <w:ind w:left="115"/>
            </w:pPr>
            <w:r>
              <w:rPr>
                <w:b/>
                <w:color w:val="FFFFFF"/>
                <w:sz w:val="18"/>
              </w:rPr>
              <w:t>500 Licenses (Total)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List Price (36-month term)</w:t>
            </w:r>
          </w:p>
        </w:tc>
        <w:tc>
          <w:tcPr>
            <w:tcW w:type="dxa" w:w="1872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$600</w:t>
            </w:r>
          </w:p>
        </w:tc>
        <w:tc>
          <w:tcPr>
            <w:tcW w:type="dxa" w:w="3168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$300,000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Founding Customer Discount (33.3%)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($200)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($100,000)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Founding Customer Price</w:t>
            </w:r>
          </w:p>
        </w:tc>
        <w:tc>
          <w:tcPr>
            <w:tcW w:type="dxa" w:w="1872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$400</w:t>
            </w:r>
          </w:p>
        </w:tc>
        <w:tc>
          <w:tcPr>
            <w:tcW w:type="dxa" w:w="3168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$200,000</w:t>
            </w:r>
          </w:p>
        </w:tc>
      </w:tr>
      <w:tr>
        <w:tc>
          <w:tcPr>
            <w:tcW w:type="dxa" w:w="4320"/>
            <w:shd w:val="clear" w:color="auto" w:fill="F5ECD7"/>
          </w:tcPr>
          <w:p>
            <w:pPr>
              <w:spacing w:before="60" w:after="60"/>
              <w:ind w:left="115"/>
            </w:pPr>
            <w:r>
              <w:rPr>
                <w:b/>
                <w:sz w:val="18"/>
              </w:rPr>
              <w:t>Total Contract Value (TCV)</w:t>
            </w:r>
          </w:p>
        </w:tc>
        <w:tc>
          <w:tcPr>
            <w:tcW w:type="dxa" w:w="1872"/>
            <w:shd w:val="clear" w:color="auto" w:fill="F5ECD7"/>
          </w:tcPr>
          <w:p>
            <w:pPr>
              <w:spacing w:before="60" w:after="60"/>
              <w:ind w:left="115"/>
            </w:pPr>
            <w:r>
              <w:rPr>
                <w:b/>
                <w:sz w:val="18"/>
              </w:rPr>
            </w:r>
          </w:p>
        </w:tc>
        <w:tc>
          <w:tcPr>
            <w:tcW w:type="dxa" w:w="3168"/>
            <w:shd w:val="clear" w:color="auto" w:fill="F5ECD7"/>
          </w:tcPr>
          <w:p>
            <w:pPr>
              <w:spacing w:before="60" w:after="60"/>
              <w:ind w:left="115"/>
            </w:pPr>
            <w:r>
              <w:rPr>
                <w:b/>
                <w:sz w:val="18"/>
              </w:rPr>
              <w:t>$200,000</w:t>
            </w:r>
          </w:p>
        </w:tc>
      </w:tr>
    </w:tbl>
    <w:p>
      <w:pPr>
        <w:spacing w:before="0" w:after="60"/>
      </w:pPr>
    </w:p>
    <w:p>
      <w:pPr>
        <w:spacing w:before="40" w:after="100"/>
        <w:ind w:left="216"/>
      </w:pPr>
      <w:r>
        <w:rPr>
          <w:i/>
          <w:color w:val="555555"/>
          <w:sz w:val="19"/>
        </w:rPr>
        <w:t>The 33.3% founding customer discount reflects HDCO Group's standard 30% discount plus an additional 3.3% recognizing the founding customer commitment. This price is fixed for the full 36-month term and is not available to subsequent purchasers.</w:t>
      </w:r>
    </w:p>
    <w:p>
      <w:pPr>
        <w:spacing w:before="0" w:after="120"/>
      </w:pPr>
    </w:p>
    <w:p>
      <w:pPr>
        <w:spacing w:before="160" w:after="60"/>
        <w:ind w:left="288"/>
      </w:pPr>
      <w:r>
        <w:rPr>
          <w:b/>
          <w:color w:val="C47D0A"/>
          <w:sz w:val="20"/>
        </w:rPr>
        <w:t>4c.  Payment Schedule</w:t>
      </w:r>
    </w:p>
    <w:p>
      <w:pPr>
        <w:spacing w:before="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color="auto" w:fill="2C2C2C"/>
          </w:tcPr>
          <w:p>
            <w:pPr>
              <w:spacing w:before="60" w:after="60"/>
              <w:ind w:left="115"/>
            </w:pPr>
            <w:r>
              <w:rPr>
                <w:b/>
                <w:color w:val="FFFFFF"/>
                <w:sz w:val="18"/>
              </w:rPr>
              <w:t>Payment</w:t>
            </w:r>
          </w:p>
        </w:tc>
        <w:tc>
          <w:tcPr>
            <w:tcW w:type="dxa" w:w="3312"/>
            <w:shd w:val="clear" w:color="auto" w:fill="2C2C2C"/>
          </w:tcPr>
          <w:p>
            <w:pPr>
              <w:spacing w:before="60" w:after="60"/>
              <w:ind w:left="115"/>
            </w:pPr>
            <w:r>
              <w:rPr>
                <w:b/>
                <w:color w:val="FFFFFF"/>
                <w:sz w:val="18"/>
              </w:rPr>
              <w:t>Trigger / Timing</w:t>
            </w:r>
          </w:p>
        </w:tc>
        <w:tc>
          <w:tcPr>
            <w:tcW w:type="dxa" w:w="1872"/>
            <w:shd w:val="clear" w:color="auto" w:fill="2C2C2C"/>
          </w:tcPr>
          <w:p>
            <w:pPr>
              <w:spacing w:before="60" w:after="60"/>
              <w:ind w:left="115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160"/>
            <w:shd w:val="clear" w:color="auto" w:fill="2C2C2C"/>
          </w:tcPr>
          <w:p>
            <w:pPr>
              <w:spacing w:before="60" w:after="60"/>
              <w:ind w:left="115"/>
            </w:pPr>
            <w:r>
              <w:rPr>
                <w:b/>
                <w:color w:val="FFFFFF"/>
                <w:sz w:val="18"/>
              </w:rPr>
              <w:t>Months Covered</w:t>
            </w:r>
          </w:p>
        </w:tc>
      </w:tr>
      <w:tr>
        <w:tc>
          <w:tcPr>
            <w:tcW w:type="dxa" w:w="2016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Payment 1  (Pre-pay)</w:t>
            </w:r>
          </w:p>
        </w:tc>
        <w:tc>
          <w:tcPr>
            <w:tcW w:type="dxa" w:w="3312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Due at agreement signing</w:t>
            </w:r>
          </w:p>
        </w:tc>
        <w:tc>
          <w:tcPr>
            <w:tcW w:type="dxa" w:w="1872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$50,000</w:t>
            </w:r>
          </w:p>
        </w:tc>
        <w:tc>
          <w:tcPr>
            <w:tcW w:type="dxa" w:w="2160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Months 1 – 9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Payment 2  (Pre-pay)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Due upon [TO BE AGREED]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$50,000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Months 10 – 18</w:t>
            </w:r>
          </w:p>
        </w:tc>
      </w:tr>
      <w:tr>
        <w:tc>
          <w:tcPr>
            <w:tcW w:type="dxa" w:w="2016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Monthly Billing</w:t>
            </w:r>
          </w:p>
        </w:tc>
        <w:tc>
          <w:tcPr>
            <w:tcW w:type="dxa" w:w="3312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Monthly in advance, beginning Month 19</w:t>
            </w:r>
          </w:p>
        </w:tc>
        <w:tc>
          <w:tcPr>
            <w:tcW w:type="dxa" w:w="1872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$5,556/mo × 18</w:t>
            </w:r>
          </w:p>
        </w:tc>
        <w:tc>
          <w:tcPr>
            <w:tcW w:type="dxa" w:w="2160"/>
            <w:shd w:val="clear" w:color="auto" w:fill="FAFAFA"/>
          </w:tcPr>
          <w:p>
            <w:pPr>
              <w:spacing w:before="60" w:after="60"/>
              <w:ind w:left="115"/>
            </w:pPr>
            <w:r>
              <w:rPr>
                <w:b w:val="0"/>
                <w:sz w:val="18"/>
              </w:rPr>
              <w:t>Months 19 – 36</w:t>
            </w:r>
          </w:p>
        </w:tc>
      </w:tr>
      <w:tr>
        <w:tc>
          <w:tcPr>
            <w:tcW w:type="dxa" w:w="2016"/>
            <w:shd w:val="clear" w:color="auto" w:fill="F5ECD7"/>
          </w:tcPr>
          <w:p>
            <w:pPr>
              <w:spacing w:before="60" w:after="60"/>
              <w:ind w:left="115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3312"/>
            <w:shd w:val="clear" w:color="auto" w:fill="F5ECD7"/>
          </w:tcPr>
          <w:p>
            <w:pPr>
              <w:spacing w:before="60" w:after="60"/>
              <w:ind w:left="115"/>
            </w:pPr>
            <w:r>
              <w:rPr>
                <w:b/>
                <w:sz w:val="18"/>
              </w:rPr>
            </w:r>
          </w:p>
        </w:tc>
        <w:tc>
          <w:tcPr>
            <w:tcW w:type="dxa" w:w="1872"/>
            <w:shd w:val="clear" w:color="auto" w:fill="F5ECD7"/>
          </w:tcPr>
          <w:p>
            <w:pPr>
              <w:spacing w:before="60" w:after="60"/>
              <w:ind w:left="115"/>
            </w:pPr>
            <w:r>
              <w:rPr>
                <w:b/>
                <w:sz w:val="18"/>
              </w:rPr>
              <w:t>$200,000</w:t>
            </w:r>
          </w:p>
        </w:tc>
        <w:tc>
          <w:tcPr>
            <w:tcW w:type="dxa" w:w="2160"/>
            <w:shd w:val="clear" w:color="auto" w:fill="F5ECD7"/>
          </w:tcPr>
          <w:p>
            <w:pPr>
              <w:spacing w:before="60" w:after="60"/>
              <w:ind w:left="115"/>
            </w:pPr>
            <w:r>
              <w:rPr>
                <w:b/>
                <w:sz w:val="18"/>
              </w:rPr>
              <w:t>36 months</w:t>
            </w:r>
          </w:p>
        </w:tc>
      </w:tr>
    </w:tbl>
    <w:p>
      <w:pPr>
        <w:spacing w:before="0" w:after="60"/>
      </w:pPr>
    </w:p>
    <w:p>
      <w:pPr>
        <w:spacing w:before="40" w:after="100"/>
        <w:ind w:left="216"/>
      </w:pPr>
      <w:r>
        <w:rPr>
          <w:i/>
          <w:color w:val="555555"/>
          <w:sz w:val="19"/>
        </w:rPr>
        <w:t>Payment terms: Net 30 from invoice date. Payments 1 and 2 are non-refundable once made, except as provided under the Longstop Date (Section 4f). The pre-payment covers the first 18 months of the subscription — it is subscription pre-payment, not a separate development fee.</w:t>
      </w:r>
    </w:p>
    <w:p>
      <w:pPr>
        <w:spacing w:before="0" w:after="120"/>
      </w:pPr>
    </w:p>
    <w:p>
      <w:pPr>
        <w:spacing w:before="160" w:after="60"/>
        <w:ind w:left="288"/>
      </w:pPr>
      <w:r>
        <w:rPr>
          <w:b/>
          <w:color w:val="C47D0A"/>
          <w:sz w:val="20"/>
        </w:rPr>
        <w:t>4d.  Subscription Terms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Activation Date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Date MaiaEdge delivers the Software PBC for production use. The subscription clock does not start until delivery, regardless of when pre-payments are made.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Pre-Paid Period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Months 1–18 covered by Payments 1 and 2. No monthly invoices during this period.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Monthly Billing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Months 19–36: $5,556/month invoiced in advance. Commences automatically upon expiration of the pre-paid period.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Renewal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Term expires at Month 36. Renewal terms to be negotiated separately.</w:t>
            </w:r>
          </w:p>
        </w:tc>
      </w:tr>
    </w:tbl>
    <w:p>
      <w:pPr>
        <w:spacing w:before="0" w:after="120"/>
      </w:pPr>
    </w:p>
    <w:p>
      <w:pPr>
        <w:spacing w:before="160" w:after="60"/>
        <w:ind w:left="288"/>
      </w:pPr>
      <w:r>
        <w:rPr>
          <w:b/>
          <w:color w:val="C47D0A"/>
          <w:sz w:val="20"/>
        </w:rPr>
        <w:t>4e.  Development Milestone  (Payment 2 Trigger)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20"/>
              <w:ind w:left="173"/>
            </w:pPr>
            <w:r>
              <w:rPr>
                <w:b/>
                <w:color w:val="2C2C2C"/>
                <w:sz w:val="19"/>
              </w:rPr>
              <w:t>Milestone</w:t>
            </w:r>
          </w:p>
        </w:tc>
        <w:tc>
          <w:tcPr>
            <w:tcW w:type="dxa" w:w="6480"/>
          </w:tcPr>
          <w:p>
            <w:pPr>
              <w:spacing w:before="60" w:after="20"/>
              <w:ind w:left="115"/>
            </w:pPr>
            <w:r>
              <w:rPr>
                <w:sz w:val="19"/>
              </w:rPr>
              <w:t>[TO BE AGREED]</w:t>
            </w:r>
          </w:p>
          <w:p>
            <w:pPr>
              <w:spacing w:before="0" w:after="80"/>
              <w:ind w:left="115"/>
            </w:pPr>
            <w:r>
              <w:rPr>
                <w:i/>
                <w:color w:val="555555"/>
                <w:sz w:val="17"/>
              </w:rPr>
              <w:t>To be agreed. Examples: delivery of working prototype, completion of alpha build, successful internal test against defined criteria.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Notice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MaiaEdge provides written notice + invoice upon Milestone achievement.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Progress Updates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MaiaEdge provides quarterly development updates from the date of signing.</w:t>
            </w:r>
          </w:p>
        </w:tc>
      </w:tr>
    </w:tbl>
    <w:p>
      <w:pPr>
        <w:spacing w:before="0" w:after="120"/>
      </w:pPr>
    </w:p>
    <w:p>
      <w:pPr>
        <w:spacing w:before="160" w:after="60"/>
        <w:ind w:left="288"/>
      </w:pPr>
      <w:r>
        <w:rPr>
          <w:b/>
          <w:color w:val="C47D0A"/>
          <w:sz w:val="20"/>
        </w:rPr>
        <w:t>4f.  Delivery Commitment and Longstop 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20"/>
              <w:ind w:left="173"/>
            </w:pPr>
            <w:r>
              <w:rPr>
                <w:b/>
                <w:color w:val="2C2C2C"/>
                <w:sz w:val="19"/>
              </w:rPr>
              <w:t>Longstop Date</w:t>
            </w:r>
          </w:p>
        </w:tc>
        <w:tc>
          <w:tcPr>
            <w:tcW w:type="dxa" w:w="6480"/>
          </w:tcPr>
          <w:p>
            <w:pPr>
              <w:spacing w:before="60" w:after="20"/>
              <w:ind w:left="115"/>
            </w:pPr>
            <w:r>
              <w:rPr>
                <w:sz w:val="19"/>
              </w:rPr>
              <w:t>[TO BE AGREED]</w:t>
            </w:r>
          </w:p>
          <w:p>
            <w:pPr>
              <w:spacing w:before="0" w:after="80"/>
              <w:ind w:left="115"/>
            </w:pPr>
            <w:r>
              <w:rPr>
                <w:i/>
                <w:color w:val="555555"/>
                <w:sz w:val="17"/>
              </w:rPr>
              <w:t>Latest date by which MaiaEdge must deliver the Software PBC for production use.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Remedy if Missed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Full refund of pre-payments not yet credited against delivered services. Either party may terminate on 30 days' written notice with no further liability.</w:t>
            </w:r>
          </w:p>
        </w:tc>
      </w:tr>
    </w:tbl>
    <w:p>
      <w:pPr>
        <w:spacing w:before="0" w:after="120"/>
      </w:pPr>
    </w:p>
    <w:p>
      <w:pPr>
        <w:spacing w:before="160" w:after="60"/>
        <w:ind w:left="288"/>
      </w:pPr>
      <w:r>
        <w:rPr>
          <w:b/>
          <w:color w:val="C47D0A"/>
          <w:sz w:val="20"/>
        </w:rPr>
        <w:t>4g.  Founding Customer Benefits</w:t>
      </w:r>
    </w:p>
    <w:p>
      <w:pPr>
        <w:pStyle w:val="ListBullet"/>
        <w:spacing w:before="40" w:after="60"/>
        <w:ind w:left="576"/>
      </w:pPr>
      <w:r>
        <w:rPr>
          <w:sz w:val="19"/>
        </w:rPr>
        <w:t>Locked pricing at $400/license for the full 36-month term — no price increases</w:t>
      </w:r>
    </w:p>
    <w:p>
      <w:pPr>
        <w:pStyle w:val="ListBullet"/>
        <w:spacing w:before="40" w:after="60"/>
        <w:ind w:left="576"/>
      </w:pPr>
      <w:r>
        <w:rPr>
          <w:sz w:val="19"/>
        </w:rPr>
        <w:t>Early access to the MaiaEdge Software PBC prior to general commercial availability</w:t>
      </w:r>
    </w:p>
    <w:p>
      <w:pPr>
        <w:pStyle w:val="ListBullet"/>
        <w:spacing w:before="40" w:after="60"/>
        <w:ind w:left="576"/>
      </w:pPr>
      <w:r>
        <w:rPr>
          <w:sz w:val="19"/>
        </w:rPr>
        <w:t>Active input into hardware compatibility specifications and key product features during development</w:t>
      </w:r>
    </w:p>
    <w:p>
      <w:pPr>
        <w:pStyle w:val="ListBullet"/>
        <w:spacing w:before="40" w:after="60"/>
        <w:ind w:left="576"/>
      </w:pPr>
      <w:r>
        <w:rPr>
          <w:sz w:val="19"/>
        </w:rPr>
        <w:t>Priority technical support during the first 12 months of the subscription term</w:t>
      </w:r>
    </w:p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100" w:after="100"/>
              <w:ind w:left="216"/>
            </w:pPr>
            <w:r>
              <w:rPr>
                <w:b/>
                <w:color w:val="F5A623"/>
                <w:sz w:val="19"/>
              </w:rPr>
              <w:t>5.  TECHNICAL SPECIFICATIONS  (TO BE JOINTLY DEVELOPED)</w:t>
            </w:r>
          </w:p>
        </w:tc>
      </w:tr>
    </w:tbl>
    <w:p>
      <w:pPr>
        <w:spacing w:before="0" w:after="60"/>
      </w:pPr>
    </w:p>
    <w:p>
      <w:pPr>
        <w:spacing w:before="40" w:after="100"/>
        <w:ind w:left="216"/>
      </w:pPr>
      <w:r>
        <w:rPr>
          <w:i w:val="0"/>
          <w:sz w:val="19"/>
        </w:rPr>
        <w:t>Prior to or concurrent with product delivery, MaiaEdge and HDCO Group will jointly develop and agree upon a Technical Specification document. Key areas:</w:t>
      </w:r>
    </w:p>
    <w:p>
      <w:pPr>
        <w:spacing w:before="160" w:after="60"/>
        <w:ind w:left="216"/>
      </w:pPr>
      <w:r>
        <w:rPr>
          <w:b/>
          <w:color w:val="C47D0A"/>
          <w:sz w:val="20"/>
        </w:rPr>
        <w:t>Hardware Compatibility Specification (HCS)</w:t>
      </w:r>
    </w:p>
    <w:p>
      <w:pPr>
        <w:pStyle w:val="ListBullet"/>
        <w:spacing w:before="40" w:after="60"/>
        <w:ind w:left="720"/>
      </w:pPr>
      <w:r>
        <w:rPr>
          <w:sz w:val="19"/>
        </w:rPr>
        <w:t>MaiaEdge will define the hardware requirements</w:t>
      </w:r>
    </w:p>
    <w:p>
      <w:pPr>
        <w:spacing w:before="160" w:after="60"/>
        <w:ind w:left="216"/>
      </w:pPr>
      <w:r>
        <w:rPr>
          <w:b/>
          <w:color w:val="C47D0A"/>
          <w:sz w:val="20"/>
        </w:rPr>
        <w:t>Performance Requirements  [TO BE AGREED]</w:t>
      </w:r>
    </w:p>
    <w:p>
      <w:pPr>
        <w:pStyle w:val="ListBullet"/>
        <w:spacing w:before="40" w:after="60"/>
        <w:ind w:left="720"/>
      </w:pPr>
      <w:r>
        <w:rPr>
          <w:sz w:val="19"/>
        </w:rPr>
        <w:t>Throughput and scale targets (sessions, routes, forwarding capacity)</w:t>
      </w:r>
    </w:p>
    <w:p>
      <w:pPr>
        <w:pStyle w:val="ListBullet"/>
        <w:spacing w:before="40" w:after="60"/>
        <w:ind w:left="720"/>
      </w:pPr>
      <w:r>
        <w:rPr>
          <w:sz w:val="19"/>
        </w:rPr>
        <w:t>Latency and availability SLAs</w:t>
      </w:r>
    </w:p>
    <w:p>
      <w:pPr>
        <w:pStyle w:val="ListBullet"/>
        <w:spacing w:before="40" w:after="60"/>
        <w:ind w:left="720"/>
      </w:pPr>
      <w:r>
        <w:rPr>
          <w:sz w:val="19"/>
        </w:rPr>
        <w:t>Maximum simultaneously managed network elements</w:t>
      </w:r>
    </w:p>
    <w:p>
      <w:pPr>
        <w:spacing w:before="160" w:after="60"/>
        <w:ind w:left="216"/>
      </w:pPr>
      <w:r>
        <w:rPr>
          <w:b/>
          <w:color w:val="C47D0A"/>
          <w:sz w:val="20"/>
        </w:rPr>
        <w:t>Feature Requirements  [TO BE AGREED]</w:t>
      </w:r>
    </w:p>
    <w:p>
      <w:pPr>
        <w:pStyle w:val="ListBullet"/>
        <w:spacing w:before="40" w:after="60"/>
        <w:ind w:left="720"/>
      </w:pPr>
      <w:r>
        <w:rPr>
          <w:sz w:val="19"/>
        </w:rPr>
        <w:t>Core PBC / PCE feature set to be delivered at GA</w:t>
      </w:r>
    </w:p>
    <w:p>
      <w:pPr>
        <w:pStyle w:val="ListBullet"/>
        <w:spacing w:before="40" w:after="60"/>
        <w:ind w:left="720"/>
      </w:pPr>
      <w:r>
        <w:rPr>
          <w:sz w:val="19"/>
        </w:rPr>
        <w:t>HDCO Group–specific features to be documented and prioritized</w:t>
      </w:r>
    </w:p>
    <w:p>
      <w:pPr>
        <w:pStyle w:val="ListBullet"/>
        <w:spacing w:before="40" w:after="60"/>
        <w:ind w:left="720"/>
      </w:pPr>
      <w:r>
        <w:rPr>
          <w:sz w:val="19"/>
        </w:rPr>
        <w:t>Any features deferred to post-GA releases to be explicitly listed</w:t>
      </w:r>
    </w:p>
    <w:p>
      <w:pPr>
        <w:spacing w:before="160" w:after="60"/>
        <w:ind w:left="216"/>
      </w:pPr>
      <w:r>
        <w:rPr>
          <w:b/>
          <w:color w:val="C47D0A"/>
          <w:sz w:val="20"/>
        </w:rPr>
        <w:t>Acceptance Criteria  [TO BE AGREED]</w:t>
      </w:r>
    </w:p>
    <w:p>
      <w:pPr>
        <w:pStyle w:val="ListBullet"/>
        <w:spacing w:before="40" w:after="60"/>
        <w:ind w:left="720"/>
      </w:pPr>
      <w:r>
        <w:rPr>
          <w:sz w:val="19"/>
        </w:rPr>
        <w:t>Test cases HDCO Group will use to validate the product upon delivery</w:t>
      </w:r>
    </w:p>
    <w:p>
      <w:pPr>
        <w:pStyle w:val="ListBullet"/>
        <w:spacing w:before="40" w:after="60"/>
        <w:ind w:left="720"/>
      </w:pPr>
      <w:r>
        <w:rPr>
          <w:sz w:val="19"/>
        </w:rPr>
        <w:t>Acceptance period duration and process</w:t>
      </w:r>
    </w:p>
    <w:p>
      <w:pPr>
        <w:pStyle w:val="ListBullet"/>
        <w:spacing w:before="40" w:after="60"/>
        <w:ind w:left="720"/>
      </w:pPr>
      <w:r>
        <w:rPr>
          <w:sz w:val="19"/>
        </w:rPr>
        <w:t>Criteria under which the product is deemed delivered (Activation Date / Longstop Date trigger)</w:t>
      </w:r>
    </w:p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100" w:after="100"/>
              <w:ind w:left="216"/>
            </w:pPr>
            <w:r>
              <w:rPr>
                <w:b/>
                <w:color w:val="F5A623"/>
                <w:sz w:val="19"/>
              </w:rPr>
              <w:t>6.  GENERAL TERMS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Governing Law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Commonwealth of Massachusetts (proposed)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Payment Terms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Net 30 from invoice date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Non-Refundability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Payments 1 and 2 non-refundable once made, except on Longstop Date failure by MaiaEdge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Relationship to Other Docs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100G PBC orders governed by separate Order Forms and MSA. This agreement covers the MaiaEdge Software PBC founding customer terms only.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Amendment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Any changes require written agreement signed by both parties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pPr>
              <w:spacing w:before="60" w:after="60"/>
              <w:ind w:left="173"/>
            </w:pPr>
            <w:r>
              <w:rPr>
                <w:b/>
                <w:color w:val="2C2C2C"/>
                <w:sz w:val="19"/>
              </w:rPr>
              <w:t>Notices</w:t>
            </w:r>
          </w:p>
        </w:tc>
        <w:tc>
          <w:tcPr>
            <w:tcW w:type="dxa" w:w="6480"/>
          </w:tcPr>
          <w:p>
            <w:pPr>
              <w:spacing w:before="60" w:after="60"/>
              <w:ind w:left="115"/>
            </w:pPr>
            <w:r>
              <w:rPr>
                <w:sz w:val="19"/>
              </w:rPr>
              <w:t>Written, delivered via email with confirmation of receipt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3CD"/>
          </w:tcPr>
          <w:p>
            <w:pPr>
              <w:spacing w:before="120" w:after="40"/>
              <w:ind w:left="216"/>
            </w:pPr>
            <w:r>
              <w:rPr>
                <w:b/>
                <w:color w:val="5C4000"/>
                <w:sz w:val="19"/>
              </w:rPr>
              <w:t>OPEN ITEMS — Required Before Legal Drafting</w:t>
            </w:r>
          </w:p>
          <w:p>
            <w:pPr>
              <w:spacing w:before="20" w:after="60"/>
              <w:ind w:left="360"/>
            </w:pPr>
            <w:r>
              <w:rPr>
                <w:color w:val="5C4000"/>
                <w:sz w:val="18"/>
              </w:rPr>
              <w:t>1.  100G PBC minimum purchase threshold  (Section 3)</w:t>
            </w:r>
          </w:p>
          <w:p>
            <w:pPr>
              <w:spacing w:before="20" w:after="60"/>
              <w:ind w:left="360"/>
            </w:pPr>
            <w:r>
              <w:rPr>
                <w:color w:val="5C4000"/>
                <w:sz w:val="18"/>
              </w:rPr>
              <w:t>2.  Development Milestone definition — what triggers Payment 2  (Section 4e)</w:t>
            </w:r>
          </w:p>
          <w:p>
            <w:pPr>
              <w:spacing w:before="20" w:after="60"/>
              <w:ind w:left="360"/>
            </w:pPr>
            <w:r>
              <w:rPr>
                <w:color w:val="5C4000"/>
                <w:sz w:val="18"/>
              </w:rPr>
              <w:t>3.  Longstop Date — latest delivery deadline  (Section 4f)</w:t>
            </w:r>
          </w:p>
          <w:p>
            <w:pPr>
              <w:spacing w:before="20" w:after="120"/>
              <w:ind w:left="360"/>
            </w:pPr>
            <w:r>
              <w:rPr>
                <w:color w:val="5C4000"/>
                <w:sz w:val="18"/>
              </w:rPr>
              <w:t>4.  Technical Specification details — performance, features, acceptance criteria  (Section 5)</w:t>
            </w:r>
          </w:p>
        </w:tc>
      </w:tr>
    </w:tbl>
    <w:p>
      <w:pPr>
        <w:spacing w:before="0" w:after="200"/>
      </w:pPr>
    </w:p>
    <w:p>
      <w:pPr>
        <w:spacing w:before="80"/>
        <w:jc w:val="center"/>
      </w:pPr>
      <w:r>
        <w:rPr>
          <w:i/>
          <w:color w:val="555555"/>
          <w:sz w:val="16"/>
        </w:rPr>
        <w:t>MaiaEdge Inc.  ·  77 S. Bedford St., Suite 150, Burlington, MA 01803  ·  timziemer@maiaedge.io</w:t>
        <w:br/>
        <w:t>DRAFT — For discussion purposes only. Not a binding agreement.</w:t>
      </w:r>
    </w:p>
    <w:sectPr w:rsidR="00FC693F" w:rsidRPr="0006063C" w:rsidSect="00034616">
      <w:pgSz w:w="12240" w:h="15840"/>
      <w:pgMar w:top="936" w:right="1296" w:bottom="93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