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84"/>
        </w:rPr>
        <w:t>LMaaS</w:t>
      </w:r>
    </w:p>
    <w:p>
      <w:pPr>
        <w:jc w:val="center"/>
      </w:pPr>
      <w:r>
        <w:rPr>
          <w:color w:val="444466"/>
          <w:sz w:val="48"/>
        </w:rPr>
        <w:t>Last Mile as a Service</w:t>
      </w:r>
    </w:p>
    <w:p/>
    <w:p>
      <w:pPr>
        <w:jc w:val="center"/>
      </w:pPr>
      <w:r>
        <w:rPr>
          <w:color w:val="666666"/>
          <w:sz w:val="28"/>
        </w:rPr>
        <w:t>Business Case for the MaiaEdge Board of Directors</w:t>
      </w:r>
    </w:p>
    <w:p/>
    <w:p>
      <w:pPr>
        <w:jc w:val="center"/>
      </w:pPr>
      <w:r>
        <w:rPr>
          <w:color w:val="999999"/>
          <w:sz w:val="24"/>
        </w:rPr>
        <w:t>March 2026  |  Confidential</w:t>
      </w:r>
    </w:p>
    <w:p/>
    <w:p>
      <w:pPr>
        <w:jc w:val="center"/>
      </w:pPr>
      <w:r>
        <w:rPr>
          <w:color w:val="666666"/>
          <w:sz w:val="22"/>
        </w:rPr>
        <w:t>Prepared by Timothy Ziemer, CRO &amp; Co-Founder</w:t>
      </w:r>
    </w:p>
    <w:p>
      <w:r>
        <w:br w:type="page"/>
      </w:r>
    </w:p>
    <w:p>
      <w:pPr>
        <w:pStyle w:val="Heading1"/>
      </w:pPr>
      <w:r>
        <w:rPr>
          <w:color w:val="1A1A2E"/>
        </w:rPr>
        <w:t>Executive Summary</w:t>
      </w:r>
    </w:p>
    <w:p>
      <w:pPr>
        <w:spacing w:after="120" w:before="0"/>
      </w:pPr>
      <w:r>
        <w:rPr>
          <w:b w:val="0"/>
          <w:i w:val="0"/>
          <w:sz w:val="22"/>
        </w:rPr>
        <w:t>MaiaEdge has an opportunity to fundamentally reposition itself from an infrastructure vendor selling PBC subscriptions to network operators into a managed service platform that aggregates fiber operator infrastructure to deliver private enterprise connectivity at scale.</w:t>
      </w:r>
    </w:p>
    <w:p>
      <w:pPr>
        <w:spacing w:after="120" w:before="0"/>
      </w:pPr>
      <w:r>
        <w:rPr>
          <w:b w:val="0"/>
          <w:i w:val="0"/>
          <w:sz w:val="22"/>
        </w:rPr>
        <w:t>The model is called LMaaS -- Last Mile as a Service. Instead of selling to fiber operators, MaiaEdge becomes their customer, buying eLines and long-haul waves wholesale, packaging them with cloud onramp and other services via the PBC, and selling directly to enterprise as a fully managed private connectivity service.</w:t>
      </w:r>
    </w:p>
    <w:p>
      <w:pPr>
        <w:spacing w:after="120" w:before="0"/>
      </w:pPr>
      <w:r>
        <w:rPr>
          <w:b w:val="0"/>
          <w:i w:val="0"/>
          <w:sz w:val="22"/>
        </w:rPr>
        <w:t>This business case presents the strategic rationale, financial model, competitive positioning, and execution plan for LMaaS. The key conclusions are:</w:t>
      </w:r>
    </w:p>
    <w:p>
      <w:pPr>
        <w:pStyle w:val="ListBullet"/>
        <w:spacing w:after="80"/>
      </w:pPr>
      <w:r>
        <w:rPr>
          <w:sz w:val="22"/>
        </w:rPr>
        <w:t>LMaaS increases MaiaEdge's revenue per deployment from $680/mo (PBC subscription) to $5,600-$82,400/mo depending on port size and customer density -- a 4-120x improvement.</w:t>
      </w:r>
    </w:p>
    <w:p>
      <w:pPr>
        <w:pStyle w:val="ListBullet"/>
        <w:spacing w:after="80"/>
      </w:pPr>
      <w:r>
        <w:rPr>
          <w:sz w:val="22"/>
        </w:rPr>
        <w:t>Gross margins at scale reach 82-88%, comparable to SaaS businesses, positioning MaiaEdge for software-level valuation multiples rather than infrastructure multiples.</w:t>
      </w:r>
    </w:p>
    <w:p>
      <w:pPr>
        <w:pStyle w:val="ListBullet"/>
        <w:spacing w:after="80"/>
      </w:pPr>
      <w:r>
        <w:rPr>
          <w:sz w:val="22"/>
        </w:rPr>
        <w:t>The model is asset-light. MaiaEdge aggregates existing fiber operator infrastructure commercially rather than building new. Capital requirements are modest: approximately $40-50K in working capital per POP to reach break-even.</w:t>
      </w:r>
    </w:p>
    <w:p>
      <w:pPr>
        <w:pStyle w:val="ListBullet"/>
        <w:spacing w:after="80"/>
      </w:pPr>
      <w:r>
        <w:rPr>
          <w:sz w:val="22"/>
        </w:rPr>
        <w:t>LMaaS is the customer acquisition flywheel for building the first federated private networking marketplace -- a platform with compounding network effects that becomes more valuable with each fiber operator and enterprise customer added.</w:t>
      </w:r>
    </w:p>
    <w:p>
      <w:pPr>
        <w:pStyle w:val="ListBullet"/>
        <w:spacing w:after="80"/>
      </w:pPr>
      <w:r>
        <w:rPr>
          <w:sz w:val="22"/>
        </w:rPr>
        <w:t>The macro environment is uniquely favorable. The shift to distributed AI inference (NVIDIA AI Grid, March 2026) creates massive demand for exactly the private last-mile connectivity LMaaS provides. The $378B edge computing market and $250B+ NeoCloud market both need this connectivity.</w:t>
      </w:r>
    </w:p>
    <w:p>
      <w:r>
        <w:br w:type="page"/>
      </w:r>
    </w:p>
    <w:p>
      <w:pPr>
        <w:pStyle w:val="Heading1"/>
      </w:pPr>
      <w:r>
        <w:rPr>
          <w:color w:val="1A1A2E"/>
        </w:rPr>
        <w:t>The Problem MaiaEdge Faces Today</w:t>
      </w:r>
    </w:p>
    <w:p>
      <w:pPr>
        <w:spacing w:after="120" w:before="0"/>
      </w:pPr>
      <w:r>
        <w:rPr>
          <w:b w:val="0"/>
          <w:i w:val="0"/>
          <w:sz w:val="22"/>
        </w:rPr>
        <w:t>MaiaEdge's current go-to-market relies on selling PBC infrastructure subscriptions to network operators. The core challenge is that fiber operators -- the largest and most natural customer segment -- resist adopting new technology. They are conservative, operationally focused on what they know (delivering circuits), and reluctant to invest in understanding cloud onramp, federation, or software-defined networking.</w:t>
      </w:r>
    </w:p>
    <w:p>
      <w:pPr>
        <w:spacing w:after="120" w:before="0"/>
      </w:pPr>
      <w:r>
        <w:rPr>
          <w:b w:val="0"/>
          <w:i w:val="0"/>
          <w:sz w:val="22"/>
        </w:rPr>
        <w:t>This creates a fundamental friction in the sales cycle. MaiaEdge approaches fiber operators as a vendor asking them to learn something new, change their sales motion, and accept technology risk. The result is long sales cycles, low conversion rates, and revenue that is capped by partner adoption speed.</w:t>
      </w:r>
    </w:p>
    <w:p>
      <w:pPr>
        <w:spacing w:after="120" w:before="0"/>
      </w:pPr>
      <w:r>
        <w:rPr>
          <w:b w:val="0"/>
          <w:i w:val="0"/>
          <w:sz w:val="22"/>
        </w:rPr>
        <w:t>Meanwhile, MaiaEdge earns only a fraction of the value its technology creates. In the Atlantech cloud onramp model, MaiaEdge earns $680/mo from a PBC subscription while Atlantech captures $2,752/mo in gross profit from the same deployment. The technology is MaiaEdge's, but the economics favor the partner.</w:t>
      </w:r>
    </w:p>
    <w:p>
      <w:pPr>
        <w:pStyle w:val="Heading2"/>
      </w:pPr>
      <w:r>
        <w:rPr>
          <w:color w:val="1A1A2E"/>
        </w:rPr>
        <w:t>The Insight</w:t>
      </w:r>
    </w:p>
    <w:p>
      <w:pPr>
        <w:spacing w:after="120" w:before="0"/>
      </w:pPr>
      <w:r>
        <w:rPr>
          <w:b w:val="0"/>
          <w:i w:val="0"/>
          <w:sz w:val="22"/>
        </w:rPr>
        <w:t>An executive at Equinix observed to MaiaEdge CEO Abilash Menon that fiber operators are perfectly positioned to deliver cloud onramp and NeoCloud connectivity -- they just refuse to learn. The question that emerged: what if MaiaEdge stopped trying to change their behavior and instead built a model that works with their existing behavior?</w:t>
      </w:r>
    </w:p>
    <w:p>
      <w:pPr>
        <w:spacing w:after="120" w:before="0"/>
      </w:pPr>
      <w:r>
        <w:rPr>
          <w:b w:val="0"/>
          <w:i w:val="0"/>
          <w:sz w:val="22"/>
        </w:rPr>
        <w:t>Fiber operators know how to do one thing exceptionally well: deliver point-to-point Ethernet circuits. LMaaS lets them do exactly that -- for MaiaEdge, as a wholesale customer -- while MaiaEdge handles everything else.</w:t>
      </w:r>
    </w:p>
    <w:p>
      <w:r>
        <w:br w:type="page"/>
      </w:r>
    </w:p>
    <w:p>
      <w:pPr>
        <w:pStyle w:val="Heading1"/>
      </w:pPr>
      <w:r>
        <w:rPr>
          <w:color w:val="1A1A2E"/>
        </w:rPr>
        <w:t>The LMaaS Model</w:t>
      </w:r>
    </w:p>
    <w:p>
      <w:pPr>
        <w:pStyle w:val="Heading2"/>
      </w:pPr>
      <w:r>
        <w:rPr>
          <w:color w:val="1A1A2E"/>
        </w:rPr>
        <w:t>How It Works</w:t>
      </w:r>
    </w:p>
    <w:p>
      <w:pPr>
        <w:spacing w:after="120" w:before="0"/>
      </w:pPr>
      <w:r>
        <w:rPr>
          <w:b w:val="0"/>
          <w:i w:val="0"/>
          <w:sz w:val="22"/>
        </w:rPr>
        <w:t>LMaaS inverts MaiaEdge's relationship with fiber operators. Instead of selling to them, MaiaEdge buys from them:</w:t>
      </w:r>
    </w:p>
    <w:p>
      <w:pPr>
        <w:pStyle w:val="ListBullet"/>
        <w:spacing w:after="80"/>
      </w:pPr>
      <w:r>
        <w:rPr>
          <w:sz w:val="22"/>
        </w:rPr>
        <w:t>MaiaEdge buys wholesale eLines from fiber operators to connect enterprise customer buildings to MaiaEdge metro PBCs.</w:t>
      </w:r>
    </w:p>
    <w:p>
      <w:pPr>
        <w:pStyle w:val="ListBullet"/>
        <w:spacing w:after="80"/>
      </w:pPr>
      <w:r>
        <w:rPr>
          <w:sz w:val="22"/>
        </w:rPr>
        <w:t>MaiaEdge buys wholesale waves on fiber operators' existing long-haul fiber to connect metro PBCs to cloud exchange facilities.</w:t>
      </w:r>
    </w:p>
    <w:p>
      <w:pPr>
        <w:pStyle w:val="ListBullet"/>
        <w:spacing w:after="80"/>
      </w:pPr>
      <w:r>
        <w:rPr>
          <w:sz w:val="22"/>
        </w:rPr>
        <w:t>MaiaEdge uses fiber operators' existing rack space and cross-connects at cloud exchanges (e.g., Equinix, CoreSite) to complete the path to AWS, Azure, Google Cloud, and NeoCloud providers.</w:t>
      </w:r>
    </w:p>
    <w:p>
      <w:pPr>
        <w:pStyle w:val="ListBullet"/>
        <w:spacing w:after="80"/>
      </w:pPr>
      <w:r>
        <w:rPr>
          <w:sz w:val="22"/>
        </w:rPr>
        <w:t>MaiaEdge packages the entire path -- last mile, mid mile, and cloud onramp -- into a single bundled MRC sold to enterprise customers as a fully managed private connectivity service.</w:t>
      </w:r>
    </w:p>
    <w:p>
      <w:pPr>
        <w:pStyle w:val="Heading2"/>
      </w:pPr>
      <w:r>
        <w:rPr>
          <w:color w:val="1A1A2E"/>
        </w:rPr>
        <w:t>The Architecture</w:t>
      </w:r>
    </w:p>
    <w:p>
      <w:pPr>
        <w:spacing w:after="120" w:before="0"/>
      </w:pPr>
      <w:r>
        <w:rPr>
          <w:b w:val="0"/>
          <w:i w:val="0"/>
          <w:sz w:val="22"/>
        </w:rPr>
        <w:t>The service has three distinct legs, each with different characteristics:</w:t>
      </w:r>
    </w:p>
    <w:p>
      <w:pPr>
        <w:spacing w:after="120" w:before="0"/>
      </w:pPr>
      <w:r>
        <w:rPr>
          <w:b w:val="0"/>
          <w:i w:val="0"/>
          <w:sz w:val="22"/>
        </w:rPr>
        <w:t>Leg 1 -- Last Mile: The fiber operator delivers a private eLine from the enterprise customer's NID (Network Interface Device) directly to MaiaEdge's metro PBC. This is a dedicated, deterministic circuit with no internet exposure, no exchange points, and minimal latency. The fiber operator is doing exactly what they do every day -- delivering a point-to-point Ethernet circuit -- to MaiaEdge as the far-end customer.</w:t>
      </w:r>
    </w:p>
    <w:p>
      <w:pPr>
        <w:spacing w:after="120" w:before="0"/>
      </w:pPr>
      <w:r>
        <w:rPr>
          <w:b w:val="0"/>
          <w:i w:val="0"/>
          <w:sz w:val="22"/>
        </w:rPr>
        <w:t>Leg 2 -- Mid Mile: The metro PBC connects to a cloud exchange facility via a wholesale wave on the fiber operator's owned long-haul fiber. Regional fiber operators like Arvig (Minneapolis to Chicago Equinix), Segra (mid-Atlantic), and Consolidated (New England) already own these routes and maintain racks at the destination. A wholesale wave on existing lit infrastructure is nearly pure margin for them -- extremely low cost to MaiaEdge.</w:t>
      </w:r>
    </w:p>
    <w:p>
      <w:pPr>
        <w:spacing w:after="120" w:before="0"/>
      </w:pPr>
      <w:r>
        <w:rPr>
          <w:b w:val="0"/>
          <w:i w:val="0"/>
          <w:sz w:val="22"/>
        </w:rPr>
        <w:t>Leg 3 -- Cloud Onramp: A cross-connect from the fiber operator's rack at the cloud exchange into Equinix Fabric or a dedicated AWS Direct Connect / Azure ExpressRoute port. MaiaEdge's PBC provides multi-tenant slicing, oversubscription management, and federation capability.</w:t>
      </w:r>
    </w:p>
    <w:p>
      <w:pPr>
        <w:spacing w:after="120" w:before="0"/>
      </w:pPr>
      <w:r>
        <w:rPr>
          <w:b w:val="0"/>
          <w:i w:val="0"/>
          <w:sz w:val="22"/>
        </w:rPr>
        <w:t>The result: a fully private, deterministic path from the enterprise customer's building to any cloud or NeoCloud provider, managed end-to-end by MaiaEdge through a single commercial relationship.</w:t>
      </w:r>
    </w:p>
    <w:p>
      <w:pPr>
        <w:pStyle w:val="Heading2"/>
      </w:pPr>
      <w:r>
        <w:rPr>
          <w:color w:val="1A1A2E"/>
        </w:rPr>
        <w:t>The Relationship Flip</w:t>
      </w:r>
    </w:p>
    <w:p>
      <w:pPr>
        <w:spacing w:after="120" w:before="0"/>
      </w:pPr>
      <w:r>
        <w:rPr>
          <w:b w:val="0"/>
          <w:i w:val="0"/>
          <w:sz w:val="22"/>
        </w:rPr>
        <w:t>The most strategically significant aspect of LMaaS is that MaiaEdge becomes a customer of fiber operators rather than a vendor to them. This changes the relationship dynamic completely:</w:t>
      </w:r>
    </w:p>
    <w:p>
      <w:pPr>
        <w:pStyle w:val="ListBullet"/>
        <w:spacing w:after="80"/>
      </w:pPr>
      <w:r>
        <w:rPr>
          <w:sz w:val="22"/>
        </w:rPr>
        <w:t>Fiber operators' account teams are incentivized to call MaiaEdge -- we are revenue to them.</w:t>
      </w:r>
    </w:p>
    <w:p>
      <w:pPr>
        <w:pStyle w:val="ListBullet"/>
        <w:spacing w:after="80"/>
      </w:pPr>
      <w:r>
        <w:rPr>
          <w:sz w:val="22"/>
        </w:rPr>
        <w:t>Their procurement processes know how to handle us -- we are ordering circuits, which is their core business.</w:t>
      </w:r>
    </w:p>
    <w:p>
      <w:pPr>
        <w:pStyle w:val="ListBullet"/>
        <w:spacing w:after="80"/>
      </w:pPr>
      <w:r>
        <w:rPr>
          <w:sz w:val="22"/>
        </w:rPr>
        <w:t>Their sales teams become our embedded distribution channel -- they earn on every eLine, wave, and cross-connect they deliver for our customers.</w:t>
      </w:r>
    </w:p>
    <w:p>
      <w:pPr>
        <w:pStyle w:val="ListBullet"/>
        <w:spacing w:after="80"/>
      </w:pPr>
      <w:r>
        <w:rPr>
          <w:sz w:val="22"/>
        </w:rPr>
        <w:t>Each fiber operator relationship spans multiple product lines simultaneously (eLines, waves, rack/cross-connect), making MaiaEdge a strategic account.</w:t>
      </w:r>
    </w:p>
    <w:p>
      <w:r>
        <w:br w:type="page"/>
      </w:r>
    </w:p>
    <w:p>
      <w:pPr>
        <w:pStyle w:val="Heading1"/>
      </w:pPr>
      <w:r>
        <w:rPr>
          <w:color w:val="1A1A2E"/>
        </w:rPr>
        <w:t>Financial Model</w:t>
      </w:r>
    </w:p>
    <w:p>
      <w:pPr>
        <w:pStyle w:val="Heading2"/>
      </w:pPr>
      <w:r>
        <w:rPr>
          <w:color w:val="1A1A2E"/>
        </w:rPr>
        <w:t>Revenue Comparison: PBC Subscription vs. LMaaS</w:t>
      </w:r>
    </w:p>
    <w:p>
      <w:pPr>
        <w:spacing w:after="120" w:before="0"/>
      </w:pPr>
      <w:r>
        <w:rPr>
          <w:b w:val="0"/>
          <w:i w:val="0"/>
          <w:sz w:val="22"/>
        </w:rPr>
        <w:t>The following comparison uses the Atlantech cloud onramp model (Ashburn, VA) as the baseline:</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Metric</w:t>
            </w:r>
          </w:p>
        </w:tc>
        <w:tc>
          <w:tcPr>
            <w:tcW w:type="dxa" w:w="3135"/>
          </w:tcPr>
          <w:p>
            <w:pPr>
              <w:jc w:val="center"/>
            </w:pPr>
            <w:r>
              <w:rPr>
                <w:b/>
                <w:sz w:val="20"/>
              </w:rPr>
              <w:t>PBC Subscription</w:t>
            </w:r>
          </w:p>
        </w:tc>
        <w:tc>
          <w:tcPr>
            <w:tcW w:type="dxa" w:w="3135"/>
          </w:tcPr>
          <w:p>
            <w:pPr>
              <w:jc w:val="center"/>
            </w:pPr>
            <w:r>
              <w:rPr>
                <w:b/>
                <w:sz w:val="20"/>
              </w:rPr>
              <w:t>LMaaS Direct</w:t>
            </w:r>
          </w:p>
        </w:tc>
      </w:tr>
      <w:tr>
        <w:tc>
          <w:tcPr>
            <w:tcW w:type="dxa" w:w="3135"/>
          </w:tcPr>
          <w:p>
            <w:r>
              <w:rPr>
                <w:sz w:val="20"/>
              </w:rPr>
              <w:t>MaiaEdge monthly revenue</w:t>
            </w:r>
          </w:p>
        </w:tc>
        <w:tc>
          <w:tcPr>
            <w:tcW w:type="dxa" w:w="3135"/>
          </w:tcPr>
          <w:p>
            <w:r>
              <w:rPr>
                <w:sz w:val="20"/>
              </w:rPr>
              <w:t>$680</w:t>
            </w:r>
          </w:p>
        </w:tc>
        <w:tc>
          <w:tcPr>
            <w:tcW w:type="dxa" w:w="3135"/>
          </w:tcPr>
          <w:p>
            <w:r>
              <w:rPr>
                <w:sz w:val="20"/>
              </w:rPr>
              <w:t>$5,600</w:t>
            </w:r>
          </w:p>
        </w:tc>
      </w:tr>
      <w:tr>
        <w:tc>
          <w:tcPr>
            <w:tcW w:type="dxa" w:w="3135"/>
          </w:tcPr>
          <w:p>
            <w:r>
              <w:rPr>
                <w:sz w:val="20"/>
              </w:rPr>
              <w:t>MaiaEdge monthly gross profit</w:t>
            </w:r>
          </w:p>
        </w:tc>
        <w:tc>
          <w:tcPr>
            <w:tcW w:type="dxa" w:w="3135"/>
          </w:tcPr>
          <w:p>
            <w:r>
              <w:rPr>
                <w:sz w:val="20"/>
              </w:rPr>
              <w:t>$680 (subsidized to $0)</w:t>
            </w:r>
          </w:p>
        </w:tc>
        <w:tc>
          <w:tcPr>
            <w:tcW w:type="dxa" w:w="3135"/>
          </w:tcPr>
          <w:p>
            <w:r>
              <w:rPr>
                <w:sz w:val="20"/>
              </w:rPr>
              <w:t>$2,752</w:t>
            </w:r>
          </w:p>
        </w:tc>
      </w:tr>
      <w:tr>
        <w:tc>
          <w:tcPr>
            <w:tcW w:type="dxa" w:w="3135"/>
          </w:tcPr>
          <w:p>
            <w:r>
              <w:rPr>
                <w:sz w:val="20"/>
              </w:rPr>
              <w:t>Customers on deployment</w:t>
            </w:r>
          </w:p>
        </w:tc>
        <w:tc>
          <w:tcPr>
            <w:tcW w:type="dxa" w:w="3135"/>
          </w:tcPr>
          <w:p>
            <w:r>
              <w:rPr>
                <w:sz w:val="20"/>
              </w:rPr>
              <w:t>N/A (Atlantech manages)</w:t>
            </w:r>
          </w:p>
        </w:tc>
        <w:tc>
          <w:tcPr>
            <w:tcW w:type="dxa" w:w="3135"/>
          </w:tcPr>
          <w:p>
            <w:r>
              <w:rPr>
                <w:sz w:val="20"/>
              </w:rPr>
              <w:t>10 (base case)</w:t>
            </w:r>
          </w:p>
        </w:tc>
      </w:tr>
      <w:tr>
        <w:tc>
          <w:tcPr>
            <w:tcW w:type="dxa" w:w="3135"/>
          </w:tcPr>
          <w:p>
            <w:r>
              <w:rPr>
                <w:sz w:val="20"/>
              </w:rPr>
              <w:t>Revenue multiple vs. PBC</w:t>
            </w:r>
          </w:p>
        </w:tc>
        <w:tc>
          <w:tcPr>
            <w:tcW w:type="dxa" w:w="3135"/>
          </w:tcPr>
          <w:p>
            <w:r>
              <w:rPr>
                <w:sz w:val="20"/>
              </w:rPr>
              <w:t>1x</w:t>
            </w:r>
          </w:p>
        </w:tc>
        <w:tc>
          <w:tcPr>
            <w:tcW w:type="dxa" w:w="3135"/>
          </w:tcPr>
          <w:p>
            <w:r>
              <w:rPr>
                <w:sz w:val="20"/>
              </w:rPr>
              <w:t>8.2x</w:t>
            </w:r>
          </w:p>
        </w:tc>
      </w:tr>
    </w:tbl>
    <w:p/>
    <w:p>
      <w:pPr>
        <w:spacing w:after="120" w:before="0"/>
      </w:pPr>
      <w:r>
        <w:rPr>
          <w:b w:val="0"/>
          <w:i w:val="0"/>
          <w:sz w:val="22"/>
        </w:rPr>
        <w:t>At scale on a 100G Equinix Fabric Unlimited port (Ashburn):</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Scenario</w:t>
            </w:r>
          </w:p>
        </w:tc>
        <w:tc>
          <w:tcPr>
            <w:tcW w:type="dxa" w:w="1568"/>
          </w:tcPr>
          <w:p>
            <w:pPr>
              <w:jc w:val="center"/>
            </w:pPr>
            <w:r>
              <w:rPr>
                <w:b/>
                <w:sz w:val="20"/>
              </w:rPr>
              <w:t>Customers</w:t>
            </w:r>
          </w:p>
        </w:tc>
        <w:tc>
          <w:tcPr>
            <w:tcW w:type="dxa" w:w="1568"/>
          </w:tcPr>
          <w:p>
            <w:pPr>
              <w:jc w:val="center"/>
            </w:pPr>
            <w:r>
              <w:rPr>
                <w:b/>
                <w:sz w:val="20"/>
              </w:rPr>
              <w:t>Monthly Revenue</w:t>
            </w:r>
          </w:p>
        </w:tc>
        <w:tc>
          <w:tcPr>
            <w:tcW w:type="dxa" w:w="1568"/>
          </w:tcPr>
          <w:p>
            <w:pPr>
              <w:jc w:val="center"/>
            </w:pPr>
            <w:r>
              <w:rPr>
                <w:b/>
                <w:sz w:val="20"/>
              </w:rPr>
              <w:t>Monthly GP</w:t>
            </w:r>
          </w:p>
        </w:tc>
        <w:tc>
          <w:tcPr>
            <w:tcW w:type="dxa" w:w="1568"/>
          </w:tcPr>
          <w:p>
            <w:pPr>
              <w:jc w:val="center"/>
            </w:pPr>
            <w:r>
              <w:rPr>
                <w:b/>
                <w:sz w:val="20"/>
              </w:rPr>
              <w:t>Annual GP</w:t>
            </w:r>
          </w:p>
        </w:tc>
        <w:tc>
          <w:tcPr>
            <w:tcW w:type="dxa" w:w="1568"/>
          </w:tcPr>
          <w:p>
            <w:pPr>
              <w:jc w:val="center"/>
            </w:pPr>
            <w:r>
              <w:rPr>
                <w:b/>
                <w:sz w:val="20"/>
              </w:rPr>
              <w:t>Gross Margin</w:t>
            </w:r>
          </w:p>
        </w:tc>
      </w:tr>
      <w:tr>
        <w:tc>
          <w:tcPr>
            <w:tcW w:type="dxa" w:w="1568"/>
          </w:tcPr>
          <w:p>
            <w:r>
              <w:rPr>
                <w:sz w:val="20"/>
              </w:rPr>
              <w:t>25% fill</w:t>
            </w:r>
          </w:p>
        </w:tc>
        <w:tc>
          <w:tcPr>
            <w:tcW w:type="dxa" w:w="1568"/>
          </w:tcPr>
          <w:p>
            <w:r>
              <w:rPr>
                <w:sz w:val="20"/>
              </w:rPr>
              <w:t>44</w:t>
            </w:r>
          </w:p>
        </w:tc>
        <w:tc>
          <w:tcPr>
            <w:tcW w:type="dxa" w:w="1568"/>
          </w:tcPr>
          <w:p>
            <w:r>
              <w:rPr>
                <w:sz w:val="20"/>
              </w:rPr>
              <w:t>$25,250</w:t>
            </w:r>
          </w:p>
        </w:tc>
        <w:tc>
          <w:tcPr>
            <w:tcW w:type="dxa" w:w="1568"/>
          </w:tcPr>
          <w:p>
            <w:r>
              <w:rPr>
                <w:sz w:val="20"/>
              </w:rPr>
              <w:t>$15,762</w:t>
            </w:r>
          </w:p>
        </w:tc>
        <w:tc>
          <w:tcPr>
            <w:tcW w:type="dxa" w:w="1568"/>
          </w:tcPr>
          <w:p>
            <w:r>
              <w:rPr>
                <w:sz w:val="20"/>
              </w:rPr>
              <w:t>$189K</w:t>
            </w:r>
          </w:p>
        </w:tc>
        <w:tc>
          <w:tcPr>
            <w:tcW w:type="dxa" w:w="1568"/>
          </w:tcPr>
          <w:p>
            <w:r>
              <w:rPr>
                <w:sz w:val="20"/>
              </w:rPr>
              <w:t>62%</w:t>
            </w:r>
          </w:p>
        </w:tc>
      </w:tr>
      <w:tr>
        <w:tc>
          <w:tcPr>
            <w:tcW w:type="dxa" w:w="1568"/>
          </w:tcPr>
          <w:p>
            <w:r>
              <w:rPr>
                <w:sz w:val="20"/>
              </w:rPr>
              <w:t>50% fill</w:t>
            </w:r>
          </w:p>
        </w:tc>
        <w:tc>
          <w:tcPr>
            <w:tcW w:type="dxa" w:w="1568"/>
          </w:tcPr>
          <w:p>
            <w:r>
              <w:rPr>
                <w:sz w:val="20"/>
              </w:rPr>
              <w:t>87</w:t>
            </w:r>
          </w:p>
        </w:tc>
        <w:tc>
          <w:tcPr>
            <w:tcW w:type="dxa" w:w="1568"/>
          </w:tcPr>
          <w:p>
            <w:r>
              <w:rPr>
                <w:sz w:val="20"/>
              </w:rPr>
              <w:t>$51,600</w:t>
            </w:r>
          </w:p>
        </w:tc>
        <w:tc>
          <w:tcPr>
            <w:tcW w:type="dxa" w:w="1568"/>
          </w:tcPr>
          <w:p>
            <w:r>
              <w:rPr>
                <w:sz w:val="20"/>
              </w:rPr>
              <w:t>$42,112</w:t>
            </w:r>
          </w:p>
        </w:tc>
        <w:tc>
          <w:tcPr>
            <w:tcW w:type="dxa" w:w="1568"/>
          </w:tcPr>
          <w:p>
            <w:r>
              <w:rPr>
                <w:sz w:val="20"/>
              </w:rPr>
              <w:t>$505K</w:t>
            </w:r>
          </w:p>
        </w:tc>
        <w:tc>
          <w:tcPr>
            <w:tcW w:type="dxa" w:w="1568"/>
          </w:tcPr>
          <w:p>
            <w:r>
              <w:rPr>
                <w:sz w:val="20"/>
              </w:rPr>
              <w:t>82%</w:t>
            </w:r>
          </w:p>
        </w:tc>
      </w:tr>
      <w:tr>
        <w:tc>
          <w:tcPr>
            <w:tcW w:type="dxa" w:w="1568"/>
          </w:tcPr>
          <w:p>
            <w:r>
              <w:rPr>
                <w:sz w:val="20"/>
              </w:rPr>
              <w:t>80% fill</w:t>
            </w:r>
          </w:p>
        </w:tc>
        <w:tc>
          <w:tcPr>
            <w:tcW w:type="dxa" w:w="1568"/>
          </w:tcPr>
          <w:p>
            <w:r>
              <w:rPr>
                <w:sz w:val="20"/>
              </w:rPr>
              <w:t>138</w:t>
            </w:r>
          </w:p>
        </w:tc>
        <w:tc>
          <w:tcPr>
            <w:tcW w:type="dxa" w:w="1568"/>
          </w:tcPr>
          <w:p>
            <w:r>
              <w:rPr>
                <w:sz w:val="20"/>
              </w:rPr>
              <w:t>$82,400</w:t>
            </w:r>
          </w:p>
        </w:tc>
        <w:tc>
          <w:tcPr>
            <w:tcW w:type="dxa" w:w="1568"/>
          </w:tcPr>
          <w:p>
            <w:r>
              <w:rPr>
                <w:sz w:val="20"/>
              </w:rPr>
              <w:t>$72,912</w:t>
            </w:r>
          </w:p>
        </w:tc>
        <w:tc>
          <w:tcPr>
            <w:tcW w:type="dxa" w:w="1568"/>
          </w:tcPr>
          <w:p>
            <w:r>
              <w:rPr>
                <w:sz w:val="20"/>
              </w:rPr>
              <w:t>$875K</w:t>
            </w:r>
          </w:p>
        </w:tc>
        <w:tc>
          <w:tcPr>
            <w:tcW w:type="dxa" w:w="1568"/>
          </w:tcPr>
          <w:p>
            <w:r>
              <w:rPr>
                <w:sz w:val="20"/>
              </w:rPr>
              <w:t>88%</w:t>
            </w:r>
          </w:p>
        </w:tc>
      </w:tr>
    </w:tbl>
    <w:p/>
    <w:p>
      <w:pPr>
        <w:pStyle w:val="Heading2"/>
      </w:pPr>
      <w:r>
        <w:rPr>
          <w:color w:val="1A1A2E"/>
        </w:rPr>
        <w:t>Infrastructure Cost Structure (Ashburn)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Item</w:t>
            </w:r>
          </w:p>
        </w:tc>
        <w:tc>
          <w:tcPr>
            <w:tcW w:type="dxa" w:w="3135"/>
          </w:tcPr>
          <w:p>
            <w:pPr>
              <w:jc w:val="center"/>
            </w:pPr>
            <w:r>
              <w:rPr>
                <w:b/>
                <w:sz w:val="20"/>
              </w:rPr>
              <w:t>10G Port (Steady State)</w:t>
            </w:r>
          </w:p>
        </w:tc>
        <w:tc>
          <w:tcPr>
            <w:tcW w:type="dxa" w:w="3135"/>
          </w:tcPr>
          <w:p>
            <w:pPr>
              <w:jc w:val="center"/>
            </w:pPr>
            <w:r>
              <w:rPr>
                <w:b/>
                <w:sz w:val="20"/>
              </w:rPr>
              <w:t>100G Fabric Unlimited</w:t>
            </w:r>
          </w:p>
        </w:tc>
      </w:tr>
      <w:tr>
        <w:tc>
          <w:tcPr>
            <w:tcW w:type="dxa" w:w="3135"/>
          </w:tcPr>
          <w:p>
            <w:r>
              <w:rPr>
                <w:sz w:val="20"/>
              </w:rPr>
              <w:t>PBC license (net)</w:t>
            </w:r>
          </w:p>
        </w:tc>
        <w:tc>
          <w:tcPr>
            <w:tcW w:type="dxa" w:w="3135"/>
          </w:tcPr>
          <w:p>
            <w:r>
              <w:rPr>
                <w:sz w:val="20"/>
              </w:rPr>
              <w:t>$680/mo</w:t>
            </w:r>
          </w:p>
        </w:tc>
        <w:tc>
          <w:tcPr>
            <w:tcW w:type="dxa" w:w="3135"/>
          </w:tcPr>
          <w:p>
            <w:r>
              <w:rPr>
                <w:sz w:val="20"/>
              </w:rPr>
              <w:t>$1,338/mo</w:t>
            </w:r>
          </w:p>
        </w:tc>
      </w:tr>
      <w:tr>
        <w:tc>
          <w:tcPr>
            <w:tcW w:type="dxa" w:w="3135"/>
          </w:tcPr>
          <w:p>
            <w:r>
              <w:rPr>
                <w:sz w:val="20"/>
              </w:rPr>
              <w:t>Switch license</w:t>
            </w:r>
          </w:p>
        </w:tc>
        <w:tc>
          <w:tcPr>
            <w:tcW w:type="dxa" w:w="3135"/>
          </w:tcPr>
          <w:p>
            <w:r>
              <w:rPr>
                <w:sz w:val="20"/>
              </w:rPr>
              <w:t>$150/mo</w:t>
            </w:r>
          </w:p>
        </w:tc>
        <w:tc>
          <w:tcPr>
            <w:tcW w:type="dxa" w:w="3135"/>
          </w:tcPr>
          <w:p>
            <w:r>
              <w:rPr>
                <w:sz w:val="20"/>
              </w:rPr>
              <w:t>$150/mo</w:t>
            </w:r>
          </w:p>
        </w:tc>
      </w:tr>
      <w:tr>
        <w:tc>
          <w:tcPr>
            <w:tcW w:type="dxa" w:w="3135"/>
          </w:tcPr>
          <w:p>
            <w:r>
              <w:rPr>
                <w:sz w:val="20"/>
              </w:rPr>
              <w:t>AWS Direct Connect / Fabric port</w:t>
            </w:r>
          </w:p>
        </w:tc>
        <w:tc>
          <w:tcPr>
            <w:tcW w:type="dxa" w:w="3135"/>
          </w:tcPr>
          <w:p>
            <w:r>
              <w:rPr>
                <w:sz w:val="20"/>
              </w:rPr>
              <w:t>$1,643/mo</w:t>
            </w:r>
          </w:p>
        </w:tc>
        <w:tc>
          <w:tcPr>
            <w:tcW w:type="dxa" w:w="3135"/>
          </w:tcPr>
          <w:p>
            <w:r>
              <w:rPr>
                <w:sz w:val="20"/>
              </w:rPr>
              <w:t>$8,000/mo</w:t>
            </w:r>
          </w:p>
        </w:tc>
      </w:tr>
      <w:tr>
        <w:tc>
          <w:tcPr>
            <w:tcW w:type="dxa" w:w="3135"/>
          </w:tcPr>
          <w:p>
            <w:r>
              <w:rPr>
                <w:sz w:val="20"/>
              </w:rPr>
              <w:t>Cross-connect</w:t>
            </w:r>
          </w:p>
        </w:tc>
        <w:tc>
          <w:tcPr>
            <w:tcW w:type="dxa" w:w="3135"/>
          </w:tcPr>
          <w:p>
            <w:r>
              <w:rPr>
                <w:sz w:val="20"/>
              </w:rPr>
              <w:t>$375/mo</w:t>
            </w:r>
          </w:p>
        </w:tc>
        <w:tc>
          <w:tcPr>
            <w:tcW w:type="dxa" w:w="3135"/>
          </w:tcPr>
          <w:p>
            <w:r>
              <w:rPr>
                <w:sz w:val="20"/>
              </w:rPr>
              <w:t>Included</w:t>
            </w:r>
          </w:p>
        </w:tc>
      </w:tr>
      <w:tr>
        <w:tc>
          <w:tcPr>
            <w:tcW w:type="dxa" w:w="3135"/>
          </w:tcPr>
          <w:p>
            <w:r>
              <w:rPr>
                <w:sz w:val="20"/>
              </w:rPr>
              <w:t>Total monthly floor</w:t>
            </w:r>
          </w:p>
        </w:tc>
        <w:tc>
          <w:tcPr>
            <w:tcW w:type="dxa" w:w="3135"/>
          </w:tcPr>
          <w:p>
            <w:r>
              <w:rPr>
                <w:sz w:val="20"/>
              </w:rPr>
              <w:t>$2,848/mo</w:t>
            </w:r>
          </w:p>
        </w:tc>
        <w:tc>
          <w:tcPr>
            <w:tcW w:type="dxa" w:w="3135"/>
          </w:tcPr>
          <w:p>
            <w:r>
              <w:rPr>
                <w:sz w:val="20"/>
              </w:rPr>
              <w:t>$9,488/mo</w:t>
            </w:r>
          </w:p>
        </w:tc>
      </w:tr>
      <w:tr>
        <w:tc>
          <w:tcPr>
            <w:tcW w:type="dxa" w:w="3135"/>
          </w:tcPr>
          <w:p>
            <w:r>
              <w:rPr>
                <w:sz w:val="20"/>
              </w:rPr>
              <w:t>Subsidized phase floor (PBC = $0)</w:t>
            </w:r>
          </w:p>
        </w:tc>
        <w:tc>
          <w:tcPr>
            <w:tcW w:type="dxa" w:w="3135"/>
          </w:tcPr>
          <w:p>
            <w:r>
              <w:rPr>
                <w:sz w:val="20"/>
              </w:rPr>
              <w:t>$2,168/mo</w:t>
            </w:r>
          </w:p>
        </w:tc>
        <w:tc>
          <w:tcPr>
            <w:tcW w:type="dxa" w:w="3135"/>
          </w:tcPr>
          <w:p>
            <w:r>
              <w:rPr>
                <w:sz w:val="20"/>
              </w:rPr>
              <w:t>$8,150/mo</w:t>
            </w:r>
          </w:p>
        </w:tc>
      </w:tr>
    </w:tbl>
    <w:p/>
    <w:p>
      <w:pPr>
        <w:pStyle w:val="Heading2"/>
      </w:pPr>
      <w:r>
        <w:rPr>
          <w:color w:val="1A1A2E"/>
        </w:rPr>
        <w:t>Break-Even Analysis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Port Size</w:t>
            </w:r>
          </w:p>
        </w:tc>
        <w:tc>
          <w:tcPr>
            <w:tcW w:type="dxa" w:w="3135"/>
          </w:tcPr>
          <w:p>
            <w:pPr>
              <w:jc w:val="center"/>
            </w:pPr>
            <w:r>
              <w:rPr>
                <w:b/>
                <w:sz w:val="20"/>
              </w:rPr>
              <w:t>Phase 1 (PBC = $0)</w:t>
            </w:r>
          </w:p>
        </w:tc>
        <w:tc>
          <w:tcPr>
            <w:tcW w:type="dxa" w:w="3135"/>
          </w:tcPr>
          <w:p>
            <w:pPr>
              <w:jc w:val="center"/>
            </w:pPr>
            <w:r>
              <w:rPr>
                <w:b/>
                <w:sz w:val="20"/>
              </w:rPr>
              <w:t>Phase 2 (Steady State)</w:t>
            </w:r>
          </w:p>
        </w:tc>
      </w:tr>
      <w:tr>
        <w:tc>
          <w:tcPr>
            <w:tcW w:type="dxa" w:w="3135"/>
          </w:tcPr>
          <w:p>
            <w:r>
              <w:rPr>
                <w:sz w:val="20"/>
              </w:rPr>
              <w:t>10G -- Standard 1G circuits to break even</w:t>
            </w:r>
          </w:p>
        </w:tc>
        <w:tc>
          <w:tcPr>
            <w:tcW w:type="dxa" w:w="3135"/>
          </w:tcPr>
          <w:p>
            <w:r>
              <w:rPr>
                <w:sz w:val="20"/>
              </w:rPr>
              <w:t>4 customers</w:t>
            </w:r>
          </w:p>
        </w:tc>
        <w:tc>
          <w:tcPr>
            <w:tcW w:type="dxa" w:w="3135"/>
          </w:tcPr>
          <w:p>
            <w:r>
              <w:rPr>
                <w:sz w:val="20"/>
              </w:rPr>
              <w:t>6 customers</w:t>
            </w:r>
          </w:p>
        </w:tc>
      </w:tr>
      <w:tr>
        <w:tc>
          <w:tcPr>
            <w:tcW w:type="dxa" w:w="3135"/>
          </w:tcPr>
          <w:p>
            <w:r>
              <w:rPr>
                <w:sz w:val="20"/>
              </w:rPr>
              <w:t>100G -- Standard 1G circuits to break even</w:t>
            </w:r>
          </w:p>
        </w:tc>
        <w:tc>
          <w:tcPr>
            <w:tcW w:type="dxa" w:w="3135"/>
          </w:tcPr>
          <w:p>
            <w:r>
              <w:rPr>
                <w:sz w:val="20"/>
              </w:rPr>
              <w:t>~15 customers</w:t>
            </w:r>
          </w:p>
        </w:tc>
        <w:tc>
          <w:tcPr>
            <w:tcW w:type="dxa" w:w="3135"/>
          </w:tcPr>
          <w:p>
            <w:r>
              <w:rPr>
                <w:sz w:val="20"/>
              </w:rPr>
              <w:t>~17 customers</w:t>
            </w:r>
          </w:p>
        </w:tc>
      </w:tr>
    </w:tbl>
    <w:p/>
    <w:p>
      <w:pPr>
        <w:spacing w:after="120" w:before="0"/>
      </w:pPr>
      <w:r>
        <w:rPr>
          <w:b w:val="0"/>
          <w:i w:val="0"/>
          <w:sz w:val="22"/>
        </w:rPr>
        <w:t>At a 90-day enterprise sales cycle, break-even on a 100G port requires approximately 3-5 months of fixed infrastructure costs before gross profit turns positive -- approximately $40-50K per POP in working capital.</w:t>
      </w:r>
    </w:p>
    <w:p>
      <w:pPr>
        <w:pStyle w:val="Heading2"/>
      </w:pPr>
      <w:r>
        <w:rPr>
          <w:color w:val="1A1A2E"/>
        </w:rPr>
        <w:t>Five-POP National Deployment</w:t>
      </w:r>
    </w:p>
    <w:p>
      <w:pPr>
        <w:spacing w:after="120" w:before="0"/>
      </w:pPr>
      <w:r>
        <w:rPr>
          <w:b w:val="0"/>
          <w:i w:val="0"/>
          <w:sz w:val="22"/>
        </w:rPr>
        <w:t>Deploying LMaaS across 5 major metro POPs (Ashburn, LA, Chicago, Dallas, NYC) at 50% fill:</w:t>
      </w:r>
    </w:p>
    <w:tbl>
      <w:tblPr>
        <w:tblStyle w:val="LightShading-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Metric</w:t>
            </w:r>
          </w:p>
        </w:tc>
        <w:tc>
          <w:tcPr>
            <w:tcW w:type="dxa" w:w="4703"/>
          </w:tcPr>
          <w:p>
            <w:pPr>
              <w:jc w:val="center"/>
            </w:pPr>
            <w:r>
              <w:rPr>
                <w:b/>
                <w:sz w:val="20"/>
              </w:rPr>
              <w:t>Value</w:t>
            </w:r>
          </w:p>
        </w:tc>
      </w:tr>
      <w:tr>
        <w:tc>
          <w:tcPr>
            <w:tcW w:type="dxa" w:w="4703"/>
          </w:tcPr>
          <w:p>
            <w:r>
              <w:rPr>
                <w:sz w:val="20"/>
              </w:rPr>
              <w:t>Total monthly gross profit</w:t>
            </w:r>
          </w:p>
        </w:tc>
        <w:tc>
          <w:tcPr>
            <w:tcW w:type="dxa" w:w="4703"/>
          </w:tcPr>
          <w:p>
            <w:r>
              <w:rPr>
                <w:sz w:val="20"/>
              </w:rPr>
              <w:t>$210,560</w:t>
            </w:r>
          </w:p>
        </w:tc>
      </w:tr>
      <w:tr>
        <w:tc>
          <w:tcPr>
            <w:tcW w:type="dxa" w:w="4703"/>
          </w:tcPr>
          <w:p>
            <w:r>
              <w:rPr>
                <w:sz w:val="20"/>
              </w:rPr>
              <w:t>Annual gross profit</w:t>
            </w:r>
          </w:p>
        </w:tc>
        <w:tc>
          <w:tcPr>
            <w:tcW w:type="dxa" w:w="4703"/>
          </w:tcPr>
          <w:p>
            <w:r>
              <w:rPr>
                <w:sz w:val="20"/>
              </w:rPr>
              <w:t>$2.53M</w:t>
            </w:r>
          </w:p>
        </w:tc>
      </w:tr>
      <w:tr>
        <w:tc>
          <w:tcPr>
            <w:tcW w:type="dxa" w:w="4703"/>
          </w:tcPr>
          <w:p>
            <w:r>
              <w:rPr>
                <w:sz w:val="20"/>
              </w:rPr>
              <w:t>Infrastructure working capital required</w:t>
            </w:r>
          </w:p>
        </w:tc>
        <w:tc>
          <w:tcPr>
            <w:tcW w:type="dxa" w:w="4703"/>
          </w:tcPr>
          <w:p>
            <w:r>
              <w:rPr>
                <w:sz w:val="20"/>
              </w:rPr>
              <w:t>~$250K</w:t>
            </w:r>
          </w:p>
        </w:tc>
      </w:tr>
      <w:tr>
        <w:tc>
          <w:tcPr>
            <w:tcW w:type="dxa" w:w="4703"/>
          </w:tcPr>
          <w:p>
            <w:r>
              <w:rPr>
                <w:sz w:val="20"/>
              </w:rPr>
              <w:t>Headcount (primary capital deployment)</w:t>
            </w:r>
          </w:p>
        </w:tc>
        <w:tc>
          <w:tcPr>
            <w:tcW w:type="dxa" w:w="4703"/>
          </w:tcPr>
          <w:p>
            <w:r>
              <w:rPr>
                <w:sz w:val="20"/>
              </w:rPr>
              <w:t>Sales, provisioning, BD</w:t>
            </w:r>
          </w:p>
        </w:tc>
      </w:tr>
      <w:tr>
        <w:tc>
          <w:tcPr>
            <w:tcW w:type="dxa" w:w="4703"/>
          </w:tcPr>
          <w:p>
            <w:r>
              <w:rPr>
                <w:sz w:val="20"/>
              </w:rPr>
              <w:t>Capital efficiency</w:t>
            </w:r>
          </w:p>
        </w:tc>
        <w:tc>
          <w:tcPr>
            <w:tcW w:type="dxa" w:w="4703"/>
          </w:tcPr>
          <w:p>
            <w:r>
              <w:rPr>
                <w:sz w:val="20"/>
              </w:rPr>
              <w:t>~10x annual GP to working capital</w:t>
            </w:r>
          </w:p>
        </w:tc>
      </w:tr>
    </w:tbl>
    <w:p>
      <w:r>
        <w:br w:type="page"/>
      </w:r>
    </w:p>
    <w:p>
      <w:pPr>
        <w:pStyle w:val="Heading1"/>
      </w:pPr>
      <w:r>
        <w:rPr>
          <w:color w:val="1A1A2E"/>
        </w:rPr>
        <w:t>Pricing Strategy</w:t>
      </w:r>
    </w:p>
    <w:p>
      <w:pPr>
        <w:spacing w:after="120" w:before="0"/>
      </w:pPr>
      <w:r>
        <w:rPr>
          <w:b w:val="0"/>
          <w:i w:val="0"/>
          <w:sz w:val="22"/>
        </w:rPr>
        <w:t>LMaaS delivers a premium service compared to alternatives. Megaport charges approximately $1,000/mo for a 1G Hosted Connection to AWS (including port charge), but does not solve the last mile -- the enterprise must get themselves to a Megaport-enabled facility. AT&amp;T and Verizon require existing WAN relationships.</w:t>
      </w:r>
    </w:p>
    <w:p>
      <w:pPr>
        <w:spacing w:after="120" w:before="0"/>
      </w:pPr>
      <w:r>
        <w:rPr>
          <w:b w:val="0"/>
          <w:i w:val="0"/>
          <w:sz w:val="22"/>
        </w:rPr>
        <w:t>LMaaS solves the entire problem in a single bundled MRC: last mile, mid mile, and cloud onramp, fully private end-to-end. This is a premium offering, not a discount play.</w:t>
      </w:r>
    </w:p>
    <w:p>
      <w:pPr>
        <w:pStyle w:val="Heading2"/>
      </w:pPr>
      <w:r>
        <w:rPr>
          <w:color w:val="1A1A2E"/>
        </w:rPr>
        <w:t>Pricing Principles</w:t>
      </w:r>
    </w:p>
    <w:p>
      <w:pPr>
        <w:pStyle w:val="ListBullet"/>
        <w:spacing w:after="80"/>
      </w:pPr>
      <w:r>
        <w:rPr>
          <w:sz w:val="22"/>
        </w:rPr>
        <w:t>Bundled MRC: Enterprise customers see a single monthly charge. No component-level visibility.</w:t>
      </w:r>
    </w:p>
    <w:p>
      <w:pPr>
        <w:pStyle w:val="ListBullet"/>
        <w:spacing w:after="80"/>
      </w:pPr>
      <w:r>
        <w:rPr>
          <w:sz w:val="22"/>
        </w:rPr>
        <w:t>Price at or near Megaport parity for the cloud onramp component, plus the last-mile/mid-mile value.</w:t>
      </w:r>
    </w:p>
    <w:p>
      <w:pPr>
        <w:pStyle w:val="ListBullet"/>
        <w:spacing w:after="80"/>
      </w:pPr>
      <w:r>
        <w:rPr>
          <w:sz w:val="22"/>
        </w:rPr>
        <w:t>Total bundled price should be lower than the customer's combined cost of Megaport + their own last-mile circuit from the fiber operator, but the discount should be modest (10-20%), not aggressive.</w:t>
      </w:r>
    </w:p>
    <w:p>
      <w:pPr>
        <w:pStyle w:val="ListBullet"/>
        <w:spacing w:after="80"/>
      </w:pPr>
      <w:r>
        <w:rPr>
          <w:sz w:val="22"/>
        </w:rPr>
        <w:t>Contract terms include an MRC adjustment clause (60-90 day notice) to protect against upstream cost changes.</w:t>
      </w:r>
    </w:p>
    <w:p>
      <w:pPr>
        <w:pStyle w:val="ListBullet"/>
        <w:spacing w:after="80"/>
      </w:pPr>
      <w:r>
        <w:rPr>
          <w:sz w:val="22"/>
        </w:rPr>
        <w:t>Rev share to fiber operator sales teams handled via separate commission statement, invisible to the enterprise customer.</w:t>
      </w:r>
    </w:p>
    <w:p>
      <w:pPr>
        <w:pStyle w:val="Heading2"/>
      </w:pPr>
      <w:r>
        <w:rPr>
          <w:color w:val="1A1A2E"/>
        </w:rPr>
        <w:t>Wholesale Pricing Tiers (from Atlantech Model)</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t>Tier</w:t>
            </w:r>
          </w:p>
        </w:tc>
        <w:tc>
          <w:tcPr>
            <w:tcW w:type="dxa" w:w="1881"/>
          </w:tcPr>
          <w:p>
            <w:pPr>
              <w:jc w:val="center"/>
            </w:pPr>
            <w:r>
              <w:rPr>
                <w:b/>
                <w:sz w:val="20"/>
              </w:rPr>
              <w:t>Committed BW</w:t>
            </w:r>
          </w:p>
        </w:tc>
        <w:tc>
          <w:tcPr>
            <w:tcW w:type="dxa" w:w="1881"/>
          </w:tcPr>
          <w:p>
            <w:pPr>
              <w:jc w:val="center"/>
            </w:pPr>
            <w:r>
              <w:rPr>
                <w:b/>
                <w:sz w:val="20"/>
              </w:rPr>
              <w:t>Wholesale MRC</w:t>
            </w:r>
          </w:p>
        </w:tc>
        <w:tc>
          <w:tcPr>
            <w:tcW w:type="dxa" w:w="1881"/>
          </w:tcPr>
          <w:p>
            <w:pPr>
              <w:jc w:val="center"/>
            </w:pPr>
            <w:r>
              <w:rPr>
                <w:b/>
                <w:sz w:val="20"/>
              </w:rPr>
              <w:t>Megaport Equivalent</w:t>
            </w:r>
          </w:p>
        </w:tc>
        <w:tc>
          <w:tcPr>
            <w:tcW w:type="dxa" w:w="1881"/>
          </w:tcPr>
          <w:p>
            <w:pPr>
              <w:jc w:val="center"/>
            </w:pPr>
            <w:r>
              <w:rPr>
                <w:b/>
                <w:sz w:val="20"/>
              </w:rPr>
              <w:t>Enterprise Savings</w:t>
            </w:r>
          </w:p>
        </w:tc>
      </w:tr>
      <w:tr>
        <w:tc>
          <w:tcPr>
            <w:tcW w:type="dxa" w:w="1881"/>
          </w:tcPr>
          <w:p>
            <w:r>
              <w:rPr>
                <w:sz w:val="20"/>
              </w:rPr>
              <w:t>Starter</w:t>
            </w:r>
          </w:p>
        </w:tc>
        <w:tc>
          <w:tcPr>
            <w:tcW w:type="dxa" w:w="1881"/>
          </w:tcPr>
          <w:p>
            <w:r>
              <w:rPr>
                <w:sz w:val="20"/>
              </w:rPr>
              <w:t>500 Mbps</w:t>
            </w:r>
          </w:p>
        </w:tc>
        <w:tc>
          <w:tcPr>
            <w:tcW w:type="dxa" w:w="1881"/>
          </w:tcPr>
          <w:p>
            <w:r>
              <w:rPr>
                <w:sz w:val="20"/>
              </w:rPr>
              <w:t>$350</w:t>
            </w:r>
          </w:p>
        </w:tc>
        <w:tc>
          <w:tcPr>
            <w:tcW w:type="dxa" w:w="1881"/>
          </w:tcPr>
          <w:p>
            <w:r>
              <w:rPr>
                <w:sz w:val="20"/>
              </w:rPr>
              <w:t>$700</w:t>
            </w:r>
          </w:p>
        </w:tc>
        <w:tc>
          <w:tcPr>
            <w:tcW w:type="dxa" w:w="1881"/>
          </w:tcPr>
          <w:p>
            <w:r>
              <w:rPr>
                <w:sz w:val="20"/>
              </w:rPr>
              <w:t>50%</w:t>
            </w:r>
          </w:p>
        </w:tc>
      </w:tr>
      <w:tr>
        <w:tc>
          <w:tcPr>
            <w:tcW w:type="dxa" w:w="1881"/>
          </w:tcPr>
          <w:p>
            <w:r>
              <w:rPr>
                <w:sz w:val="20"/>
              </w:rPr>
              <w:t>Standard</w:t>
            </w:r>
          </w:p>
        </w:tc>
        <w:tc>
          <w:tcPr>
            <w:tcW w:type="dxa" w:w="1881"/>
          </w:tcPr>
          <w:p>
            <w:r>
              <w:rPr>
                <w:sz w:val="20"/>
              </w:rPr>
              <w:t>1 Gbps</w:t>
            </w:r>
          </w:p>
        </w:tc>
        <w:tc>
          <w:tcPr>
            <w:tcW w:type="dxa" w:w="1881"/>
          </w:tcPr>
          <w:p>
            <w:r>
              <w:rPr>
                <w:sz w:val="20"/>
              </w:rPr>
              <w:t>$550</w:t>
            </w:r>
          </w:p>
        </w:tc>
        <w:tc>
          <w:tcPr>
            <w:tcW w:type="dxa" w:w="1881"/>
          </w:tcPr>
          <w:p>
            <w:r>
              <w:rPr>
                <w:sz w:val="20"/>
              </w:rPr>
              <w:t>$1,000</w:t>
            </w:r>
          </w:p>
        </w:tc>
        <w:tc>
          <w:tcPr>
            <w:tcW w:type="dxa" w:w="1881"/>
          </w:tcPr>
          <w:p>
            <w:r>
              <w:rPr>
                <w:sz w:val="20"/>
              </w:rPr>
              <w:t>45%</w:t>
            </w:r>
          </w:p>
        </w:tc>
      </w:tr>
      <w:tr>
        <w:tc>
          <w:tcPr>
            <w:tcW w:type="dxa" w:w="1881"/>
          </w:tcPr>
          <w:p>
            <w:r>
              <w:rPr>
                <w:sz w:val="20"/>
              </w:rPr>
              <w:t>Business</w:t>
            </w:r>
          </w:p>
        </w:tc>
        <w:tc>
          <w:tcPr>
            <w:tcW w:type="dxa" w:w="1881"/>
          </w:tcPr>
          <w:p>
            <w:r>
              <w:rPr>
                <w:sz w:val="20"/>
              </w:rPr>
              <w:t>2 Gbps</w:t>
            </w:r>
          </w:p>
        </w:tc>
        <w:tc>
          <w:tcPr>
            <w:tcW w:type="dxa" w:w="1881"/>
          </w:tcPr>
          <w:p>
            <w:r>
              <w:rPr>
                <w:sz w:val="20"/>
              </w:rPr>
              <w:t>$900</w:t>
            </w:r>
          </w:p>
        </w:tc>
        <w:tc>
          <w:tcPr>
            <w:tcW w:type="dxa" w:w="1881"/>
          </w:tcPr>
          <w:p>
            <w:r>
              <w:rPr>
                <w:sz w:val="20"/>
              </w:rPr>
              <w:t>$1,400</w:t>
            </w:r>
          </w:p>
        </w:tc>
        <w:tc>
          <w:tcPr>
            <w:tcW w:type="dxa" w:w="1881"/>
          </w:tcPr>
          <w:p>
            <w:r>
              <w:rPr>
                <w:sz w:val="20"/>
              </w:rPr>
              <w:t>36%</w:t>
            </w:r>
          </w:p>
        </w:tc>
      </w:tr>
      <w:tr>
        <w:tc>
          <w:tcPr>
            <w:tcW w:type="dxa" w:w="1881"/>
          </w:tcPr>
          <w:p>
            <w:r>
              <w:rPr>
                <w:sz w:val="20"/>
              </w:rPr>
              <w:t>Enterprise</w:t>
            </w:r>
          </w:p>
        </w:tc>
        <w:tc>
          <w:tcPr>
            <w:tcW w:type="dxa" w:w="1881"/>
          </w:tcPr>
          <w:p>
            <w:r>
              <w:rPr>
                <w:sz w:val="20"/>
              </w:rPr>
              <w:t>5 Gbps</w:t>
            </w:r>
          </w:p>
        </w:tc>
        <w:tc>
          <w:tcPr>
            <w:tcW w:type="dxa" w:w="1881"/>
          </w:tcPr>
          <w:p>
            <w:r>
              <w:rPr>
                <w:sz w:val="20"/>
              </w:rPr>
              <w:t>$1,800</w:t>
            </w:r>
          </w:p>
        </w:tc>
        <w:tc>
          <w:tcPr>
            <w:tcW w:type="dxa" w:w="1881"/>
          </w:tcPr>
          <w:p>
            <w:r>
              <w:rPr>
                <w:sz w:val="20"/>
              </w:rPr>
              <w:t>$2,200</w:t>
            </w:r>
          </w:p>
        </w:tc>
        <w:tc>
          <w:tcPr>
            <w:tcW w:type="dxa" w:w="1881"/>
          </w:tcPr>
          <w:p>
            <w:r>
              <w:rPr>
                <w:sz w:val="20"/>
              </w:rPr>
              <w:t>18%</w:t>
            </w:r>
          </w:p>
        </w:tc>
      </w:tr>
    </w:tbl>
    <w:p/>
    <w:p>
      <w:pPr>
        <w:spacing w:after="120" w:before="0"/>
      </w:pPr>
      <w:r>
        <w:rPr>
          <w:b w:val="0"/>
          <w:i/>
          <w:sz w:val="22"/>
        </w:rPr>
        <w:t>Note: These wholesale prices from the Atlantech model should be treated as a floor, not the LMaaS retail price. LMaaS retail pricing should capture more of the spread between wholesale cost and Megaport equivalent, reflecting the premium value of end-to-end managed private connectivity.</w:t>
      </w:r>
    </w:p>
    <w:p>
      <w:r>
        <w:br w:type="page"/>
      </w:r>
    </w:p>
    <w:p>
      <w:pPr>
        <w:pStyle w:val="Heading1"/>
      </w:pPr>
      <w:r>
        <w:rPr>
          <w:color w:val="1A1A2E"/>
        </w:rPr>
        <w:t>The Hybrid Model: LMaaS + PBC Subscriptions</w:t>
      </w:r>
    </w:p>
    <w:p>
      <w:pPr>
        <w:spacing w:after="120" w:before="0"/>
      </w:pPr>
      <w:r>
        <w:rPr>
          <w:b w:val="0"/>
          <w:i w:val="0"/>
          <w:sz w:val="22"/>
        </w:rPr>
        <w:t>MaiaEdge does not need to choose between LMaaS and the existing PBC subscription model. The two coexist through geographic segmentation:</w:t>
      </w:r>
    </w:p>
    <w:p>
      <w:pPr>
        <w:pStyle w:val="Heading2"/>
      </w:pPr>
      <w:r>
        <w:rPr>
          <w:color w:val="1A1A2E"/>
        </w:rPr>
        <w:t>MaiaEdge-Owned (Major Hubs)</w:t>
      </w:r>
    </w:p>
    <w:p>
      <w:pPr>
        <w:spacing w:after="120" w:before="0"/>
      </w:pPr>
      <w:r>
        <w:rPr>
          <w:b w:val="0"/>
          <w:i w:val="0"/>
          <w:sz w:val="22"/>
        </w:rPr>
        <w:t>Ashburn, LA, Chicago, Dallas, NYC -- the top 5-8 AWS Direct Connect metros where customer density is achievable. MaiaEdge deploys capital, owns the full stack, and runs LMaaS directly. For the major cloud onramp locations, MaiaEdge owns these to capture the full margin.</w:t>
      </w:r>
    </w:p>
    <w:p>
      <w:pPr>
        <w:pStyle w:val="Heading2"/>
      </w:pPr>
      <w:r>
        <w:rPr>
          <w:color w:val="1A1A2E"/>
        </w:rPr>
        <w:t>Partner-Operated (Secondary Markets)</w:t>
      </w:r>
    </w:p>
    <w:p>
      <w:pPr>
        <w:spacing w:after="120" w:before="0"/>
      </w:pPr>
      <w:r>
        <w:rPr>
          <w:b w:val="0"/>
          <w:i w:val="0"/>
          <w:sz w:val="22"/>
        </w:rPr>
        <w:t>Carriers and resellers buy PBC subscriptions and build their own onramps in markets MaiaEdge hasn't prioritized. Partners are incentivized to go where MaiaEdge isn't. Channel conflict is minimized. Partners can federate with MaiaEdge's hub PBCs to provide their customers access to the full network.</w:t>
      </w:r>
    </w:p>
    <w:p>
      <w:pPr>
        <w:pStyle w:val="Heading2"/>
      </w:pPr>
      <w:r>
        <w:rPr>
          <w:color w:val="1A1A2E"/>
        </w:rPr>
        <w:t>Channel Protection</w:t>
      </w:r>
    </w:p>
    <w:p>
      <w:pPr>
        <w:spacing w:after="120" w:before="0"/>
      </w:pPr>
      <w:r>
        <w:rPr>
          <w:b w:val="0"/>
          <w:i w:val="0"/>
          <w:sz w:val="22"/>
        </w:rPr>
        <w:t>Partners need geographic clarity. PBC partner agreements should include right-of-first-refusal or territory exclusivity language for markets where the partner has invested in buildout. This protects the channel relationship while preserving MaiaEdge's ability to enter new hub markets as demand justifies.</w:t>
      </w:r>
    </w:p>
    <w:p>
      <w:r>
        <w:br w:type="page"/>
      </w:r>
    </w:p>
    <w:p>
      <w:pPr>
        <w:pStyle w:val="Heading1"/>
      </w:pPr>
      <w:r>
        <w:rPr>
          <w:color w:val="1A1A2E"/>
        </w:rPr>
        <w:t>The Ecosystem Play: From Managed Service to Platform</w:t>
      </w:r>
    </w:p>
    <w:p>
      <w:pPr>
        <w:spacing w:after="120" w:before="0"/>
      </w:pPr>
      <w:r>
        <w:rPr>
          <w:b w:val="0"/>
          <w:i w:val="0"/>
          <w:sz w:val="22"/>
        </w:rPr>
        <w:t>LMaaS cloud onramp revenue is the near-term business. But what LMaaS builds underneath that revenue is far more valuable: a federated network of independent fiber operators, all interconnected through MaiaEdge PBCs, forming a private networking marketplace that no single carrier can replicate.</w:t>
      </w:r>
    </w:p>
    <w:p>
      <w:pPr>
        <w:pStyle w:val="Heading2"/>
      </w:pPr>
      <w:r>
        <w:rPr>
          <w:color w:val="1A1A2E"/>
        </w:rPr>
        <w:t>How the Marketplace Emerges</w:t>
      </w:r>
    </w:p>
    <w:p>
      <w:pPr>
        <w:spacing w:after="120" w:before="0"/>
      </w:pPr>
      <w:r>
        <w:rPr>
          <w:b w:val="0"/>
          <w:i w:val="0"/>
          <w:sz w:val="22"/>
        </w:rPr>
        <w:t>Every fiber operator MaiaEdge signs for LMaaS adds their footprint to the federation. Within 10-15 fiber operator relationships, MaiaEdge has private, federated coverage across a significant portion of the US. Once multiple fiber operators are on the network, services become possible that none of them could offer alone:</w:t>
      </w:r>
    </w:p>
    <w:p>
      <w:pPr>
        <w:pStyle w:val="ListBullet"/>
        <w:spacing w:after="80"/>
      </w:pPr>
      <w:r>
        <w:rPr>
          <w:sz w:val="22"/>
        </w:rPr>
        <w:t>Any-to-any enterprise connectivity: An enterprise in Minneapolis (Arvig) can get a private path to an enterprise in Virginia (Segra) -- routed across the federation without touching the public internet.</w:t>
      </w:r>
    </w:p>
    <w:p>
      <w:pPr>
        <w:pStyle w:val="ListBullet"/>
        <w:spacing w:after="80"/>
      </w:pPr>
      <w:r>
        <w:rPr>
          <w:sz w:val="22"/>
        </w:rPr>
        <w:t>NeoCloud private access: GPU cloud providers become destinations on the federation, offering enterprise customers private, low-latency paths to compute resources.</w:t>
      </w:r>
    </w:p>
    <w:p>
      <w:pPr>
        <w:pStyle w:val="ListBullet"/>
        <w:spacing w:after="80"/>
      </w:pPr>
      <w:r>
        <w:rPr>
          <w:sz w:val="22"/>
        </w:rPr>
        <w:t>Multi-cloud routing: Private connectivity to AWS, Azure, and Google Cloud across federated POPs, managed as a single service.</w:t>
      </w:r>
    </w:p>
    <w:p>
      <w:pPr>
        <w:pStyle w:val="ListBullet"/>
        <w:spacing w:after="80"/>
      </w:pPr>
      <w:r>
        <w:rPr>
          <w:sz w:val="22"/>
        </w:rPr>
        <w:t>Regulated industry connectivity: Private, deterministic paths between locations served by different regional fiber operators, meeting HIPAA, SOC2, and financial compliance requirements.</w:t>
      </w:r>
    </w:p>
    <w:p>
      <w:pPr>
        <w:pStyle w:val="Heading2"/>
      </w:pPr>
      <w:r>
        <w:rPr>
          <w:color w:val="1A1A2E"/>
        </w:rPr>
        <w:t>Network Effects</w:t>
      </w:r>
    </w:p>
    <w:p>
      <w:pPr>
        <w:spacing w:after="120" w:before="0"/>
      </w:pPr>
      <w:r>
        <w:rPr>
          <w:b w:val="0"/>
          <w:i w:val="0"/>
          <w:sz w:val="22"/>
        </w:rPr>
        <w:t>The value of the federated network scales with the square of the number of participants (Metcalfe's law). Each new fiber operator makes the network more valuable for every existing fiber operator's customers. Each new enterprise customer creates demand that pulls the next fiber operator in.</w:t>
      </w:r>
    </w:p>
    <w:p>
      <w:pPr>
        <w:spacing w:after="120" w:before="0"/>
      </w:pPr>
      <w:r>
        <w:rPr>
          <w:b w:val="0"/>
          <w:i w:val="0"/>
          <w:sz w:val="22"/>
        </w:rPr>
        <w:t>The analogy: Visa did not replace the banks. Visa built the network that made every bank more valuable and took a margin on every transaction that crossed the network. MaiaEdge does not replace the fiber operators -- it builds the federation that makes each operator's infrastructure more valuable and earns on every service that traverses the fabric.</w:t>
      </w:r>
    </w:p>
    <w:p>
      <w:pPr>
        <w:spacing w:after="120" w:before="0"/>
      </w:pPr>
      <w:r>
        <w:rPr>
          <w:b w:val="0"/>
          <w:i w:val="0"/>
          <w:sz w:val="22"/>
        </w:rPr>
        <w:t>At 5 fiber operators, LMaaS is a managed cloud onramp service. At 20+ fiber operators with hundreds of enterprise customers, it is a private networking marketplace. The economics shift from per-circuit MRC to platform transaction revenue -- and the valuation multiples shift accordingly.</w:t>
      </w:r>
    </w:p>
    <w:p>
      <w:r>
        <w:br w:type="page"/>
      </w:r>
    </w:p>
    <w:p>
      <w:pPr>
        <w:pStyle w:val="Heading1"/>
      </w:pPr>
      <w:r>
        <w:rPr>
          <w:color w:val="1A1A2E"/>
        </w:rPr>
        <w:t>Distributed AI: The Macro Trend That Makes LMaaS Inevitable</w:t>
      </w:r>
    </w:p>
    <w:p>
      <w:pPr>
        <w:spacing w:after="120" w:before="0"/>
      </w:pPr>
      <w:r>
        <w:rPr>
          <w:b w:val="0"/>
          <w:i w:val="0"/>
          <w:sz w:val="22"/>
        </w:rPr>
        <w:t>The shift from centralized AI training to distributed AI inference is the most significant infrastructure trend in the industry -- and it creates massive demand for exactly what LMaaS provides.</w:t>
      </w:r>
    </w:p>
    <w:p>
      <w:pPr>
        <w:pStyle w:val="Heading2"/>
      </w:pPr>
      <w:r>
        <w:rPr>
          <w:color w:val="1A1A2E"/>
        </w:rPr>
        <w:t>Market Data</w:t>
      </w:r>
    </w:p>
    <w:p>
      <w:pPr>
        <w:pStyle w:val="ListBullet"/>
        <w:spacing w:after="80"/>
      </w:pPr>
      <w:r>
        <w:rPr>
          <w:sz w:val="22"/>
        </w:rPr>
        <w:t>Inference workloads: two-thirds of all compute by end of 2026, up from one-third in 2023 (Deloitte)</w:t>
      </w:r>
    </w:p>
    <w:p>
      <w:pPr>
        <w:pStyle w:val="ListBullet"/>
        <w:spacing w:after="80"/>
      </w:pPr>
      <w:r>
        <w:rPr>
          <w:sz w:val="22"/>
        </w:rPr>
        <w:t>80% of enterprises expected to deploy distributed edge AI infrastructure by 2027 (IDC)</w:t>
      </w:r>
    </w:p>
    <w:p>
      <w:pPr>
        <w:pStyle w:val="ListBullet"/>
        <w:spacing w:after="80"/>
      </w:pPr>
      <w:r>
        <w:rPr>
          <w:sz w:val="22"/>
        </w:rPr>
        <w:t>Edge computing spend forecast: $378 billion by 2028 (IDC)</w:t>
      </w:r>
    </w:p>
    <w:p>
      <w:pPr>
        <w:pStyle w:val="ListBullet"/>
        <w:spacing w:after="80"/>
      </w:pPr>
      <w:r>
        <w:rPr>
          <w:sz w:val="22"/>
        </w:rPr>
        <w:t>NeoCloud GPUaaS revenue: $42 billion (2025), forecast to surpass $250 billion by 2030</w:t>
      </w:r>
    </w:p>
    <w:p>
      <w:pPr>
        <w:pStyle w:val="ListBullet"/>
        <w:spacing w:after="80"/>
      </w:pPr>
      <w:r>
        <w:rPr>
          <w:sz w:val="22"/>
        </w:rPr>
        <w:t>Comcast distributed AI grid benchmarks: cost-per-token reductions of up to 76% vs. centralized deployments</w:t>
      </w:r>
    </w:p>
    <w:p>
      <w:pPr>
        <w:pStyle w:val="Heading2"/>
      </w:pPr>
      <w:r>
        <w:rPr>
          <w:color w:val="1A1A2E"/>
        </w:rPr>
        <w:t>Industry Momentum (March 2026)</w:t>
      </w:r>
    </w:p>
    <w:p>
      <w:pPr>
        <w:pStyle w:val="ListBullet"/>
        <w:spacing w:after="80"/>
      </w:pPr>
      <w:r>
        <w:rPr>
          <w:sz w:val="22"/>
        </w:rPr>
        <w:t>NVIDIA AI Grid (GTC, March 19): Reference architecture for distributing inference across telecom networks. AT&amp;T, Spectrum, and four other major operators deploying. Requires low-latency, deterministic connectivity between inference nodes and enterprises -- but does not build the network layer.</w:t>
      </w:r>
    </w:p>
    <w:p>
      <w:pPr>
        <w:pStyle w:val="ListBullet"/>
        <w:spacing w:after="80"/>
      </w:pPr>
      <w:r>
        <w:rPr>
          <w:sz w:val="22"/>
        </w:rPr>
        <w:t>Equinix Distributed AI Hub (March 11): Framework for enterprises to connect to NeoCloud providers through private interconnection at 280 data centers.</w:t>
      </w:r>
    </w:p>
    <w:p>
      <w:pPr>
        <w:pStyle w:val="ListBullet"/>
        <w:spacing w:after="80"/>
      </w:pPr>
      <w:r>
        <w:rPr>
          <w:sz w:val="22"/>
        </w:rPr>
        <w:t>HPE AI Grid: Connecting distributed AI factories and inference clusters across regional and far-edge sites.</w:t>
      </w:r>
    </w:p>
    <w:p>
      <w:pPr>
        <w:pStyle w:val="ListBullet"/>
        <w:spacing w:after="80"/>
      </w:pPr>
      <w:r>
        <w:rPr>
          <w:sz w:val="22"/>
        </w:rPr>
        <w:t>Verizon: Publicly positioned metro fiber and private 5G as the connectivity layer for enterprise AI inference.</w:t>
      </w:r>
    </w:p>
    <w:p>
      <w:pPr>
        <w:pStyle w:val="Heading2"/>
      </w:pPr>
      <w:r>
        <w:rPr>
          <w:color w:val="1A1A2E"/>
        </w:rPr>
        <w:t>The NeoCloud GTM Opportunity</w:t>
      </w:r>
    </w:p>
    <w:p>
      <w:pPr>
        <w:spacing w:after="120" w:before="0"/>
      </w:pPr>
      <w:r>
        <w:rPr>
          <w:b w:val="0"/>
          <w:i w:val="0"/>
          <w:sz w:val="22"/>
        </w:rPr>
        <w:t>LMaaS enables a fundamentally different sales conversation with NeoCloud providers (Together.ai, RunPod, Lambda, Inference.net, Modal, CoreWeave):</w:t>
      </w:r>
    </w:p>
    <w:p>
      <w:pPr>
        <w:spacing w:after="120" w:before="0"/>
      </w:pPr>
      <w:r>
        <w:rPr>
          <w:b w:val="0"/>
          <w:i/>
          <w:sz w:val="22"/>
        </w:rPr>
        <w:t>Current approach: 'Buy our PBC to improve your network observability.'</w:t>
      </w:r>
    </w:p>
    <w:p>
      <w:pPr>
        <w:spacing w:after="120" w:before="0"/>
      </w:pPr>
      <w:r>
        <w:rPr>
          <w:b w:val="0"/>
          <w:i/>
          <w:sz w:val="22"/>
        </w:rPr>
        <w:t>LMaaS approach: 'We bring you enterprise customers on private, low-latency paths. Your customers get better performance, lower egress costs, and compliance-ready connectivity. You get stickier customers.'</w:t>
      </w:r>
    </w:p>
    <w:p>
      <w:pPr>
        <w:spacing w:after="120" w:before="0"/>
      </w:pPr>
      <w:r>
        <w:rPr>
          <w:b w:val="0"/>
          <w:i w:val="0"/>
          <w:sz w:val="22"/>
        </w:rPr>
        <w:t>The NeoCloud becomes a destination on the MaiaEdge federation. Their sales team tells enterprise prospects 'you can get private, dedicated access to our GPU clusters through our MaiaEdge partnership.' Those enterprises need eLines from fiber operators. The fiber operator earns revenue. MaiaEdge earns MRC. The NeoCloud gets stickier customers. A three-sided value creation loop.</w:t>
      </w:r>
    </w:p>
    <w:p>
      <w:r>
        <w:br w:type="page"/>
      </w:r>
    </w:p>
    <w:p>
      <w:pPr>
        <w:pStyle w:val="Heading1"/>
      </w:pPr>
      <w:r>
        <w:rPr>
          <w:color w:val="1A1A2E"/>
        </w:rPr>
        <w:t>Competitive Landscape</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t>Provider</w:t>
            </w:r>
          </w:p>
        </w:tc>
        <w:tc>
          <w:tcPr>
            <w:tcW w:type="dxa" w:w="1881"/>
          </w:tcPr>
          <w:p>
            <w:pPr>
              <w:jc w:val="center"/>
            </w:pPr>
            <w:r>
              <w:rPr>
                <w:b/>
                <w:sz w:val="20"/>
              </w:rPr>
              <w:t>Model</w:t>
            </w:r>
          </w:p>
        </w:tc>
        <w:tc>
          <w:tcPr>
            <w:tcW w:type="dxa" w:w="1881"/>
          </w:tcPr>
          <w:p>
            <w:pPr>
              <w:jc w:val="center"/>
            </w:pPr>
            <w:r>
              <w:rPr>
                <w:b/>
                <w:sz w:val="20"/>
              </w:rPr>
              <w:t>Last Mile?</w:t>
            </w:r>
          </w:p>
        </w:tc>
        <w:tc>
          <w:tcPr>
            <w:tcW w:type="dxa" w:w="1881"/>
          </w:tcPr>
          <w:p>
            <w:pPr>
              <w:jc w:val="center"/>
            </w:pPr>
            <w:r>
              <w:rPr>
                <w:b/>
                <w:sz w:val="20"/>
              </w:rPr>
              <w:t>Prerequisites</w:t>
            </w:r>
          </w:p>
        </w:tc>
        <w:tc>
          <w:tcPr>
            <w:tcW w:type="dxa" w:w="1881"/>
          </w:tcPr>
          <w:p>
            <w:pPr>
              <w:jc w:val="center"/>
            </w:pPr>
            <w:r>
              <w:rPr>
                <w:b/>
                <w:sz w:val="20"/>
              </w:rPr>
              <w:t>Key Limitation</w:t>
            </w:r>
          </w:p>
        </w:tc>
      </w:tr>
      <w:tr>
        <w:tc>
          <w:tcPr>
            <w:tcW w:type="dxa" w:w="1881"/>
          </w:tcPr>
          <w:p>
            <w:r>
              <w:rPr>
                <w:sz w:val="20"/>
              </w:rPr>
              <w:t>Megaport</w:t>
            </w:r>
          </w:p>
        </w:tc>
        <w:tc>
          <w:tcPr>
            <w:tcW w:type="dxa" w:w="1881"/>
          </w:tcPr>
          <w:p>
            <w:r>
              <w:rPr>
                <w:sz w:val="20"/>
              </w:rPr>
              <w:t>Virtual cross-connects, 700+ DCs</w:t>
            </w:r>
          </w:p>
        </w:tc>
        <w:tc>
          <w:tcPr>
            <w:tcW w:type="dxa" w:w="1881"/>
          </w:tcPr>
          <w:p>
            <w:r>
              <w:rPr>
                <w:sz w:val="20"/>
              </w:rPr>
              <w:t>No</w:t>
            </w:r>
          </w:p>
        </w:tc>
        <w:tc>
          <w:tcPr>
            <w:tcW w:type="dxa" w:w="1881"/>
          </w:tcPr>
          <w:p>
            <w:r>
              <w:rPr>
                <w:sz w:val="20"/>
              </w:rPr>
              <w:t>Customer reaches Megaport DC</w:t>
            </w:r>
          </w:p>
        </w:tc>
        <w:tc>
          <w:tcPr>
            <w:tcW w:type="dxa" w:w="1881"/>
          </w:tcPr>
          <w:p>
            <w:r>
              <w:rPr>
                <w:sz w:val="20"/>
              </w:rPr>
              <w:t>No last mile; high per-Mbps cost</w:t>
            </w:r>
          </w:p>
        </w:tc>
      </w:tr>
      <w:tr>
        <w:tc>
          <w:tcPr>
            <w:tcW w:type="dxa" w:w="1881"/>
          </w:tcPr>
          <w:p>
            <w:r>
              <w:rPr>
                <w:sz w:val="20"/>
              </w:rPr>
              <w:t>Lumen/PacketFabric</w:t>
            </w:r>
          </w:p>
        </w:tc>
        <w:tc>
          <w:tcPr>
            <w:tcW w:type="dxa" w:w="1881"/>
          </w:tcPr>
          <w:p>
            <w:r>
              <w:rPr>
                <w:sz w:val="20"/>
              </w:rPr>
              <w:t>NaaS + AWS Interconnect Last Mile</w:t>
            </w:r>
          </w:p>
        </w:tc>
        <w:tc>
          <w:tcPr>
            <w:tcW w:type="dxa" w:w="1881"/>
          </w:tcPr>
          <w:p>
            <w:r>
              <w:rPr>
                <w:sz w:val="20"/>
              </w:rPr>
              <w:t>Partnered</w:t>
            </w:r>
          </w:p>
        </w:tc>
        <w:tc>
          <w:tcPr>
            <w:tcW w:type="dxa" w:w="1881"/>
          </w:tcPr>
          <w:p>
            <w:r>
              <w:rPr>
                <w:sz w:val="20"/>
              </w:rPr>
              <w:t>None (managed)</w:t>
            </w:r>
          </w:p>
        </w:tc>
        <w:tc>
          <w:tcPr>
            <w:tcW w:type="dxa" w:w="1881"/>
          </w:tcPr>
          <w:p>
            <w:r>
              <w:rPr>
                <w:sz w:val="20"/>
              </w:rPr>
              <w:t>Single carrier; not federated</w:t>
            </w:r>
          </w:p>
        </w:tc>
      </w:tr>
      <w:tr>
        <w:tc>
          <w:tcPr>
            <w:tcW w:type="dxa" w:w="1881"/>
          </w:tcPr>
          <w:p>
            <w:r>
              <w:rPr>
                <w:sz w:val="20"/>
              </w:rPr>
              <w:t>AT&amp;T NetBond</w:t>
            </w:r>
          </w:p>
        </w:tc>
        <w:tc>
          <w:tcPr>
            <w:tcW w:type="dxa" w:w="1881"/>
          </w:tcPr>
          <w:p>
            <w:r>
              <w:rPr>
                <w:sz w:val="20"/>
              </w:rPr>
              <w:t>Multi-cloud on MPLS VPN</w:t>
            </w:r>
          </w:p>
        </w:tc>
        <w:tc>
          <w:tcPr>
            <w:tcW w:type="dxa" w:w="1881"/>
          </w:tcPr>
          <w:p>
            <w:r>
              <w:rPr>
                <w:sz w:val="20"/>
              </w:rPr>
              <w:t>Q2 2026 (AWS preview)</w:t>
            </w:r>
          </w:p>
        </w:tc>
        <w:tc>
          <w:tcPr>
            <w:tcW w:type="dxa" w:w="1881"/>
          </w:tcPr>
          <w:p>
            <w:r>
              <w:rPr>
                <w:sz w:val="20"/>
              </w:rPr>
              <w:t>AT&amp;T MPLS VPN required</w:t>
            </w:r>
          </w:p>
        </w:tc>
        <w:tc>
          <w:tcPr>
            <w:tcW w:type="dxa" w:w="1881"/>
          </w:tcPr>
          <w:p>
            <w:r>
              <w:rPr>
                <w:sz w:val="20"/>
              </w:rPr>
              <w:t>Locked to AT&amp;T network</w:t>
            </w:r>
          </w:p>
        </w:tc>
      </w:tr>
      <w:tr>
        <w:tc>
          <w:tcPr>
            <w:tcW w:type="dxa" w:w="1881"/>
          </w:tcPr>
          <w:p>
            <w:r>
              <w:rPr>
                <w:sz w:val="20"/>
              </w:rPr>
              <w:t>Verizon SCI</w:t>
            </w:r>
          </w:p>
        </w:tc>
        <w:tc>
          <w:tcPr>
            <w:tcW w:type="dxa" w:w="1881"/>
          </w:tcPr>
          <w:p>
            <w:r>
              <w:rPr>
                <w:sz w:val="20"/>
              </w:rPr>
              <w:t>Cloud connect on Verizon WAN</w:t>
            </w:r>
          </w:p>
        </w:tc>
        <w:tc>
          <w:tcPr>
            <w:tcW w:type="dxa" w:w="1881"/>
          </w:tcPr>
          <w:p>
            <w:r>
              <w:rPr>
                <w:sz w:val="20"/>
              </w:rPr>
              <w:t>No</w:t>
            </w:r>
          </w:p>
        </w:tc>
        <w:tc>
          <w:tcPr>
            <w:tcW w:type="dxa" w:w="1881"/>
          </w:tcPr>
          <w:p>
            <w:r>
              <w:rPr>
                <w:sz w:val="20"/>
              </w:rPr>
              <w:t>Verizon network required</w:t>
            </w:r>
          </w:p>
        </w:tc>
        <w:tc>
          <w:tcPr>
            <w:tcW w:type="dxa" w:w="1881"/>
          </w:tcPr>
          <w:p>
            <w:r>
              <w:rPr>
                <w:sz w:val="20"/>
              </w:rPr>
              <w:t>Locked to Verizon network</w:t>
            </w:r>
          </w:p>
        </w:tc>
      </w:tr>
      <w:tr>
        <w:tc>
          <w:tcPr>
            <w:tcW w:type="dxa" w:w="1881"/>
          </w:tcPr>
          <w:p>
            <w:r>
              <w:rPr>
                <w:sz w:val="20"/>
              </w:rPr>
              <w:t>LMaaS</w:t>
            </w:r>
          </w:p>
        </w:tc>
        <w:tc>
          <w:tcPr>
            <w:tcW w:type="dxa" w:w="1881"/>
          </w:tcPr>
          <w:p>
            <w:r>
              <w:rPr>
                <w:sz w:val="20"/>
              </w:rPr>
              <w:t>Federated fiber operator mesh</w:t>
            </w:r>
          </w:p>
        </w:tc>
        <w:tc>
          <w:tcPr>
            <w:tcW w:type="dxa" w:w="1881"/>
          </w:tcPr>
          <w:p>
            <w:r>
              <w:rPr>
                <w:sz w:val="20"/>
              </w:rPr>
              <w:t>Yes (core value)</w:t>
            </w:r>
          </w:p>
        </w:tc>
        <w:tc>
          <w:tcPr>
            <w:tcW w:type="dxa" w:w="1881"/>
          </w:tcPr>
          <w:p>
            <w:r>
              <w:rPr>
                <w:sz w:val="20"/>
              </w:rPr>
              <w:t>Fiber drop to building</w:t>
            </w:r>
          </w:p>
        </w:tc>
        <w:tc>
          <w:tcPr>
            <w:tcW w:type="dxa" w:w="1881"/>
          </w:tcPr>
          <w:p>
            <w:r>
              <w:rPr>
                <w:sz w:val="20"/>
              </w:rPr>
              <w:t>Requires fiber operator agreements</w:t>
            </w:r>
          </w:p>
        </w:tc>
      </w:tr>
    </w:tbl>
    <w:p/>
    <w:p>
      <w:pPr>
        <w:pStyle w:val="Heading2"/>
      </w:pPr>
      <w:r>
        <w:rPr>
          <w:color w:val="1A1A2E"/>
        </w:rPr>
        <w:t>Durable Differentiation</w:t>
      </w:r>
    </w:p>
    <w:p>
      <w:pPr>
        <w:pStyle w:val="ListBullet"/>
        <w:spacing w:after="80"/>
      </w:pPr>
      <w:r>
        <w:rPr>
          <w:sz w:val="22"/>
        </w:rPr>
        <w:t>End-to-end private path from NID to cloud -- no other provider delivers this through a single commercial relationship.</w:t>
      </w:r>
    </w:p>
    <w:p>
      <w:pPr>
        <w:pStyle w:val="ListBullet"/>
        <w:spacing w:after="80"/>
      </w:pPr>
      <w:r>
        <w:rPr>
          <w:sz w:val="22"/>
        </w:rPr>
        <w:t>No prerequisite WAN -- enterprise needs only a fiber drop, which the fiber operator likely already has.</w:t>
      </w:r>
    </w:p>
    <w:p>
      <w:pPr>
        <w:pStyle w:val="ListBullet"/>
        <w:spacing w:after="80"/>
      </w:pPr>
      <w:r>
        <w:rPr>
          <w:sz w:val="22"/>
        </w:rPr>
        <w:t>Fiber operator channel -- embedded distribution through motivated sales teams earning across multiple product lines.</w:t>
      </w:r>
    </w:p>
    <w:p>
      <w:pPr>
        <w:pStyle w:val="ListBullet"/>
        <w:spacing w:after="80"/>
      </w:pPr>
      <w:r>
        <w:rPr>
          <w:sz w:val="22"/>
        </w:rPr>
        <w:t>Federation / marketplace -- any-to-any mesh connectivity. AWS, Lumen, and Megaport operate spoke-and-hub or single-carrier models.</w:t>
      </w:r>
    </w:p>
    <w:p>
      <w:pPr>
        <w:pStyle w:val="ListBullet"/>
        <w:spacing w:after="80"/>
      </w:pPr>
      <w:r>
        <w:rPr>
          <w:sz w:val="22"/>
        </w:rPr>
        <w:t>PBC technology moat -- multi-tenant slicing and oversubscription enable structural cost advantages.</w:t>
      </w:r>
    </w:p>
    <w:p>
      <w:pPr>
        <w:pStyle w:val="Heading2"/>
      </w:pPr>
      <w:r>
        <w:rPr>
          <w:color w:val="1A1A2E"/>
        </w:rPr>
        <w:t>Key Competitive Risk</w:t>
      </w:r>
    </w:p>
    <w:p>
      <w:pPr>
        <w:spacing w:after="120" w:before="0"/>
      </w:pPr>
      <w:r>
        <w:rPr>
          <w:b w:val="0"/>
          <w:i w:val="0"/>
          <w:sz w:val="22"/>
        </w:rPr>
        <w:t>AWS Interconnect Last Mile (gated preview with Lumen, AT&amp;T joining Q2 2026) is directly targeting the same last-mile gap. If AWS builds this broadly with enough carrier partners, the 'last mile is the customer's problem' positioning erodes. However, AWS Interconnect is a spoke-and-hub model connecting enterprises to AWS only. It does not provide any-to-any federation, NeoCloud access, or multi-provider mesh connectivity. The durable MaiaEdge positioning is the federated marketplace, not just the last-mile solve.</w:t>
      </w:r>
    </w:p>
    <w:p>
      <w:r>
        <w:br w:type="page"/>
      </w:r>
    </w:p>
    <w:p>
      <w:pPr>
        <w:pStyle w:val="Heading1"/>
      </w:pPr>
      <w:r>
        <w:rPr>
          <w:color w:val="1A1A2E"/>
        </w:rPr>
        <w:t>Investor Framing: B-Round Narrative</w:t>
      </w:r>
    </w:p>
    <w:p>
      <w:pPr>
        <w:pStyle w:val="Heading2"/>
      </w:pPr>
      <w:r>
        <w:rPr>
          <w:color w:val="1A1A2E"/>
        </w:rPr>
        <w:t>Primary Comparable: Twilio</w:t>
      </w:r>
    </w:p>
    <w:p>
      <w:pPr>
        <w:spacing w:after="120" w:before="0"/>
      </w:pPr>
      <w:r>
        <w:rPr>
          <w:b w:val="0"/>
          <w:i w:val="0"/>
          <w:sz w:val="22"/>
        </w:rPr>
        <w:t>Twilio took carrier infrastructure -- telephone numbers, SMS routes, voice circuits -- locked inside telcos for decades, bought it wholesale, wrapped it in a programmable managed layer, and sold it to businesses at dramatically higher margins than the raw underlying capacity. Carriers became suppliers, not competitors. Series A at ~$3M valuation (2009), IPO at $1.2B (2016), peak $60B market cap (2021).</w:t>
      </w:r>
    </w:p>
    <w:p>
      <w:pPr>
        <w:spacing w:after="120" w:before="0"/>
      </w:pPr>
      <w:r>
        <w:rPr>
          <w:b w:val="0"/>
          <w:i w:val="0"/>
          <w:sz w:val="22"/>
        </w:rPr>
        <w:t>LMaaS does exactly this for enterprise private connectivity -- a market Twilio never addressed -- with fiber operators as the carrier layer and the PBC stack as the technology moat. And unlike Twilio, our suppliers are also our distribution channel.</w:t>
      </w:r>
    </w:p>
    <w:p>
      <w:pPr>
        <w:pStyle w:val="Heading2"/>
      </w:pPr>
      <w:r>
        <w:rPr>
          <w:color w:val="1A1A2E"/>
        </w:rPr>
        <w:t>Multiple Expansion Argument</w:t>
      </w:r>
    </w:p>
    <w:tbl>
      <w:tblPr>
        <w:tblStyle w:val="LightShading-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Business Type</w:t>
            </w:r>
          </w:p>
        </w:tc>
        <w:tc>
          <w:tcPr>
            <w:tcW w:type="dxa" w:w="4703"/>
          </w:tcPr>
          <w:p>
            <w:pPr>
              <w:jc w:val="center"/>
            </w:pPr>
            <w:r>
              <w:rPr>
                <w:b/>
                <w:sz w:val="20"/>
              </w:rPr>
              <w:t>Typical Revenue Multiple</w:t>
            </w:r>
          </w:p>
        </w:tc>
      </w:tr>
      <w:tr>
        <w:tc>
          <w:tcPr>
            <w:tcW w:type="dxa" w:w="4703"/>
          </w:tcPr>
          <w:p>
            <w:r>
              <w:rPr>
                <w:sz w:val="20"/>
              </w:rPr>
              <w:t>Traditional fiber operator / CLEC</w:t>
            </w:r>
          </w:p>
        </w:tc>
        <w:tc>
          <w:tcPr>
            <w:tcW w:type="dxa" w:w="4703"/>
          </w:tcPr>
          <w:p>
            <w:r>
              <w:rPr>
                <w:sz w:val="20"/>
              </w:rPr>
              <w:t>5-8x</w:t>
            </w:r>
          </w:p>
        </w:tc>
      </w:tr>
      <w:tr>
        <w:tc>
          <w:tcPr>
            <w:tcW w:type="dxa" w:w="4703"/>
          </w:tcPr>
          <w:p>
            <w:r>
              <w:rPr>
                <w:sz w:val="20"/>
              </w:rPr>
              <w:t>Managed services company</w:t>
            </w:r>
          </w:p>
        </w:tc>
        <w:tc>
          <w:tcPr>
            <w:tcW w:type="dxa" w:w="4703"/>
          </w:tcPr>
          <w:p>
            <w:r>
              <w:rPr>
                <w:sz w:val="20"/>
              </w:rPr>
              <w:t>8-12x</w:t>
            </w:r>
          </w:p>
        </w:tc>
      </w:tr>
      <w:tr>
        <w:tc>
          <w:tcPr>
            <w:tcW w:type="dxa" w:w="4703"/>
          </w:tcPr>
          <w:p>
            <w:r>
              <w:rPr>
                <w:sz w:val="20"/>
              </w:rPr>
              <w:t>SaaS / high-margin recurring revenue</w:t>
            </w:r>
          </w:p>
        </w:tc>
        <w:tc>
          <w:tcPr>
            <w:tcW w:type="dxa" w:w="4703"/>
          </w:tcPr>
          <w:p>
            <w:r>
              <w:rPr>
                <w:sz w:val="20"/>
              </w:rPr>
              <w:t>15-25x ARR</w:t>
            </w:r>
          </w:p>
        </w:tc>
      </w:tr>
      <w:tr>
        <w:tc>
          <w:tcPr>
            <w:tcW w:type="dxa" w:w="4703"/>
          </w:tcPr>
          <w:p>
            <w:r>
              <w:rPr>
                <w:sz w:val="20"/>
              </w:rPr>
              <w:t>Platform with network effects</w:t>
            </w:r>
          </w:p>
        </w:tc>
        <w:tc>
          <w:tcPr>
            <w:tcW w:type="dxa" w:w="4703"/>
          </w:tcPr>
          <w:p>
            <w:r>
              <w:rPr>
                <w:sz w:val="20"/>
              </w:rPr>
              <w:t>20-40x ARR</w:t>
            </w:r>
          </w:p>
        </w:tc>
      </w:tr>
    </w:tbl>
    <w:p/>
    <w:p>
      <w:pPr>
        <w:spacing w:after="120" w:before="0"/>
      </w:pPr>
      <w:r>
        <w:rPr>
          <w:b w:val="0"/>
          <w:i w:val="0"/>
          <w:sz w:val="22"/>
        </w:rPr>
        <w:t>LMaaS has 82-88% gross margins at scale, fully recurring MRC revenue, a land-and-expand motion, and compounding network effects from the federated marketplace. The market should value MaiaEdge like a software platform, not a carrier.</w:t>
      </w:r>
    </w:p>
    <w:p>
      <w:pPr>
        <w:pStyle w:val="Heading2"/>
      </w:pPr>
      <w:r>
        <w:rPr>
          <w:color w:val="1A1A2E"/>
        </w:rPr>
        <w:t>Supporting Comparables</w:t>
      </w:r>
    </w:p>
    <w:p>
      <w:pPr>
        <w:pStyle w:val="ListBullet"/>
        <w:spacing w:after="80"/>
      </w:pPr>
      <w:r>
        <w:rPr>
          <w:sz w:val="22"/>
        </w:rPr>
        <w:t>Cloudflare: Distributed network of networks, asset-light, 30-40x revenue at peak. LMaaS aggregates fiber operator infrastructure the same way.</w:t>
      </w:r>
    </w:p>
    <w:p>
      <w:pPr>
        <w:pStyle w:val="ListBullet"/>
        <w:spacing w:after="80"/>
      </w:pPr>
      <w:r>
        <w:rPr>
          <w:sz w:val="22"/>
        </w:rPr>
        <w:t>Zayo Group: Fiber aggregation through M&amp;A, went private at $14.5B. LMaaS achieves the same aggregation commercially with a fraction of the capital.</w:t>
      </w:r>
    </w:p>
    <w:p>
      <w:pPr>
        <w:pStyle w:val="ListBullet"/>
        <w:spacing w:after="80"/>
      </w:pPr>
      <w:r>
        <w:rPr>
          <w:sz w:val="22"/>
        </w:rPr>
        <w:t>Megaport: ~$400M market cap on ~$100M revenue. Closest market comp but does not solve the last mile or offer federation.</w:t>
      </w:r>
    </w:p>
    <w:p>
      <w:pPr>
        <w:pStyle w:val="ListBullet"/>
        <w:spacing w:after="80"/>
      </w:pPr>
      <w:r>
        <w:rPr>
          <w:sz w:val="22"/>
        </w:rPr>
        <w:t>Vonage / Bandwidth.com: Wrapped carrier infrastructure in software, both acquired at significant premiums by strategic buyers.</w:t>
      </w:r>
    </w:p>
    <w:p>
      <w:pPr>
        <w:pStyle w:val="Heading2"/>
      </w:pPr>
      <w:r>
        <w:rPr>
          <w:color w:val="1A1A2E"/>
        </w:rPr>
        <w:t>Strategic Acquirer Story</w:t>
      </w:r>
    </w:p>
    <w:p>
      <w:pPr>
        <w:spacing w:after="120" w:before="0"/>
      </w:pPr>
      <w:r>
        <w:rPr>
          <w:b w:val="0"/>
          <w:i w:val="0"/>
          <w:sz w:val="22"/>
        </w:rPr>
        <w:t>A nationally built LMaaS network with 20+ fiber operator relationships is exactly what Lumen (bought PacketFabric), EQT/Digital Bridge (took Zayo private at $14.5B), or Equinix (expanding services layer) would prefer to acquire rather than build.</w:t>
      </w:r>
    </w:p>
    <w:p>
      <w:pPr>
        <w:pStyle w:val="Heading2"/>
      </w:pPr>
      <w:r>
        <w:rPr>
          <w:color w:val="1A1A2E"/>
        </w:rPr>
        <w:t>The One-Liner</w:t>
      </w:r>
    </w:p>
    <w:p>
      <w:pPr>
        <w:spacing w:after="120" w:before="0"/>
      </w:pPr>
      <w:r>
        <w:rPr>
          <w:b w:val="0"/>
          <w:i/>
          <w:sz w:val="22"/>
        </w:rPr>
        <w:t>"Twilio proved that when you sit between carriers and enterprises and abstract the complexity, the market values your revenue like software even though your raw material is carrier infrastructure. We are doing that for enterprise private connectivity with fiber operators as our carrier layer and a PBC stack that no one else has. And unlike Twilio, our suppliers are also our distribution channel."</w:t>
      </w:r>
    </w:p>
    <w:p>
      <w:r>
        <w:br w:type="page"/>
      </w:r>
    </w:p>
    <w:p>
      <w:pPr>
        <w:pStyle w:val="Heading1"/>
      </w:pPr>
      <w:r>
        <w:rPr>
          <w:color w:val="1A1A2E"/>
        </w:rPr>
        <w:t>Capital Requirements</w:t>
      </w:r>
    </w:p>
    <w:p>
      <w:pPr>
        <w:pStyle w:val="Heading2"/>
      </w:pPr>
      <w:r>
        <w:rPr>
          <w:color w:val="1A1A2E"/>
        </w:rPr>
        <w:t>What B-Round Capital Buys</w:t>
      </w:r>
    </w:p>
    <w:p>
      <w:pPr>
        <w:spacing w:after="120" w:before="0"/>
      </w:pPr>
      <w:r>
        <w:rPr>
          <w:b w:val="0"/>
          <w:i w:val="0"/>
          <w:sz w:val="22"/>
        </w:rPr>
        <w:t>Infrastructure (modest): A 100G Ashburn POP costs $9,488/mo all-in at steady state. PBC hardware is one-time CapEx per POP. eLines and waves are variable costs triggered only when a customer signs -- largely self-funding from MRC day one. No pre-commitment to dark fiber or capacity.</w:t>
      </w:r>
    </w:p>
    <w:p>
      <w:pPr>
        <w:spacing w:after="120" w:before="0"/>
      </w:pPr>
      <w:r>
        <w:rPr>
          <w:b w:val="0"/>
          <w:i w:val="0"/>
          <w:sz w:val="22"/>
        </w:rPr>
        <w:t>Working capital gap (manageable): 3-5 months of fixed infrastructure costs per POP before break-even. Approximately $40-50K per POP. Across 5 major metro POPs: $200-250K in infrastructure working capital.</w:t>
      </w:r>
    </w:p>
    <w:p>
      <w:pPr>
        <w:spacing w:after="120" w:before="0"/>
      </w:pPr>
      <w:r>
        <w:rPr>
          <w:b w:val="0"/>
          <w:i w:val="0"/>
          <w:sz w:val="22"/>
        </w:rPr>
        <w:t>Headcount (the real deployment): Direct enterprise sales, provisioning operations, and BD to sign fiber operator wholesale agreements. This is the majority of the B-round use of funds.</w:t>
      </w:r>
    </w:p>
    <w:p>
      <w:pPr>
        <w:pStyle w:val="Heading2"/>
      </w:pPr>
      <w:r>
        <w:rPr>
          <w:color w:val="1A1A2E"/>
        </w:rPr>
        <w:t>Phased Execution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Phase</w:t>
            </w:r>
          </w:p>
        </w:tc>
        <w:tc>
          <w:tcPr>
            <w:tcW w:type="dxa" w:w="3135"/>
          </w:tcPr>
          <w:p>
            <w:pPr>
              <w:jc w:val="center"/>
            </w:pPr>
            <w:r>
              <w:rPr>
                <w:b/>
                <w:sz w:val="20"/>
              </w:rPr>
              <w:t>Scope</w:t>
            </w:r>
          </w:p>
        </w:tc>
        <w:tc>
          <w:tcPr>
            <w:tcW w:type="dxa" w:w="3135"/>
          </w:tcPr>
          <w:p>
            <w:pPr>
              <w:jc w:val="center"/>
            </w:pPr>
            <w:r>
              <w:rPr>
                <w:b/>
                <w:sz w:val="20"/>
              </w:rPr>
              <w:t>Key Milestones</w:t>
            </w:r>
          </w:p>
        </w:tc>
      </w:tr>
      <w:tr>
        <w:tc>
          <w:tcPr>
            <w:tcW w:type="dxa" w:w="3135"/>
          </w:tcPr>
          <w:p>
            <w:r>
              <w:rPr>
                <w:sz w:val="20"/>
              </w:rPr>
              <w:t>Phase 1: Prove</w:t>
            </w:r>
          </w:p>
        </w:tc>
        <w:tc>
          <w:tcPr>
            <w:tcW w:type="dxa" w:w="3135"/>
          </w:tcPr>
          <w:p>
            <w:r>
              <w:rPr>
                <w:sz w:val="20"/>
              </w:rPr>
              <w:t>1 POP (Ashburn)</w:t>
            </w:r>
          </w:p>
        </w:tc>
        <w:tc>
          <w:tcPr>
            <w:tcW w:type="dxa" w:w="3135"/>
          </w:tcPr>
          <w:p>
            <w:r>
              <w:rPr>
                <w:sz w:val="20"/>
              </w:rPr>
              <w:t>3 fiber operator agreements, 10-20 enterprise customers, unit economics validated</w:t>
            </w:r>
          </w:p>
        </w:tc>
      </w:tr>
      <w:tr>
        <w:tc>
          <w:tcPr>
            <w:tcW w:type="dxa" w:w="3135"/>
          </w:tcPr>
          <w:p>
            <w:r>
              <w:rPr>
                <w:sz w:val="20"/>
              </w:rPr>
              <w:t>Phase 2: Expand</w:t>
            </w:r>
          </w:p>
        </w:tc>
        <w:tc>
          <w:tcPr>
            <w:tcW w:type="dxa" w:w="3135"/>
          </w:tcPr>
          <w:p>
            <w:r>
              <w:rPr>
                <w:sz w:val="20"/>
              </w:rPr>
              <w:t>3-5 major metro POPs</w:t>
            </w:r>
          </w:p>
        </w:tc>
        <w:tc>
          <w:tcPr>
            <w:tcW w:type="dxa" w:w="3135"/>
          </w:tcPr>
          <w:p>
            <w:r>
              <w:rPr>
                <w:sz w:val="20"/>
              </w:rPr>
              <w:t>15-20 fiber operator relationships, top 10 markets covered</w:t>
            </w:r>
          </w:p>
        </w:tc>
      </w:tr>
      <w:tr>
        <w:tc>
          <w:tcPr>
            <w:tcW w:type="dxa" w:w="3135"/>
          </w:tcPr>
          <w:p>
            <w:r>
              <w:rPr>
                <w:sz w:val="20"/>
              </w:rPr>
              <w:t>Phase 3: Scale</w:t>
            </w:r>
          </w:p>
        </w:tc>
        <w:tc>
          <w:tcPr>
            <w:tcW w:type="dxa" w:w="3135"/>
          </w:tcPr>
          <w:p>
            <w:r>
              <w:rPr>
                <w:sz w:val="20"/>
              </w:rPr>
              <w:t>National coverage</w:t>
            </w:r>
          </w:p>
        </w:tc>
        <w:tc>
          <w:tcPr>
            <w:tcW w:type="dxa" w:w="3135"/>
          </w:tcPr>
          <w:p>
            <w:r>
              <w:rPr>
                <w:sz w:val="20"/>
              </w:rPr>
              <w:t>Federated marketplace active, NeoCloud GTM launched, international via IENTC model</w:t>
            </w:r>
          </w:p>
        </w:tc>
      </w:tr>
    </w:tbl>
    <w:p>
      <w:r>
        <w:br w:type="page"/>
      </w:r>
    </w:p>
    <w:p>
      <w:pPr>
        <w:pStyle w:val="Heading1"/>
      </w:pPr>
      <w:r>
        <w:rPr>
          <w:color w:val="1A1A2E"/>
        </w:rPr>
        <w:t>Risks and Open Questions</w:t>
      </w:r>
    </w:p>
    <w:p>
      <w:pPr>
        <w:pStyle w:val="Heading2"/>
      </w:pPr>
      <w:r>
        <w:rPr>
          <w:color w:val="1A1A2E"/>
        </w:rPr>
        <w:t>Business Model Risks</w:t>
      </w:r>
    </w:p>
    <w:p>
      <w:pPr>
        <w:pStyle w:val="ListBullet"/>
        <w:spacing w:after="80"/>
      </w:pPr>
      <w:r>
        <w:rPr>
          <w:sz w:val="22"/>
        </w:rPr>
        <w:t>Fiber operator wholesale agreement timeline: If signing takes 6-12 months per operator, the ramp to revenue is slower than infrastructure math suggests. Mitigation: target fiber operators with existing MaiaEdge relationships or warm introductions (Arvig, Segra, Consolidated).</w:t>
      </w:r>
    </w:p>
    <w:p>
      <w:pPr>
        <w:pStyle w:val="ListBullet"/>
        <w:spacing w:after="80"/>
      </w:pPr>
      <w:r>
        <w:rPr>
          <w:sz w:val="22"/>
        </w:rPr>
        <w:t>Operational lift: Becoming a service provider requires SLA management, provisioning, billing, and customer support capabilities MaiaEdge does not currently have. Mitigation: build vs. buy decision on billing platform (Zuora, Gotransverse); hire provisioning ops lead early in Phase 1.</w:t>
      </w:r>
    </w:p>
    <w:p>
      <w:pPr>
        <w:pStyle w:val="ListBullet"/>
        <w:spacing w:after="80"/>
      </w:pPr>
      <w:r>
        <w:rPr>
          <w:sz w:val="22"/>
        </w:rPr>
        <w:t>AWS Interconnect Last Mile: If AWS builds broad carrier coverage quickly, the 'nobody else solves the last mile' positioning erodes. Mitigation: the durable moat is federation and the marketplace, not just last-mile access. Accelerate fiber operator onboarding to build network effects before AWS matures.</w:t>
      </w:r>
    </w:p>
    <w:p>
      <w:pPr>
        <w:pStyle w:val="Heading2"/>
      </w:pPr>
      <w:r>
        <w:rPr>
          <w:color w:val="1A1A2E"/>
        </w:rPr>
        <w:t>Legal and Regulatory Questions</w:t>
      </w:r>
    </w:p>
    <w:p>
      <w:pPr>
        <w:pStyle w:val="ListBullet"/>
        <w:spacing w:after="80"/>
      </w:pPr>
      <w:r>
        <w:rPr>
          <w:sz w:val="22"/>
        </w:rPr>
        <w:t>Does LMaaS trigger CLEC or telecom reseller licensing requirements at federal or state level?</w:t>
      </w:r>
    </w:p>
    <w:p>
      <w:pPr>
        <w:pStyle w:val="ListBullet"/>
        <w:spacing w:after="80"/>
      </w:pPr>
      <w:r>
        <w:rPr>
          <w:sz w:val="22"/>
        </w:rPr>
        <w:t>What wholesale agreement template should MaiaEdge use? Is there an industry standard or does it require custom drafting?</w:t>
      </w:r>
    </w:p>
    <w:p>
      <w:pPr>
        <w:pStyle w:val="ListBullet"/>
        <w:spacing w:after="80"/>
      </w:pPr>
      <w:r>
        <w:rPr>
          <w:sz w:val="22"/>
        </w:rPr>
        <w:t>What MSA structure limits downstream liability when underlying infrastructure is operated by third parties?</w:t>
      </w:r>
    </w:p>
    <w:p>
      <w:pPr>
        <w:pStyle w:val="ListBullet"/>
        <w:spacing w:after="80"/>
      </w:pPr>
      <w:r>
        <w:rPr>
          <w:sz w:val="22"/>
        </w:rPr>
        <w:t>Should MaiaEdge create a separate operating subsidiary for LMaaS to isolate service provider liability from the technology/IP business?</w:t>
      </w:r>
    </w:p>
    <w:p>
      <w:pPr>
        <w:pStyle w:val="ListBullet"/>
        <w:spacing w:after="80"/>
      </w:pPr>
      <w:r>
        <w:rPr>
          <w:sz w:val="22"/>
        </w:rPr>
        <w:t>What insurance coverage is needed (E&amp;O, cyber liability) that MaiaEdge does not currently carry?</w:t>
      </w:r>
    </w:p>
    <w:p>
      <w:pPr>
        <w:pStyle w:val="Heading2"/>
      </w:pPr>
      <w:r>
        <w:rPr>
          <w:color w:val="1A1A2E"/>
        </w:rPr>
        <w:t>Financial Questions Under Research</w:t>
      </w:r>
    </w:p>
    <w:p>
      <w:pPr>
        <w:pStyle w:val="ListBullet"/>
        <w:spacing w:after="80"/>
      </w:pPr>
      <w:r>
        <w:rPr>
          <w:sz w:val="22"/>
        </w:rPr>
        <w:t>eLine wholesale pricing: exact rates from target fiber operators (research in progress).</w:t>
      </w:r>
    </w:p>
    <w:p>
      <w:pPr>
        <w:pStyle w:val="ListBullet"/>
        <w:spacing w:after="80"/>
      </w:pPr>
      <w:r>
        <w:rPr>
          <w:sz w:val="22"/>
        </w:rPr>
        <w:t>Fiber operator long-haul profile: how many US operators have the full Arvig profile (metro fiber + owned long-haul to cloud exchange + rack at destination)?</w:t>
      </w:r>
    </w:p>
    <w:p>
      <w:pPr>
        <w:pStyle w:val="ListBullet"/>
        <w:spacing w:after="80"/>
      </w:pPr>
      <w:r>
        <w:rPr>
          <w:sz w:val="22"/>
        </w:rPr>
        <w:t>Billing model: advance vs. arrears, NRC pass-through vs. absorption, oversubscription contractual language.</w:t>
      </w:r>
    </w:p>
    <w:p>
      <w:pPr>
        <w:pStyle w:val="ListBullet"/>
        <w:spacing w:after="80"/>
      </w:pPr>
      <w:r>
        <w:rPr>
          <w:sz w:val="22"/>
        </w:rPr>
        <w:t>Rev share structure: one-time spiff vs. ongoing MRC percentage to fiber operator sales teams.</w:t>
      </w:r>
    </w:p>
    <w:p>
      <w:r>
        <w:br w:type="page"/>
      </w:r>
    </w:p>
    <w:p>
      <w:pPr>
        <w:pStyle w:val="Heading1"/>
      </w:pPr>
      <w:r>
        <w:rPr>
          <w:color w:val="1A1A2E"/>
        </w:rPr>
        <w:t>Recommendation</w:t>
      </w:r>
    </w:p>
    <w:p>
      <w:pPr>
        <w:spacing w:after="120" w:before="0"/>
      </w:pPr>
      <w:r>
        <w:rPr>
          <w:b w:val="0"/>
          <w:i w:val="0"/>
          <w:sz w:val="22"/>
        </w:rPr>
        <w:t>LMaaS represents a strategic inflection point for MaiaEdge. The model transforms the company from an infrastructure vendor with a $680/mo revenue ceiling per deployment into a managed service platform with $42,000-$73,000/mo gross profit per POP at scale -- while maintaining 82-88% gross margins that position it for SaaS-level valuation multiples.</w:t>
      </w:r>
    </w:p>
    <w:p>
      <w:pPr>
        <w:spacing w:after="120" w:before="0"/>
      </w:pPr>
      <w:r>
        <w:rPr>
          <w:b w:val="0"/>
          <w:i w:val="0"/>
          <w:sz w:val="22"/>
        </w:rPr>
        <w:t>The timing is uniquely favorable. NVIDIA AI Grid, Equinix Distributed AI Hub, and the broader shift to distributed inference all create demand for private last-mile connectivity that does not exist today. AWS Interconnect Last Mile validates the market opportunity but does not solve the federated, any-to-any problem that is MaiaEdge's durable differentiator.</w:t>
      </w:r>
    </w:p>
    <w:p>
      <w:pPr>
        <w:spacing w:after="120" w:before="0"/>
      </w:pPr>
      <w:r>
        <w:rPr>
          <w:b w:val="0"/>
          <w:i w:val="0"/>
          <w:sz w:val="22"/>
        </w:rPr>
        <w:t>The recommended path forward:</w:t>
      </w:r>
    </w:p>
    <w:p>
      <w:pPr>
        <w:pStyle w:val="ListBullet"/>
        <w:spacing w:after="80"/>
      </w:pPr>
      <w:r>
        <w:rPr>
          <w:sz w:val="22"/>
        </w:rPr>
        <w:t>Immediate: Commission telecom regulatory analysis to determine licensing requirements. Begin wholesale agreement discussions with 2-3 target fiber operators (Arvig, Segra, Atlantech).</w:t>
      </w:r>
    </w:p>
    <w:p>
      <w:pPr>
        <w:pStyle w:val="ListBullet"/>
        <w:spacing w:after="80"/>
      </w:pPr>
      <w:r>
        <w:rPr>
          <w:sz w:val="22"/>
        </w:rPr>
        <w:t>Q2 2026: Execute Phase 1 -- deploy first LMaaS POP in Ashburn, sign 3 fiber operator wholesale agreements, begin enterprise customer acquisition.</w:t>
      </w:r>
    </w:p>
    <w:p>
      <w:pPr>
        <w:pStyle w:val="ListBullet"/>
        <w:spacing w:after="80"/>
      </w:pPr>
      <w:r>
        <w:rPr>
          <w:sz w:val="22"/>
        </w:rPr>
        <w:t>Q3-Q4 2026: Validate unit economics, refine pricing, build provisioning and billing operations. Begin NeoCloud GTM conversations (Datum.net as initial partner).</w:t>
      </w:r>
    </w:p>
    <w:p>
      <w:pPr>
        <w:pStyle w:val="ListBullet"/>
        <w:spacing w:after="80"/>
      </w:pPr>
      <w:r>
        <w:rPr>
          <w:sz w:val="22"/>
        </w:rPr>
        <w:t>2027: Scale to 3-5 POPs, 15-20 fiber operator relationships. Federation marketplace begins to emerge. B-round fundraise on proven unit economics and platform trajectory.</w:t>
      </w:r>
    </w:p>
    <w:p>
      <w:pPr>
        <w:spacing w:after="120" w:before="0"/>
      </w:pPr>
      <w:r>
        <w:rPr>
          <w:b w:val="0"/>
          <w:i w:val="0"/>
          <w:sz w:val="22"/>
        </w:rPr>
        <w:t>The core strategic question is no longer whether LMaaS is viable -- the financial model, competitive landscape, and macro trends all support it. The question is execution speed. The window to establish fiber operator relationships and build the federated network before AWS Interconnect Last Mile matures is real but not infinite. The recommendation is to move immediately on Phase 1.</w:t>
      </w:r>
    </w:p>
    <w:p/>
    <w:p/>
    <w:p>
      <w:pPr>
        <w:jc w:val="center"/>
      </w:pPr>
      <w:r>
        <w:rPr>
          <w:i/>
          <w:color w:val="999999"/>
          <w:sz w:val="18"/>
        </w:rPr>
        <w:t>MaiaEdge  |  LMaaS Business Case  |  March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