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png" ContentType="image/png"/>
  <Override PartName="/word/media/rId17.png" ContentType="image/png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Intermedial Interference in a Coupled Generative Instrument: Evaluating Media Equality Through Modality Constraint and Replay</w:t>
      </w:r>
    </w:p>
    <w:p>
      <w:pPr>
        <w:pStyle w:val="Author"/>
      </w:pPr>
      <w:r>
        <w:t xml:space="preserve">Thomas Didiot-Cook</w:t>
      </w:r>
    </w:p>
    <w:p>
      <w:pPr>
        <w:pStyle w:val="FirstParagraph"/>
      </w:pPr>
      <w:r>
        <w:rPr>
          <w:b/>
          <w:bCs/>
        </w:rPr>
        <w:t xml:space="preserve">Abstract</w:t>
      </w:r>
    </w:p>
    <w:p>
      <w:pPr>
        <w:pStyle w:val="BodyText"/>
      </w:pPr>
      <w:r>
        <w:t xml:space="preserve">Coupled audiovisual instruments, in which sound and image are produced</w:t>
      </w:r>
      <w:r>
        <w:t xml:space="preserve"> </w:t>
      </w:r>
      <w:r>
        <w:t xml:space="preserve">from a shared generative process, promise media equality by design.</w:t>
      </w:r>
      <w:r>
        <w:t xml:space="preserve"> </w:t>
      </w:r>
      <w:r>
        <w:t xml:space="preserve">But does causal coupling actually deliver perceptual parity? This</w:t>
      </w:r>
      <w:r>
        <w:t xml:space="preserve"> </w:t>
      </w:r>
      <w:r>
        <w:t xml:space="preserve">article asks how composers experience media equality and intermedial</w:t>
      </w:r>
      <w:r>
        <w:t xml:space="preserve"> </w:t>
      </w:r>
      <w:r>
        <w:t xml:space="preserve">interference when working with such an instrument.</w:t>
      </w:r>
    </w:p>
    <w:p>
      <w:pPr>
        <w:pStyle w:val="BodyText"/>
      </w:pPr>
      <w:r>
        <w:t xml:space="preserve">We report a practice-based study of the Cellular Au-Tonnetz, a system</w:t>
      </w:r>
      <w:r>
        <w:t xml:space="preserve"> </w:t>
      </w:r>
      <w:r>
        <w:t xml:space="preserve">in which audio and LED light are parallel projections of the same</w:t>
      </w:r>
      <w:r>
        <w:t xml:space="preserve"> </w:t>
      </w:r>
      <w:r>
        <w:t xml:space="preserve">evolving cellular-automaton state. Nine participants composed short</w:t>
      </w:r>
      <w:r>
        <w:t xml:space="preserve"> </w:t>
      </w:r>
      <w:r>
        <w:t xml:space="preserve">pieces under three modality conditions: visual-only, audio-only, and</w:t>
      </w:r>
      <w:r>
        <w:t xml:space="preserve"> </w:t>
      </w:r>
      <w:r>
        <w:t xml:space="preserve">audiovisual. Each was followed by replay with both modalities revealed.</w:t>
      </w:r>
      <w:r>
        <w:t xml:space="preserve"> </w:t>
      </w:r>
      <w:r>
        <w:t xml:space="preserve">By withholding one medium during composition and reinstating it at</w:t>
      </w:r>
      <w:r>
        <w:t xml:space="preserve"> </w:t>
      </w:r>
      <w:r>
        <w:t xml:space="preserve">replay, the protocol makes the construction of audiovisual experience</w:t>
      </w:r>
      <w:r>
        <w:t xml:space="preserve"> </w:t>
      </w:r>
      <w:r>
        <w:t xml:space="preserve">observable.</w:t>
      </w:r>
    </w:p>
    <w:p>
      <w:pPr>
        <w:pStyle w:val="BodyText"/>
      </w:pPr>
      <w:r>
        <w:t xml:space="preserve">Audiovisual access was preferred overall (8 of 9 participants), but the</w:t>
      </w:r>
      <w:r>
        <w:t xml:space="preserve"> </w:t>
      </w:r>
      <w:r>
        <w:t xml:space="preserve">audio-only condition most often produced the largest perceived mismatch</w:t>
      </w:r>
      <w:r>
        <w:t xml:space="preserve"> </w:t>
      </w:r>
      <w:r>
        <w:t xml:space="preserve">(6 of 9), and replay frequently turned apparent mismatch into coherent</w:t>
      </w:r>
      <w:r>
        <w:t xml:space="preserve"> </w:t>
      </w:r>
      <w:r>
        <w:t xml:space="preserve">re-reading. Mismatch typically took the form of cue conflict: temporal</w:t>
      </w:r>
      <w:r>
        <w:t xml:space="preserve"> </w:t>
      </w:r>
      <w:r>
        <w:t xml:space="preserve">persistence, density correspondence, perceptual masking. Productive</w:t>
      </w:r>
      <w:r>
        <w:t xml:space="preserve"> </w:t>
      </w:r>
      <w:r>
        <w:t xml:space="preserve">interference emerged at replay through rebinding. We position this as</w:t>
      </w:r>
      <w:r>
        <w:t xml:space="preserve"> </w:t>
      </w:r>
      <w:r>
        <w:t xml:space="preserve">foundational practice-based work, offering a method other practitioners</w:t>
      </w:r>
      <w:r>
        <w:t xml:space="preserve"> </w:t>
      </w:r>
      <w:r>
        <w:t xml:space="preserve">can adopt, and design priorities for instruments where sound and image</w:t>
      </w:r>
      <w:r>
        <w:t xml:space="preserve"> </w:t>
      </w:r>
      <w:r>
        <w:t xml:space="preserve">share a single generative substrate.</w:t>
      </w:r>
    </w:p>
    <w:p>
      <w:pPr>
        <w:pStyle w:val="BodyText"/>
      </w:pPr>
      <w:r>
        <w:rPr>
          <w:b/>
          <w:bCs/>
        </w:rPr>
        <w:t xml:space="preserve">1 Introduction</w:t>
      </w:r>
    </w:p>
    <w:p>
      <w:pPr>
        <w:pStyle w:val="BodyText"/>
      </w:pPr>
      <w:r>
        <w:t xml:space="preserve">Electroacoustic audiovisual composition is often discussed through</w:t>
      </w:r>
      <w:r>
        <w:t xml:space="preserve"> </w:t>
      </w:r>
      <w:r>
        <w:t xml:space="preserve">models that implicitly privilege one medium: sound as structural driver</w:t>
      </w:r>
      <w:r>
        <w:t xml:space="preserve"> </w:t>
      </w:r>
      <w:r>
        <w:t xml:space="preserve">with image as visualisation, a stance common in visual music practice</w:t>
      </w:r>
      <w:r>
        <w:t xml:space="preserve"> </w:t>
      </w:r>
      <w:r>
        <w:t xml:space="preserve">(Hyde 2012; Watkins 2018); or image as narrative driver with sound as</w:t>
      </w:r>
      <w:r>
        <w:t xml:space="preserve"> </w:t>
      </w:r>
      <w:r>
        <w:t xml:space="preserve">enhancement, inherited from film sound (Chion 1994; Cook 1998). Even where</w:t>
      </w:r>
      <w:r>
        <w:t xml:space="preserve"> </w:t>
      </w:r>
      <w:r>
        <w:t xml:space="preserve">practitioners aim for parity, perceptual salience and the practical</w:t>
      </w:r>
      <w:r>
        <w:t xml:space="preserve"> </w:t>
      </w:r>
      <w:r>
        <w:t xml:space="preserve">realities of workflow and interface design tend to reintroduce</w:t>
      </w:r>
      <w:r>
        <w:t xml:space="preserve"> </w:t>
      </w:r>
      <w:r>
        <w:t xml:space="preserve">hierarchy, a tension that Harris (2016) and Hill (2013) have</w:t>
      </w:r>
      <w:r>
        <w:t xml:space="preserve"> </w:t>
      </w:r>
      <w:r>
        <w:t xml:space="preserve">articulated explicitly. The Organised Sound call for this thematic</w:t>
      </w:r>
      <w:r>
        <w:t xml:space="preserve"> </w:t>
      </w:r>
      <w:r>
        <w:t xml:space="preserve">issue highlights this as a problem of media equality and raises</w:t>
      </w:r>
      <w:r>
        <w:t xml:space="preserve"> </w:t>
      </w:r>
      <w:r>
        <w:t xml:space="preserve">intermedial interference as a prompt for reconceptualising how media</w:t>
      </w:r>
      <w:r>
        <w:t xml:space="preserve"> </w:t>
      </w:r>
      <w:r>
        <w:t xml:space="preserve">relationships are composed and perceived (Organised Sound 2026).</w:t>
      </w:r>
      <w:r>
        <w:t xml:space="preserve"> </w:t>
      </w:r>
      <w:r>
        <w:t xml:space="preserve">Interference has also been developed as a compositional and analytic</w:t>
      </w:r>
      <w:r>
        <w:t xml:space="preserve"> </w:t>
      </w:r>
      <w:r>
        <w:t xml:space="preserve">focus within electroacoustic audiovisual practice (Chiaramonte 2024).</w:t>
      </w:r>
    </w:p>
    <w:p>
      <w:pPr>
        <w:pStyle w:val="BodyText"/>
      </w:pPr>
      <w:r>
        <w:t xml:space="preserve">The article takes a design-and-evaluation approach. We treat</w:t>
      </w:r>
      <w:r>
        <w:t xml:space="preserve"> </w:t>
      </w:r>
      <w:r>
        <w:t xml:space="preserve">intermediality as a manipulable design problem that can be evaluated in</w:t>
      </w:r>
      <w:r>
        <w:t xml:space="preserve"> </w:t>
      </w:r>
      <w:r>
        <w:t xml:space="preserve">practice, focusing on generative instruments in which sound and moving</w:t>
      </w:r>
      <w:r>
        <w:t xml:space="preserve"> </w:t>
      </w:r>
      <w:r>
        <w:t xml:space="preserve">image are produced in real time from shared processes. In such</w:t>
      </w:r>
      <w:r>
        <w:t xml:space="preserve"> </w:t>
      </w:r>
      <w:r>
        <w:t xml:space="preserve">instruments, composing means shaping the dynamics of an underlying</w:t>
      </w:r>
      <w:r>
        <w:t xml:space="preserve"> </w:t>
      </w:r>
      <w:r>
        <w:t xml:space="preserve">generative substrate rather than synchronising independent media layers</w:t>
      </w:r>
      <w:r>
        <w:t xml:space="preserve"> </w:t>
      </w:r>
      <w:r>
        <w:t xml:space="preserve">after the fact.</w:t>
      </w:r>
    </w:p>
    <w:p>
      <w:pPr>
        <w:pStyle w:val="BodyText"/>
      </w:pPr>
      <w:r>
        <w:t xml:space="preserve">The coupling pattern we examine is state-space projection: sound and</w:t>
      </w:r>
      <w:r>
        <w:t xml:space="preserve"> </w:t>
      </w:r>
      <w:r>
        <w:t xml:space="preserve">image are parallel projections of a single evolving state, rather than</w:t>
      </w:r>
      <w:r>
        <w:t xml:space="preserve"> </w:t>
      </w:r>
      <w:r>
        <w:t xml:space="preserve">one medium being derived from or aligned to the other. Because the</w:t>
      </w:r>
      <w:r>
        <w:t xml:space="preserve"> </w:t>
      </w:r>
      <w:r>
        <w:t xml:space="preserve">coupling is causal, with every change in the underlying state changing</w:t>
      </w:r>
      <w:r>
        <w:t xml:space="preserve"> </w:t>
      </w:r>
      <w:r>
        <w:t xml:space="preserve">both modalities, it provides a concrete basis for evaluating intermedial</w:t>
      </w:r>
      <w:r>
        <w:t xml:space="preserve"> </w:t>
      </w:r>
      <w:r>
        <w:t xml:space="preserve">interference.</w:t>
      </w:r>
    </w:p>
    <w:p>
      <w:pPr>
        <w:pStyle w:val="BodyText"/>
      </w:pPr>
      <w:r>
        <w:rPr>
          <w:b/>
          <w:bCs/>
        </w:rPr>
        <w:t xml:space="preserve">1.1 Intermedial interference as a design and evaluation problem</w:t>
      </w:r>
    </w:p>
    <w:p>
      <w:pPr>
        <w:pStyle w:val="BodyText"/>
      </w:pPr>
      <w:r>
        <w:t xml:space="preserve">Intermedial interference is used here, following Chiaramonte (2024), to</w:t>
      </w:r>
      <w:r>
        <w:t xml:space="preserve"> </w:t>
      </w:r>
      <w:r>
        <w:t xml:space="preserve">denote the perceptual and interpretive consequences of interactions</w:t>
      </w:r>
      <w:r>
        <w:t xml:space="preserve"> </w:t>
      </w:r>
      <w:r>
        <w:t xml:space="preserve">between salient features of the two media. It includes constructive</w:t>
      </w:r>
      <w:r>
        <w:t xml:space="preserve"> </w:t>
      </w:r>
      <w:r>
        <w:t xml:space="preserve">effects (reinforcement, increased legibility, and meaningful surprise)</w:t>
      </w:r>
      <w:r>
        <w:t xml:space="preserve"> </w:t>
      </w:r>
      <w:r>
        <w:t xml:space="preserve">and destructive effects (contradiction, masking, overload, and reduced</w:t>
      </w:r>
      <w:r>
        <w:t xml:space="preserve"> </w:t>
      </w:r>
      <w:r>
        <w:t xml:space="preserve">causal confidence). In a</w:t>
      </w:r>
      <w:r>
        <w:t xml:space="preserve"> </w:t>
      </w:r>
      <w:r>
        <w:t xml:space="preserve">state-space projection system, interference is design-sensitive: it</w:t>
      </w:r>
      <w:r>
        <w:t xml:space="preserve"> </w:t>
      </w:r>
      <w:r>
        <w:t xml:space="preserve">emerges from mapping choices, temporal envelopes, constraint regimes,</w:t>
      </w:r>
      <w:r>
        <w:t xml:space="preserve"> </w:t>
      </w:r>
      <w:r>
        <w:t xml:space="preserve">and the performer’s ability to build and test a causal model while</w:t>
      </w:r>
      <w:r>
        <w:t xml:space="preserve"> </w:t>
      </w:r>
      <w:r>
        <w:t xml:space="preserve">composing.</w:t>
      </w:r>
    </w:p>
    <w:p>
      <w:pPr>
        <w:pStyle w:val="BodyText"/>
      </w:pPr>
      <w:r>
        <w:t xml:space="preserve">Despite the prevalence of generative systems in electroacoustic and</w:t>
      </w:r>
      <w:r>
        <w:t xml:space="preserve"> </w:t>
      </w:r>
      <w:r>
        <w:t xml:space="preserve">audiovisual practices, evaluation is often limited to descriptive</w:t>
      </w:r>
      <w:r>
        <w:t xml:space="preserve"> </w:t>
      </w:r>
      <w:r>
        <w:t xml:space="preserve">accounts or anecdotal response. This makes it difficult to compare</w:t>
      </w:r>
      <w:r>
        <w:t xml:space="preserve"> </w:t>
      </w:r>
      <w:r>
        <w:t xml:space="preserve">design choices or to articulate how a system supports or undermines</w:t>
      </w:r>
      <w:r>
        <w:t xml:space="preserve"> </w:t>
      </w:r>
      <w:r>
        <w:t xml:space="preserve">parity between media. The field needs evaluation approaches that</w:t>
      </w:r>
      <w:r>
        <w:t xml:space="preserve"> </w:t>
      </w:r>
      <w:r>
        <w:t xml:space="preserve">combine practice-based validity with analysable evidence and that link</w:t>
      </w:r>
      <w:r>
        <w:t xml:space="preserve"> </w:t>
      </w:r>
      <w:r>
        <w:t xml:space="preserve">participant experience to perceivable properties of captured artefacts.</w:t>
      </w:r>
    </w:p>
    <w:p>
      <w:pPr>
        <w:pStyle w:val="BodyText"/>
      </w:pPr>
      <w:r>
        <w:rPr>
          <w:b/>
          <w:bCs/>
        </w:rPr>
        <w:t xml:space="preserve">1.2 Research questions and contributions</w:t>
      </w:r>
    </w:p>
    <w:p>
      <w:pPr>
        <w:pStyle w:val="BodyText"/>
      </w:pPr>
      <w:r>
        <w:t xml:space="preserve">The study addresses three questions:</w:t>
      </w:r>
    </w:p>
    <w:p>
      <w:pPr>
        <w:pStyle w:val="BodyText"/>
      </w:pPr>
      <w:r>
        <w:rPr>
          <w:b/>
          <w:bCs/>
        </w:rPr>
        <w:t xml:space="preserve">RQ1 (intermedial equality)</w:t>
      </w:r>
      <w:r>
        <w:t xml:space="preserve">: To what extent do participants perceive</w:t>
      </w:r>
      <w:r>
        <w:t xml:space="preserve"> </w:t>
      </w:r>
      <w:r>
        <w:t xml:space="preserve">sound and light as co-equal contributors to the audiovisual experience</w:t>
      </w:r>
      <w:r>
        <w:t xml:space="preserve"> </w:t>
      </w:r>
      <w:r>
        <w:t xml:space="preserve">when composing with the system?</w:t>
      </w:r>
    </w:p>
    <w:p>
      <w:pPr>
        <w:pStyle w:val="BodyText"/>
      </w:pPr>
      <w:r>
        <w:rPr>
          <w:b/>
          <w:bCs/>
        </w:rPr>
        <w:t xml:space="preserve">RQ2 (intermedial interference)</w:t>
      </w:r>
      <w:r>
        <w:t xml:space="preserve">: What forms of constructive and</w:t>
      </w:r>
      <w:r>
        <w:t xml:space="preserve"> </w:t>
      </w:r>
      <w:r>
        <w:t xml:space="preserve">destructive intermedial interference arise in practice, and how do they</w:t>
      </w:r>
      <w:r>
        <w:t xml:space="preserve"> </w:t>
      </w:r>
      <w:r>
        <w:t xml:space="preserve">relate to modality access and parameter shaping?</w:t>
      </w:r>
    </w:p>
    <w:p>
      <w:pPr>
        <w:pStyle w:val="BodyText"/>
      </w:pPr>
      <w:r>
        <w:rPr>
          <w:b/>
          <w:bCs/>
        </w:rPr>
        <w:t xml:space="preserve">RQ3 (agency and causality)</w:t>
      </w:r>
      <w:r>
        <w:t xml:space="preserve">: How do perceptions of authorship,</w:t>
      </w:r>
      <w:r>
        <w:t xml:space="preserve"> </w:t>
      </w:r>
      <w:r>
        <w:t xml:space="preserve">predictability, and steerability change when one modality is unavailable</w:t>
      </w:r>
      <w:r>
        <w:t xml:space="preserve"> </w:t>
      </w:r>
      <w:r>
        <w:t xml:space="preserve">during composition?</w:t>
      </w:r>
    </w:p>
    <w:p>
      <w:pPr>
        <w:pStyle w:val="BodyText"/>
      </w:pPr>
      <w:r>
        <w:t xml:space="preserve">The article contributes:</w:t>
      </w:r>
    </w:p>
    <w:p>
      <w:pPr>
        <w:numPr>
          <w:ilvl w:val="0"/>
          <w:numId w:val="1001"/>
        </w:numPr>
      </w:pPr>
      <w:r>
        <w:t xml:space="preserve">A state-space projection framing of intermedial composition in which</w:t>
      </w:r>
      <w:r>
        <w:t xml:space="preserve"> </w:t>
      </w:r>
      <w:r>
        <w:t xml:space="preserve">sound and light are treated as parallel projections of a shared</w:t>
      </w:r>
      <w:r>
        <w:t xml:space="preserve"> </w:t>
      </w:r>
      <w:r>
        <w:t xml:space="preserve">generative substrate, enabling analysis without default media</w:t>
      </w:r>
      <w:r>
        <w:t xml:space="preserve"> </w:t>
      </w:r>
      <w:r>
        <w:t xml:space="preserve">hierarchy.</w:t>
      </w:r>
    </w:p>
    <w:p>
      <w:pPr>
        <w:numPr>
          <w:ilvl w:val="0"/>
          <w:numId w:val="1001"/>
        </w:numPr>
      </w:pPr>
      <w:r>
        <w:t xml:space="preserve">An evaluation method for practice-based intermedial research,</w:t>
      </w:r>
      <w:r>
        <w:t xml:space="preserve"> </w:t>
      </w:r>
      <w:r>
        <w:t xml:space="preserve">combining modality-access manipulation, replay-based reveal, and</w:t>
      </w:r>
      <w:r>
        <w:t xml:space="preserve"> </w:t>
      </w:r>
      <w:r>
        <w:t xml:space="preserve">traceable artefact capture, that produces analysable evidence within</w:t>
      </w:r>
      <w:r>
        <w:t xml:space="preserve"> </w:t>
      </w:r>
      <w:r>
        <w:t xml:space="preserve">realistic artistic development timelines.</w:t>
      </w:r>
    </w:p>
    <w:p>
      <w:pPr>
        <w:numPr>
          <w:ilvl w:val="0"/>
          <w:numId w:val="1001"/>
        </w:numPr>
      </w:pPr>
      <w:r>
        <w:t xml:space="preserve">An interference-focused account of mechanisms (cue conflict and</w:t>
      </w:r>
      <w:r>
        <w:t xml:space="preserve"> </w:t>
      </w:r>
      <w:r>
        <w:t xml:space="preserve">rebinding) and instrument-actionable design priorities that improve</w:t>
      </w:r>
      <w:r>
        <w:t xml:space="preserve"> </w:t>
      </w:r>
      <w:r>
        <w:t xml:space="preserve">media equality in coupled generative instruments.</w:t>
      </w:r>
    </w:p>
    <w:p>
      <w:pPr>
        <w:pStyle w:val="FirstParagraph"/>
      </w:pPr>
      <w:r>
        <w:rPr>
          <w:b/>
          <w:bCs/>
        </w:rPr>
        <w:t xml:space="preserve">2 Related work</w:t>
      </w:r>
    </w:p>
    <w:p>
      <w:pPr>
        <w:pStyle w:val="BodyText"/>
      </w:pPr>
      <w:r>
        <w:t xml:space="preserve">Intermediality is often used as a general label for work between media,</w:t>
      </w:r>
      <w:r>
        <w:t xml:space="preserve"> </w:t>
      </w:r>
      <w:r>
        <w:t xml:space="preserve">but its analytic value depends on specifying the intermedial relation at</w:t>
      </w:r>
      <w:r>
        <w:t xml:space="preserve"> </w:t>
      </w:r>
      <w:r>
        <w:t xml:space="preserve">stake. Rajewsky distinguishes medial transposition, media combination,</w:t>
      </w:r>
      <w:r>
        <w:t xml:space="preserve"> </w:t>
      </w:r>
      <w:r>
        <w:t xml:space="preserve">and intermedial reference; this paper is concerned with media</w:t>
      </w:r>
      <w:r>
        <w:t xml:space="preserve"> </w:t>
      </w:r>
      <w:r>
        <w:t xml:space="preserve">combination and, specifically, whether sound and time-based light output</w:t>
      </w:r>
      <w:r>
        <w:t xml:space="preserve"> </w:t>
      </w:r>
      <w:r>
        <w:t xml:space="preserve">are experienced as co-constitutive rather than hierarchical (Rajewsky</w:t>
      </w:r>
      <w:r>
        <w:t xml:space="preserve"> </w:t>
      </w:r>
      <w:r>
        <w:t xml:space="preserve">2005).</w:t>
      </w:r>
    </w:p>
    <w:p>
      <w:pPr>
        <w:pStyle w:val="BodyText"/>
      </w:pPr>
      <w:r>
        <w:t xml:space="preserve">Elleström’s modality model provides a useful scaffold for discussing</w:t>
      </w:r>
      <w:r>
        <w:t xml:space="preserve"> </w:t>
      </w:r>
      <w:r>
        <w:t xml:space="preserve">equality without treating media as undifferentiated streams. By</w:t>
      </w:r>
      <w:r>
        <w:t xml:space="preserve"> </w:t>
      </w:r>
      <w:r>
        <w:t xml:space="preserve">distinguishing material, sensorial, spatiotemporal, and semiotic</w:t>
      </w:r>
      <w:r>
        <w:t xml:space="preserve"> </w:t>
      </w:r>
      <w:r>
        <w:t xml:space="preserve">modalities, the model makes it possible to describe where equality</w:t>
      </w:r>
      <w:r>
        <w:t xml:space="preserve"> </w:t>
      </w:r>
      <w:r>
        <w:t xml:space="preserve">succeeds or fails: parity may hold in causal origin while collapsing in</w:t>
      </w:r>
      <w:r>
        <w:t xml:space="preserve"> </w:t>
      </w:r>
      <w:r>
        <w:t xml:space="preserve">sensorial salience or semiotic authority (Elleström 2010).</w:t>
      </w:r>
    </w:p>
    <w:p>
      <w:pPr>
        <w:pStyle w:val="BodyText"/>
      </w:pPr>
      <w:r>
        <w:t xml:space="preserve">Audiovisual theory in film and sound studies provides durable concepts</w:t>
      </w:r>
      <w:r>
        <w:t xml:space="preserve"> </w:t>
      </w:r>
      <w:r>
        <w:t xml:space="preserve">for how sound and image are perceived as an integrated whole. Chion’s</w:t>
      </w:r>
      <w:r>
        <w:t xml:space="preserve"> </w:t>
      </w:r>
      <w:r>
        <w:t xml:space="preserve">account of audio-vision emphasises that audiovisual perception is not</w:t>
      </w:r>
      <w:r>
        <w:t xml:space="preserve"> </w:t>
      </w:r>
      <w:r>
        <w:t xml:space="preserve">additive; sound and image reciprocally frame one another’s meaning. This</w:t>
      </w:r>
      <w:r>
        <w:t xml:space="preserve"> </w:t>
      </w:r>
      <w:r>
        <w:t xml:space="preserve">is directly relevant to a modality-withholding design: composing with</w:t>
      </w:r>
      <w:r>
        <w:t xml:space="preserve"> </w:t>
      </w:r>
      <w:r>
        <w:t xml:space="preserve">one modality absent and reinstating it at replay makes the construction</w:t>
      </w:r>
      <w:r>
        <w:t xml:space="preserve"> </w:t>
      </w:r>
      <w:r>
        <w:t xml:space="preserve">of audio-vision observable, including how expectation, surprise, and</w:t>
      </w:r>
      <w:r>
        <w:t xml:space="preserve"> </w:t>
      </w:r>
      <w:r>
        <w:t xml:space="preserve">retrospective binding contribute to perceived unity (Chion 1994).</w:t>
      </w:r>
    </w:p>
    <w:p>
      <w:pPr>
        <w:pStyle w:val="BodyText"/>
      </w:pPr>
      <w:r>
        <w:t xml:space="preserve">Beyond Chion, several frameworks address the encounter and composition</w:t>
      </w:r>
      <w:r>
        <w:t xml:space="preserve"> </w:t>
      </w:r>
      <w:r>
        <w:t xml:space="preserve">of electroacoustic audiovisual works directly. Coulter (2010) classifies</w:t>
      </w:r>
      <w:r>
        <w:t xml:space="preserve"> </w:t>
      </w:r>
      <w:r>
        <w:t xml:space="preserve">sound-image pairs along referential and abstract axes and distinguishes</w:t>
      </w:r>
      <w:r>
        <w:t xml:space="preserve"> </w:t>
      </w:r>
      <w:r>
        <w:t xml:space="preserve">concomitant from isomorphic relationships, offering a vocabulary for</w:t>
      </w:r>
      <w:r>
        <w:t xml:space="preserve"> </w:t>
      </w:r>
      <w:r>
        <w:t xml:space="preserve">how shared formal characteristics catalyse audiovisual integration.</w:t>
      </w:r>
      <w:r>
        <w:t xml:space="preserve"> </w:t>
      </w:r>
      <w:r>
        <w:t xml:space="preserve">Garro (2012) places audiovisual association strategies on a continuum</w:t>
      </w:r>
      <w:r>
        <w:t xml:space="preserve"> </w:t>
      </w:r>
      <w:r>
        <w:t xml:space="preserve">from separation through intuitive complementarity, synchresis, and</w:t>
      </w:r>
      <w:r>
        <w:t xml:space="preserve"> </w:t>
      </w:r>
      <w:r>
        <w:t xml:space="preserve">parametric mapping, contrasting Chion’s visually-driven cinema contract</w:t>
      </w:r>
      <w:r>
        <w:t xml:space="preserve"> </w:t>
      </w:r>
      <w:r>
        <w:t xml:space="preserve">with a visual music contract that holds</w:t>
      </w:r>
      <w:r>
        <w:t xml:space="preserve"> </w:t>
      </w:r>
      <w:r>
        <w:t xml:space="preserve">“the primacy of both ear and</w:t>
      </w:r>
      <w:r>
        <w:t xml:space="preserve"> </w:t>
      </w:r>
      <w:r>
        <w:t xml:space="preserve">eye together”</w:t>
      </w:r>
      <w:r>
        <w:t xml:space="preserve"> </w:t>
      </w:r>
      <w:r>
        <w:t xml:space="preserve">as its artistic credo. Hill (2013) extends this work</w:t>
      </w:r>
      <w:r>
        <w:t xml:space="preserve"> </w:t>
      </w:r>
      <w:r>
        <w:t xml:space="preserve">towards audience interpretation, where schemata, lived experience, and</w:t>
      </w:r>
      <w:r>
        <w:t xml:space="preserve"> </w:t>
      </w:r>
      <w:r>
        <w:t xml:space="preserve">contextual framing make audiovisual works legible across diverse</w:t>
      </w:r>
      <w:r>
        <w:t xml:space="preserve"> </w:t>
      </w:r>
      <w:r>
        <w:t xml:space="preserve">encounters. Harris (2016) takes an explicit anti-hierarchy position,</w:t>
      </w:r>
      <w:r>
        <w:t xml:space="preserve"> </w:t>
      </w:r>
      <w:r>
        <w:t xml:space="preserve">rejecting the term</w:t>
      </w:r>
      <w:r>
        <w:t xml:space="preserve"> </w:t>
      </w:r>
      <w:r>
        <w:t xml:space="preserve">“visual music”</w:t>
      </w:r>
      <w:r>
        <w:t xml:space="preserve"> </w:t>
      </w:r>
      <w:r>
        <w:t xml:space="preserve">because it implies musicality takes</w:t>
      </w:r>
      <w:r>
        <w:t xml:space="preserve"> </w:t>
      </w:r>
      <w:r>
        <w:t xml:space="preserve">precedence and arguing instead for sound and image as parts of a single</w:t>
      </w:r>
      <w:r>
        <w:t xml:space="preserve"> </w:t>
      </w:r>
      <w:r>
        <w:t xml:space="preserve">coherent system. From within the visual music tradition itself, Hyde</w:t>
      </w:r>
      <w:r>
        <w:t xml:space="preserve"> </w:t>
      </w:r>
      <w:r>
        <w:t xml:space="preserve">(2012) develops the concepts of visual silence, visual noise, and</w:t>
      </w:r>
      <w:r>
        <w:t xml:space="preserve"> </w:t>
      </w:r>
      <w:r>
        <w:t xml:space="preserve">visual suspension as ocular counterparts to musique concrète, and</w:t>
      </w:r>
      <w:r>
        <w:t xml:space="preserve"> </w:t>
      </w:r>
      <w:r>
        <w:t xml:space="preserve">Watkins (2018) treats audio-visual rhythm as a compositional concern.</w:t>
      </w:r>
    </w:p>
    <w:p>
      <w:pPr>
        <w:pStyle w:val="BodyText"/>
      </w:pPr>
      <w:r>
        <w:t xml:space="preserve">Within electroacoustic and intermedial discourse, intermedial</w:t>
      </w:r>
      <w:r>
        <w:t xml:space="preserve"> </w:t>
      </w:r>
      <w:r>
        <w:t xml:space="preserve">interference foregrounds constructive and destructive interactions</w:t>
      </w:r>
      <w:r>
        <w:t xml:space="preserve"> </w:t>
      </w:r>
      <w:r>
        <w:t xml:space="preserve">between media features and provides a handle for theorising media</w:t>
      </w:r>
      <w:r>
        <w:t xml:space="preserve"> </w:t>
      </w:r>
      <w:r>
        <w:t xml:space="preserve">equality beyond simple synchrony (Organised Sound 2026; Chiaramonte</w:t>
      </w:r>
      <w:r>
        <w:t xml:space="preserve"> </w:t>
      </w:r>
      <w:r>
        <w:t xml:space="preserve">2024). Remediation and multimedia analysis further motivate treating</w:t>
      </w:r>
      <w:r>
        <w:t xml:space="preserve"> </w:t>
      </w:r>
      <w:r>
        <w:t xml:space="preserve">media relations as constitutive rather than additive, and provide</w:t>
      </w:r>
      <w:r>
        <w:t xml:space="preserve"> </w:t>
      </w:r>
      <w:r>
        <w:t xml:space="preserve">vocabulary for how one medium can frame or re-situate another (Bolter</w:t>
      </w:r>
      <w:r>
        <w:t xml:space="preserve"> </w:t>
      </w:r>
      <w:r>
        <w:t xml:space="preserve">and Grusin 1999; Cook 1998).</w:t>
      </w:r>
    </w:p>
    <w:p>
      <w:pPr>
        <w:pStyle w:val="BodyText"/>
      </w:pPr>
      <w:r>
        <w:t xml:space="preserve">For coupled generative instruments, crossmodal correspondences offer a</w:t>
      </w:r>
      <w:r>
        <w:t xml:space="preserve"> </w:t>
      </w:r>
      <w:r>
        <w:t xml:space="preserve">complementary design lens. Spence synthesises evidence that people</w:t>
      </w:r>
      <w:r>
        <w:t xml:space="preserve"> </w:t>
      </w:r>
      <w:r>
        <w:t xml:space="preserve">reliably associate features across modalities (for example, pitch and</w:t>
      </w:r>
      <w:r>
        <w:t xml:space="preserve"> </w:t>
      </w:r>
      <w:r>
        <w:t xml:space="preserve">brightness), making correspondences a resource for designing legible</w:t>
      </w:r>
      <w:r>
        <w:t xml:space="preserve"> </w:t>
      </w:r>
      <w:r>
        <w:t xml:space="preserve">mappings (Spence 2011). In the present system, correspondence helps</w:t>
      </w:r>
      <w:r>
        <w:t xml:space="preserve"> </w:t>
      </w:r>
      <w:r>
        <w:t xml:space="preserve">explain why some participants use colour similarity as a proxy for</w:t>
      </w:r>
      <w:r>
        <w:t xml:space="preserve"> </w:t>
      </w:r>
      <w:r>
        <w:t xml:space="preserve">harmonic planning even without formal theory.</w:t>
      </w:r>
    </w:p>
    <w:p>
      <w:pPr>
        <w:pStyle w:val="BodyText"/>
      </w:pPr>
      <w:r>
        <w:t xml:space="preserve">Evaluation traditions in digital musical instruments provide precedents</w:t>
      </w:r>
      <w:r>
        <w:t xml:space="preserve"> </w:t>
      </w:r>
      <w:r>
        <w:t xml:space="preserve">for studying agency negotiation without reducing outcomes to usability.</w:t>
      </w:r>
      <w:r>
        <w:t xml:space="preserve"> </w:t>
      </w:r>
      <w:r>
        <w:t xml:space="preserve">O’Modhrain proposes a framework supporting structured reflection on</w:t>
      </w:r>
      <w:r>
        <w:t xml:space="preserve"> </w:t>
      </w:r>
      <w:r>
        <w:t xml:space="preserve">experience while remaining sensitive to musical context (O’Modhrain</w:t>
      </w:r>
      <w:r>
        <w:t xml:space="preserve"> </w:t>
      </w:r>
      <w:r>
        <w:t xml:space="preserve">2011). Orio and Wanderley similarly discuss method rationales for</w:t>
      </w:r>
      <w:r>
        <w:t xml:space="preserve"> </w:t>
      </w:r>
      <w:r>
        <w:t xml:space="preserve">evaluating input devices for musical expression that bridge performer</w:t>
      </w:r>
      <w:r>
        <w:t xml:space="preserve"> </w:t>
      </w:r>
      <w:r>
        <w:t xml:space="preserve">experience and system iteration (Orio and Wanderley 2002).</w:t>
      </w:r>
    </w:p>
    <w:p>
      <w:pPr>
        <w:pStyle w:val="BodyText"/>
      </w:pPr>
      <w:r>
        <w:t xml:space="preserve">Finally, the specific substrates used here have well-established</w:t>
      </w:r>
      <w:r>
        <w:t xml:space="preserve"> </w:t>
      </w:r>
      <w:r>
        <w:t xml:space="preserve">lineages. Tonnetz representations are canonical in neo-Riemannian and</w:t>
      </w:r>
      <w:r>
        <w:t xml:space="preserve"> </w:t>
      </w:r>
      <w:r>
        <w:t xml:space="preserve">transformational theory, where neighbourhood relations correspond to</w:t>
      </w:r>
      <w:r>
        <w:t xml:space="preserve"> </w:t>
      </w:r>
      <w:r>
        <w:t xml:space="preserve">parsimonious voice-leading operations (Cohn 1997; Douthett and Steinbach</w:t>
      </w:r>
      <w:r>
        <w:t xml:space="preserve"> </w:t>
      </w:r>
      <w:r>
        <w:t xml:space="preserve">1998). Cellular automata also have a long-standing lineage as musical</w:t>
      </w:r>
      <w:r>
        <w:t xml:space="preserve"> </w:t>
      </w:r>
      <w:r>
        <w:t xml:space="preserve">generative formalisms valued for emergent structure from simple local</w:t>
      </w:r>
      <w:r>
        <w:t xml:space="preserve"> </w:t>
      </w:r>
      <w:r>
        <w:t xml:space="preserve">rules (Miranda 2007). Besada et al. highlight cognitive and HCI challenges in</w:t>
      </w:r>
      <w:r>
        <w:t xml:space="preserve"> </w:t>
      </w:r>
      <w:r>
        <w:t xml:space="preserve">Tonnetz-at-first-sight interaction, where visible patterns in the</w:t>
      </w:r>
      <w:r>
        <w:t xml:space="preserve"> </w:t>
      </w:r>
      <w:r>
        <w:t xml:space="preserve">lattice geometry, such as the triangular groupings that form familiar</w:t>
      </w:r>
      <w:r>
        <w:t xml:space="preserve"> </w:t>
      </w:r>
      <w:r>
        <w:t xml:space="preserve">chord shapes, can bias harmonic expectation; here, such bias</w:t>
      </w:r>
      <w:r>
        <w:t xml:space="preserve"> </w:t>
      </w:r>
      <w:r>
        <w:t xml:space="preserve">is treated not only as a usability risk but as a potential resource for</w:t>
      </w:r>
      <w:r>
        <w:t xml:space="preserve"> </w:t>
      </w:r>
      <w:r>
        <w:t xml:space="preserve">productive intermedial interference in a coupled audio and light system</w:t>
      </w:r>
      <w:r>
        <w:t xml:space="preserve"> </w:t>
      </w:r>
      <w:r>
        <w:t xml:space="preserve">(Besada et al. 2024).</w:t>
      </w:r>
    </w:p>
    <w:p>
      <w:pPr>
        <w:pStyle w:val="BodyText"/>
      </w:pPr>
      <w:r>
        <w:rPr>
          <w:b/>
          <w:bCs/>
        </w:rPr>
        <w:t xml:space="preserve">3 Method</w:t>
      </w:r>
    </w:p>
    <w:p>
      <w:pPr>
        <w:pStyle w:val="BodyText"/>
      </w:pPr>
      <w:r>
        <w:rPr>
          <w:b/>
          <w:bCs/>
        </w:rPr>
        <w:t xml:space="preserve">3.1 Participants and ethics</w:t>
      </w:r>
    </w:p>
    <w:p>
      <w:pPr>
        <w:pStyle w:val="BodyText"/>
      </w:pPr>
      <w:r>
        <w:t xml:space="preserve">Nine participants completed the solo protocol (N = 9), recruited via</w:t>
      </w:r>
      <w:r>
        <w:t xml:space="preserve"> </w:t>
      </w:r>
      <w:r>
        <w:t xml:space="preserve">convenience sampling across a range of musical experience and</w:t>
      </w:r>
      <w:r>
        <w:t xml:space="preserve"> </w:t>
      </w:r>
      <w:r>
        <w:t xml:space="preserve">familiarity with generative systems. Participants provided informed</w:t>
      </w:r>
      <w:r>
        <w:t xml:space="preserve"> </w:t>
      </w:r>
      <w:r>
        <w:t xml:space="preserve">consent for audio and video capture and for anonymised excerpts to be</w:t>
      </w:r>
      <w:r>
        <w:t xml:space="preserve"> </w:t>
      </w:r>
      <w:r>
        <w:t xml:space="preserve">used as research stimuli. Background questions captured self-reported</w:t>
      </w:r>
      <w:r>
        <w:t xml:space="preserve"> </w:t>
      </w:r>
      <w:r>
        <w:t xml:space="preserve">musical experience, theory familiarity, familiarity with generative</w:t>
      </w:r>
      <w:r>
        <w:t xml:space="preserve"> </w:t>
      </w:r>
      <w:r>
        <w:t xml:space="preserve">systems, Tonnetz familiarity, and any relevant perceptual notes (for</w:t>
      </w:r>
      <w:r>
        <w:t xml:space="preserve"> </w:t>
      </w:r>
      <w:r>
        <w:t xml:space="preserve">example, colour-vision deficiency and sensitivity to flashing lights).</w:t>
      </w:r>
    </w:p>
    <w:p>
      <w:pPr>
        <w:pStyle w:val="BodyText"/>
      </w:pPr>
      <w:r>
        <w:rPr>
          <w:b/>
          <w:bCs/>
        </w:rPr>
        <w:t xml:space="preserve">3.2 System under study</w:t>
      </w:r>
    </w:p>
    <w:p>
      <w:pPr>
        <w:pStyle w:val="BodyText"/>
      </w:pPr>
      <w:r>
        <w:t xml:space="preserve">The study evaluates the Cellular Au-Tonnetz (TZ5), previously described</w:t>
      </w:r>
      <w:r>
        <w:t xml:space="preserve"> </w:t>
      </w:r>
      <w:r>
        <w:t xml:space="preserve">as a unified audiovisual MIDI generator that couples Tonnetz</w:t>
      </w:r>
      <w:r>
        <w:t xml:space="preserve"> </w:t>
      </w:r>
      <w:r>
        <w:t xml:space="preserve">pitch-space mapping with cellular automata and a web-configured embedded</w:t>
      </w:r>
      <w:r>
        <w:t xml:space="preserve"> </w:t>
      </w:r>
      <w:r>
        <w:t xml:space="preserve">control architecture (Didiot-Cook 2025).</w:t>
      </w:r>
    </w:p>
    <w:p>
      <w:pPr>
        <w:pStyle w:val="BodyText"/>
      </w:pPr>
      <w:r>
        <w:t xml:space="preserve">The system’s core design feature is shared causal origin. A</w:t>
      </w:r>
      <w:r>
        <w:t xml:space="preserve"> </w:t>
      </w:r>
      <w:r>
        <w:t xml:space="preserve">Tonnetz-mapped lattice of pitch classes evolves via asynchronous</w:t>
      </w:r>
      <w:r>
        <w:t xml:space="preserve"> </w:t>
      </w:r>
      <w:r>
        <w:t xml:space="preserve">cellular automata dynamics under local rule thresholds and global</w:t>
      </w:r>
      <w:r>
        <w:t xml:space="preserve"> </w:t>
      </w:r>
      <w:r>
        <w:t xml:space="preserve">population constraints. The same evolving state is rendered as (i)</w:t>
      </w:r>
      <w:r>
        <w:t xml:space="preserve"> </w:t>
      </w:r>
      <w:r>
        <w:t xml:space="preserve">MIDI-driven audio output and (ii) LED-panel activity using a fixed</w:t>
      </w:r>
      <w:r>
        <w:t xml:space="preserve"> </w:t>
      </w:r>
      <w:r>
        <w:t xml:space="preserve">pitch-class-to-colour mapping. In this framing, sound and light are</w:t>
      </w:r>
      <w:r>
        <w:t xml:space="preserve"> </w:t>
      </w:r>
      <w:r>
        <w:t xml:space="preserve">parallel projections of a shared latent score: a single evolving</w:t>
      </w:r>
      <w:r>
        <w:t xml:space="preserve"> </w:t>
      </w:r>
      <w:r>
        <w:t xml:space="preserve">substrate that is perceived through two modalities.</w:t>
      </w:r>
    </w:p>
    <w:bookmarkStart w:id="12" w:name="fig:fig1"/>
    <w:p>
      <w:pPr>
        <w:pStyle w:val="CaptionedFigure"/>
      </w:pPr>
      <w:r>
        <w:drawing>
          <wp:inline>
            <wp:extent cx="5155561" cy="4696064"/>
            <wp:effectExtent b="0" l="0" r="0" t="0"/>
            <wp:docPr descr="Figure 1: System block diagram, comprising the TZ5 instrument and its constituent parts, as well as the supporting infrastructure and instrumentation required to conduct the study." title="" id="10" name="Picture"/>
            <a:graphic>
              <a:graphicData uri="http://schemas.openxmlformats.org/drawingml/2006/picture">
                <pic:pic>
                  <pic:nvPicPr>
                    <pic:cNvPr descr="figures_png/fig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5561" cy="4696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1: System block diagram, comprising the TZ5 instrument and its constituent parts, as well as the supporting infrastructure and instrumentation required to conduct the study.</w:t>
      </w:r>
    </w:p>
    <w:bookmarkEnd w:id="12"/>
    <w:bookmarkStart w:id="16" w:name="fig:fig2"/>
    <w:p>
      <w:pPr>
        <w:pStyle w:val="CaptionedFigure"/>
      </w:pPr>
      <w:r>
        <w:drawing>
          <wp:inline>
            <wp:extent cx="3216482" cy="4755798"/>
            <wp:effectExtent b="0" l="0" r="0" t="0"/>
            <wp:docPr descr="Figure 2: Exploded view of TZ5 audiovisual instrument. Light from the 91x Red, Green &amp; Blue (RGB) LEDs is guided by a hexagonal lattice and diffused by a 2mm sheet of acetate." title="" id="14" name="Picture"/>
            <a:graphic>
              <a:graphicData uri="http://schemas.openxmlformats.org/drawingml/2006/picture">
                <pic:pic>
                  <pic:nvPicPr>
                    <pic:cNvPr descr="figures_png/fig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6482" cy="47557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2: Exploded view of TZ5 audiovisual instrument. Light from the 91x Red, Green &amp; Blue (RGB) LEDs is guided by a hexagonal lattice and diffused by a 2mm sheet of acetate.</w:t>
      </w:r>
    </w:p>
    <w:bookmarkEnd w:id="16"/>
    <w:bookmarkStart w:id="20" w:name="fig:fig3"/>
    <w:p>
      <w:pPr>
        <w:pStyle w:val="CaptionedFigure"/>
      </w:pPr>
      <w:r>
        <w:drawing>
          <wp:inline>
            <wp:extent cx="5334000" cy="5940136"/>
            <wp:effectExtent b="0" l="0" r="0" t="0"/>
            <wp:docPr descr="Figure 3: Tonnetz pitch-class map used for hue mapping. MIDI numbers are given under each pitch class, and computed from the root of C;36 (bottom, centre), incrementing by +3 semitones moving right, and +4 moving left." title="" id="18" name="Picture"/>
            <a:graphic>
              <a:graphicData uri="http://schemas.openxmlformats.org/drawingml/2006/picture">
                <pic:pic>
                  <pic:nvPicPr>
                    <pic:cNvPr descr="figures_png/fig3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40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3: Tonnetz pitch-class map used for hue mapping. MIDI numbers are given under each pitch class, and computed from the root of C;36 (bottom, centre), incrementing by +3 semitones moving right, and +4 moving left.</w:t>
      </w:r>
    </w:p>
    <w:bookmarkEnd w:id="20"/>
    <w:p>
      <w:pPr>
        <w:pStyle w:val="BodyText"/>
      </w:pPr>
      <w:r>
        <w:rPr>
          <w:b/>
          <w:bCs/>
        </w:rPr>
        <w:t xml:space="preserve">3.3 Participant-facing control parameters</w:t>
      </w:r>
    </w:p>
    <w:p>
      <w:pPr>
        <w:pStyle w:val="BodyText"/>
      </w:pPr>
      <w:r>
        <w:t xml:space="preserve">Participants steered the system exclusively via a browser-based user</w:t>
      </w:r>
      <w:r>
        <w:t xml:space="preserve"> </w:t>
      </w:r>
      <w:r>
        <w:t xml:space="preserve">interface. The parameter set was intentionally compact and targeted</w:t>
      </w:r>
      <w:r>
        <w:t xml:space="preserve"> </w:t>
      </w:r>
      <w:r>
        <w:t xml:space="preserve">density, temporal dynamics, neighbourhood constraints, recurrence, and</w:t>
      </w:r>
      <w:r>
        <w:t xml:space="preserve"> </w:t>
      </w:r>
      <w:r>
        <w:t xml:space="preserve">harmonic admissibility: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Density bounds</w:t>
      </w:r>
      <w:r>
        <w:t xml:space="preserve">: Min Population and Max Population.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Temporal dynamics</w:t>
      </w:r>
      <w:r>
        <w:t xml:space="preserve">: Rate (update interval) and Life Length</w:t>
      </w:r>
      <w:r>
        <w:t xml:space="preserve"> </w:t>
      </w:r>
      <w:r>
        <w:t xml:space="preserve">(activation lifetime).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Neighbourhood constraints</w:t>
      </w:r>
      <w:r>
        <w:t xml:space="preserve">: Neighbourhood extent (6 local</w:t>
      </w:r>
      <w:r>
        <w:t xml:space="preserve"> </w:t>
      </w:r>
      <w:r>
        <w:t xml:space="preserve">neighbours or 18 extended), Min Neighbours, and Max Neighbours.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Recurrence</w:t>
      </w:r>
      <w:r>
        <w:t xml:space="preserve">: Loop On or Off and Loop Length.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Harmonic admissibility</w:t>
      </w:r>
      <w:r>
        <w:t xml:space="preserve">: Scale (constrains pitch classes and</w:t>
      </w:r>
      <w:r>
        <w:t xml:space="preserve"> </w:t>
      </w:r>
      <w:r>
        <w:t xml:space="preserve">therefore the visible palette).</w:t>
      </w:r>
    </w:p>
    <w:p>
      <w:pPr>
        <w:pStyle w:val="FirstParagraph"/>
      </w:pPr>
      <w:r>
        <w:rPr>
          <w:b/>
          <w:bCs/>
        </w:rPr>
        <w:t xml:space="preserve">3.4 Study design</w:t>
      </w:r>
    </w:p>
    <w:p>
      <w:pPr>
        <w:pStyle w:val="BodyText"/>
      </w:pPr>
      <w:r>
        <w:t xml:space="preserve">The solo study used a within-subject design with three modality-access</w:t>
      </w:r>
      <w:r>
        <w:t xml:space="preserve"> </w:t>
      </w:r>
      <w:r>
        <w:t xml:space="preserve">blocks per participant:</w:t>
      </w:r>
    </w:p>
    <w:p>
      <w:pPr>
        <w:pStyle w:val="BodyText"/>
      </w:pPr>
      <w:r>
        <w:rPr>
          <w:b/>
          <w:bCs/>
        </w:rPr>
        <w:t xml:space="preserve">A</w:t>
      </w:r>
      <w:r>
        <w:t xml:space="preserve">: visual-only composition (panel visible; audio masked)</w:t>
      </w:r>
    </w:p>
    <w:p>
      <w:pPr>
        <w:pStyle w:val="BodyText"/>
      </w:pPr>
      <w:r>
        <w:rPr>
          <w:b/>
          <w:bCs/>
        </w:rPr>
        <w:t xml:space="preserve">B</w:t>
      </w:r>
      <w:r>
        <w:t xml:space="preserve">: audio-only composition (audio available; panel occluded)</w:t>
      </w:r>
    </w:p>
    <w:p>
      <w:pPr>
        <w:pStyle w:val="BodyText"/>
      </w:pPr>
      <w:r>
        <w:rPr>
          <w:b/>
          <w:bCs/>
        </w:rPr>
        <w:t xml:space="preserve">C</w:t>
      </w:r>
      <w:r>
        <w:t xml:space="preserve">: audiovisual composition (both modalities available)</w:t>
      </w:r>
    </w:p>
    <w:p>
      <w:pPr>
        <w:pStyle w:val="BodyText"/>
      </w:pPr>
      <w:r>
        <w:t xml:space="preserve">In all blocks, both audio and video were recorded and the end-state</w:t>
      </w:r>
      <w:r>
        <w:t xml:space="preserve"> </w:t>
      </w:r>
      <w:r>
        <w:t xml:space="preserve">parameter preset was saved for traceability and repeatability. Block</w:t>
      </w:r>
      <w:r>
        <w:t xml:space="preserve"> </w:t>
      </w:r>
      <w:r>
        <w:t xml:space="preserve">order was counterbalanced across participants.</w:t>
      </w:r>
    </w:p>
    <w:p>
      <w:pPr>
        <w:pStyle w:val="BodyText"/>
      </w:pPr>
      <w:r>
        <w:rPr>
          <w:b/>
          <w:bCs/>
        </w:rPr>
        <w:t xml:space="preserve">3.5 Procedure and measures</w:t>
      </w:r>
    </w:p>
    <w:p>
      <w:pPr>
        <w:pStyle w:val="BodyText"/>
      </w:pPr>
      <w:r>
        <w:t xml:space="preserve">Each block began from a shared starting preset (S0) and lasted</w:t>
      </w:r>
      <w:r>
        <w:t xml:space="preserve"> </w:t>
      </w:r>
      <w:r>
        <w:t xml:space="preserve">approximately 5 minutes. Participants were instructed to create</w:t>
      </w:r>
      <w:r>
        <w:t xml:space="preserve"> </w:t>
      </w:r>
      <w:r>
        <w:t xml:space="preserve">something interesting, and to record a final excerpt (60 to 120 seconds)</w:t>
      </w:r>
      <w:r>
        <w:t xml:space="preserve"> </w:t>
      </w:r>
      <w:r>
        <w:t xml:space="preserve">with parameter changes permitted during recording. Immediately after</w:t>
      </w:r>
      <w:r>
        <w:t xml:space="preserve"> </w:t>
      </w:r>
      <w:r>
        <w:t xml:space="preserve">each capture, the excerpt was replayed with both modalities enabled (the</w:t>
      </w:r>
      <w:r>
        <w:t xml:space="preserve"> </w:t>
      </w:r>
      <w:r>
        <w:t xml:space="preserve">reveal), followed by a two-part questionnaire:</w:t>
      </w:r>
    </w:p>
    <w:p>
      <w:pPr>
        <w:pStyle w:val="BodyText"/>
      </w:pPr>
      <w:r>
        <w:rPr>
          <w:b/>
          <w:bCs/>
        </w:rPr>
        <w:t xml:space="preserve">Part A (pre-reveal)</w:t>
      </w:r>
      <w:r>
        <w:t xml:space="preserve">: ratings and brief notes about the composition</w:t>
      </w:r>
      <w:r>
        <w:t xml:space="preserve"> </w:t>
      </w:r>
      <w:r>
        <w:t xml:space="preserve">experience under constraint.</w:t>
      </w:r>
    </w:p>
    <w:p>
      <w:pPr>
        <w:pStyle w:val="BodyText"/>
      </w:pPr>
      <w:r>
        <w:rPr>
          <w:b/>
          <w:bCs/>
        </w:rPr>
        <w:t xml:space="preserve">Part B (post-reveal)</w:t>
      </w:r>
      <w:r>
        <w:t xml:space="preserve">: ratings and reflections about the fused</w:t>
      </w:r>
      <w:r>
        <w:t xml:space="preserve"> </w:t>
      </w:r>
      <w:r>
        <w:t xml:space="preserve">audiovisual result after replay.</w:t>
      </w:r>
    </w:p>
    <w:p>
      <w:pPr>
        <w:pStyle w:val="BodyText"/>
      </w:pPr>
      <w:r>
        <w:t xml:space="preserve">Likert items used a 7-point scale (1 = strongly disagree, 7 = strongly</w:t>
      </w:r>
      <w:r>
        <w:t xml:space="preserve"> </w:t>
      </w:r>
      <w:r>
        <w:t xml:space="preserve">agree). Part A captured satisfaction (A1), intention clarity (A2),</w:t>
      </w:r>
      <w:r>
        <w:t xml:space="preserve"> </w:t>
      </w:r>
      <w:r>
        <w:t xml:space="preserve">steerability (A3), interface understandability (A4), useful surprise</w:t>
      </w:r>
      <w:r>
        <w:t xml:space="preserve"> </w:t>
      </w:r>
      <w:r>
        <w:t xml:space="preserve">(A5), frustrating unpredictability (A6), and confidence others would</w:t>
      </w:r>
      <w:r>
        <w:t xml:space="preserve"> </w:t>
      </w:r>
      <w:r>
        <w:t xml:space="preserve">find the result interesting (A7). Part B captured same-process judgement</w:t>
      </w:r>
      <w:r>
        <w:t xml:space="preserve"> </w:t>
      </w:r>
      <w:r>
        <w:t xml:space="preserve">(B1), modality balance (B2), coherence (B3), constructive reinforcement</w:t>
      </w:r>
      <w:r>
        <w:t xml:space="preserve"> </w:t>
      </w:r>
      <w:r>
        <w:t xml:space="preserve">(B4), destructive contradiction (B5), overload (B6), expectation match</w:t>
      </w:r>
      <w:r>
        <w:t xml:space="preserve"> </w:t>
      </w:r>
      <w:r>
        <w:t xml:space="preserve">(B7), interpretation change (B8), causal story plausibility (B9),</w:t>
      </w:r>
      <w:r>
        <w:t xml:space="preserve"> </w:t>
      </w:r>
      <w:r>
        <w:t xml:space="preserve">perceived autonomy (B10), reliance on visual cues (B11), and reliance on</w:t>
      </w:r>
      <w:r>
        <w:t xml:space="preserve"> </w:t>
      </w:r>
      <w:r>
        <w:t xml:space="preserve">theory cues (B12). After each block, participants nominated up to three</w:t>
      </w:r>
      <w:r>
        <w:t xml:space="preserve"> </w:t>
      </w:r>
      <w:r>
        <w:t xml:space="preserve">parameters they perceived as most influential.</w:t>
      </w:r>
    </w:p>
    <w:p>
      <w:pPr>
        <w:pStyle w:val="BodyText"/>
      </w:pPr>
      <w:r>
        <w:t xml:space="preserve">At session end, participants ranked their three outputs, selected the</w:t>
      </w:r>
      <w:r>
        <w:t xml:space="preserve"> </w:t>
      </w:r>
      <w:r>
        <w:t xml:space="preserve">condition that felt most intermedial, selected the condition with the</w:t>
      </w:r>
      <w:r>
        <w:t xml:space="preserve"> </w:t>
      </w:r>
      <w:r>
        <w:t xml:space="preserve">biggest mismatch, and described one change that would improve media</w:t>
      </w:r>
      <w:r>
        <w:t xml:space="preserve"> </w:t>
      </w:r>
      <w:r>
        <w:t xml:space="preserve">equality or intermedial legibility.</w:t>
      </w:r>
    </w:p>
    <w:p>
      <w:pPr>
        <w:pStyle w:val="BodyText"/>
      </w:pPr>
      <w:r>
        <w:t xml:space="preserve">Where participant quotations appear in this article, minor spelling and</w:t>
      </w:r>
      <w:r>
        <w:t xml:space="preserve"> </w:t>
      </w:r>
      <w:r>
        <w:t xml:space="preserve">typing errors have been silently corrected for readability; meaning and</w:t>
      </w:r>
      <w:r>
        <w:t xml:space="preserve"> </w:t>
      </w:r>
      <w:r>
        <w:t xml:space="preserve">structure are unchanged.</w:t>
      </w:r>
    </w:p>
    <w:p>
      <w:pPr>
        <w:pStyle w:val="BodyText"/>
      </w:pPr>
      <w:r>
        <w:rPr>
          <w:b/>
          <w:bCs/>
        </w:rPr>
        <w:t xml:space="preserve">4 Results</w:t>
      </w:r>
    </w:p>
    <w:p>
      <w:pPr>
        <w:pStyle w:val="BodyText"/>
      </w:pPr>
      <w:r>
        <w:rPr>
          <w:b/>
          <w:bCs/>
        </w:rPr>
        <w:t xml:space="preserve">4.1 Data completeness</w:t>
      </w:r>
    </w:p>
    <w:p>
      <w:pPr>
        <w:pStyle w:val="BodyText"/>
      </w:pPr>
      <w:r>
        <w:t xml:space="preserve">All nine participants completed all three blocks (27 of 27 blocks).</w:t>
      </w:r>
      <w:r>
        <w:t xml:space="preserve"> </w:t>
      </w:r>
      <w:r>
        <w:t xml:space="preserve">Saved presets provide a direct link from questionnaire responses to</w:t>
      </w:r>
      <w:r>
        <w:t xml:space="preserve"> </w:t>
      </w:r>
      <w:r>
        <w:t xml:space="preserve">reproducible system states.</w:t>
      </w:r>
    </w:p>
    <w:p>
      <w:pPr>
        <w:pStyle w:val="BodyText"/>
      </w:pPr>
      <w:r>
        <w:rPr>
          <w:b/>
          <w:bCs/>
        </w:rPr>
        <w:t xml:space="preserve">4.2 Condition preference, perceived intermediality, and mismatch</w:t>
      </w:r>
    </w:p>
    <w:p>
      <w:pPr>
        <w:pStyle w:val="BodyText"/>
      </w:pPr>
      <w:r>
        <w:t xml:space="preserve">End-of-session rankings show a strong preference for audiovisual access:</w:t>
      </w:r>
      <w:r>
        <w:t xml:space="preserve"> </w:t>
      </w:r>
      <w:r>
        <w:t xml:space="preserve">8 of 9 participants ranked condition C as best overall; 1 of 9 ranked</w:t>
      </w:r>
      <w:r>
        <w:t xml:space="preserve"> </w:t>
      </w:r>
      <w:r>
        <w:t xml:space="preserve">condition B best overall. Participants most frequently selected</w:t>
      </w:r>
      <w:r>
        <w:t xml:space="preserve"> </w:t>
      </w:r>
      <w:r>
        <w:t xml:space="preserve">condition C as most intermedial (7 of 9), with one selecting B and one</w:t>
      </w:r>
      <w:r>
        <w:t xml:space="preserve"> </w:t>
      </w:r>
      <w:r>
        <w:t xml:space="preserve">indicating uncertainty.</w:t>
      </w:r>
    </w:p>
    <w:p>
      <w:pPr>
        <w:pStyle w:val="BodyText"/>
      </w:pPr>
      <w:r>
        <w:t xml:space="preserve">Mismatch reports concentrated in the audio-only condition: 6 of 9</w:t>
      </w:r>
      <w:r>
        <w:t xml:space="preserve"> </w:t>
      </w:r>
      <w:r>
        <w:t xml:space="preserve">participants nominated B as the biggest mismatch, compared with A (2 of</w:t>
      </w:r>
      <w:r>
        <w:t xml:space="preserve"> </w:t>
      </w:r>
      <w:r>
        <w:t xml:space="preserve">9) and C (1 of 9).</w:t>
      </w:r>
    </w:p>
    <w:bookmarkStart w:id="24" w:name="fig:fig4"/>
    <w:p>
      <w:pPr>
        <w:pStyle w:val="CaptionedFigure"/>
      </w:pPr>
      <w:r>
        <w:drawing>
          <wp:inline>
            <wp:extent cx="5334000" cy="2937957"/>
            <wp:effectExtent b="0" l="0" r="0" t="0"/>
            <wp:docPr descr="Figure 4: Counts of best overall rank, most intermedial selection, and biggest mismatch by block condition (A=Visual Only, B=Audio Only, C=Audiovisual)." title="" id="22" name="Picture"/>
            <a:graphic>
              <a:graphicData uri="http://schemas.openxmlformats.org/drawingml/2006/picture">
                <pic:pic>
                  <pic:nvPicPr>
                    <pic:cNvPr descr="figures_png/fig4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7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4: Counts of best overall rank, most intermedial selection, and biggest mismatch by block condition (A=Visual Only, B=Audio Only, C=Audiovisual).</w:t>
      </w:r>
    </w:p>
    <w:bookmarkEnd w:id="24"/>
    <w:p>
      <w:pPr>
        <w:pStyle w:val="BodyText"/>
      </w:pPr>
      <w:r>
        <w:rPr>
          <w:b/>
          <w:bCs/>
        </w:rPr>
        <w:t xml:space="preserve">4.3 Strategies under constraint</w:t>
      </w:r>
    </w:p>
    <w:p>
      <w:pPr>
        <w:pStyle w:val="BodyText"/>
      </w:pPr>
      <w:r>
        <w:t xml:space="preserve">Participants described compositional approaches that clustered into</w:t>
      </w:r>
      <w:r>
        <w:t xml:space="preserve"> </w:t>
      </w:r>
      <w:r>
        <w:t xml:space="preserve">strategy families: density shaping, arcs or narrative forms, loop-based</w:t>
      </w:r>
      <w:r>
        <w:t xml:space="preserve"> </w:t>
      </w:r>
      <w:r>
        <w:t xml:space="preserve">structuring, scale or harmony selection, and rapid A/B testing of</w:t>
      </w:r>
      <w:r>
        <w:t xml:space="preserve"> </w:t>
      </w:r>
      <w:r>
        <w:t xml:space="preserve">parameters to learn local cause-effect relations.</w:t>
      </w:r>
    </w:p>
    <w:p>
      <w:pPr>
        <w:pStyle w:val="BodyText"/>
      </w:pPr>
      <w:r>
        <w:rPr>
          <w:b/>
          <w:bCs/>
        </w:rPr>
        <w:t xml:space="preserve">Visual-only composition</w:t>
      </w:r>
      <w:r>
        <w:t xml:space="preserve"> </w:t>
      </w:r>
      <w:r>
        <w:t xml:space="preserve">often supported a stable action-evaluation</w:t>
      </w:r>
      <w:r>
        <w:t xml:space="preserve"> </w:t>
      </w:r>
      <w:r>
        <w:t xml:space="preserve">loop. Figure 5 shows A2 (intention clarity) and A3 (steerability)</w:t>
      </w:r>
      <w:r>
        <w:t xml:space="preserve"> </w:t>
      </w:r>
      <w:r>
        <w:t xml:space="preserve">clustering towards agreement in condition A relative to condition B,</w:t>
      </w:r>
      <w:r>
        <w:t xml:space="preserve"> </w:t>
      </w:r>
      <w:r>
        <w:t xml:space="preserve">consistent with state visibility supporting intention formation and</w:t>
      </w:r>
      <w:r>
        <w:t xml:space="preserve"> </w:t>
      </w:r>
      <w:r>
        <w:t xml:space="preserve">monitoring. For example, one participant aimed to fill the grid and</w:t>
      </w:r>
      <w:r>
        <w:t xml:space="preserve"> </w:t>
      </w:r>
      <w:r>
        <w:t xml:space="preserve">shape form over time:</w:t>
      </w:r>
      <w:r>
        <w:t xml:space="preserve"> </w:t>
      </w:r>
      <w:r>
        <w:t xml:space="preserve">“Fill the whole grid with lights.</w:t>
      </w:r>
      <w:r>
        <w:t xml:space="preserve"> </w:t>
      </w:r>
      <w:r>
        <w:t xml:space="preserve">Build up a full grid then switch the rate up and down”</w:t>
      </w:r>
      <w:r>
        <w:t xml:space="preserve"> </w:t>
      </w:r>
      <w:r>
        <w:t xml:space="preserve">(Participant 3,</w:t>
      </w:r>
      <w:r>
        <w:t xml:space="preserve"> </w:t>
      </w:r>
      <w:r>
        <w:t xml:space="preserve">visual-only block, pre-reveal). Another described a similar</w:t>
      </w:r>
      <w:r>
        <w:t xml:space="preserve"> </w:t>
      </w:r>
      <w:r>
        <w:t xml:space="preserve">density-first approach:</w:t>
      </w:r>
      <w:r>
        <w:t xml:space="preserve"> </w:t>
      </w:r>
      <w:r>
        <w:t xml:space="preserve">“Start with lots of colour covering</w:t>
      </w:r>
      <w:r>
        <w:t xml:space="preserve"> </w:t>
      </w:r>
      <w:r>
        <w:t xml:space="preserve">the grid, then reduce intensity and bring it back up to full coverage”</w:t>
      </w:r>
      <w:r>
        <w:t xml:space="preserve"> </w:t>
      </w:r>
      <w:r>
        <w:t xml:space="preserve">(Participant 1, visual-only block, pre-reveal).</w:t>
      </w:r>
    </w:p>
    <w:bookmarkStart w:id="28" w:name="fig:fig5"/>
    <w:p>
      <w:pPr>
        <w:pStyle w:val="CaptionedFigure"/>
      </w:pPr>
      <w:r>
        <w:drawing>
          <wp:inline>
            <wp:extent cx="5334000" cy="3997869"/>
            <wp:effectExtent b="0" l="0" r="0" t="0"/>
            <wp:docPr descr="Figure 5: Diverging stacked Likert responses for Part A (pre-reveal) items by block condition. Bars show within-condition percentages centred on neutral (4)." title="" id="26" name="Picture"/>
            <a:graphic>
              <a:graphicData uri="http://schemas.openxmlformats.org/drawingml/2006/picture">
                <pic:pic>
                  <pic:nvPicPr>
                    <pic:cNvPr descr="figures_png/fig5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7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5: Diverging stacked Likert responses for Part A (pre-reveal) items by block condition. Bars show within-condition percentages centred on neutral (4).</w:t>
      </w:r>
    </w:p>
    <w:bookmarkEnd w:id="28"/>
    <w:p>
      <w:pPr>
        <w:pStyle w:val="BodyText"/>
      </w:pPr>
      <w:r>
        <w:t xml:space="preserve">Visual-only access was sometimes described as creatively liberating,</w:t>
      </w:r>
      <w:r>
        <w:t xml:space="preserve"> </w:t>
      </w:r>
      <w:r>
        <w:t xml:space="preserve">especially for trained musicians. Participant 8 reported that removing</w:t>
      </w:r>
      <w:r>
        <w:t xml:space="preserve"> </w:t>
      </w:r>
      <w:r>
        <w:t xml:space="preserve">audio reduced theory-led self-monitoring and enabled a more playful mode</w:t>
      </w:r>
      <w:r>
        <w:t xml:space="preserve"> </w:t>
      </w:r>
      <w:r>
        <w:t xml:space="preserve">of exploration:</w:t>
      </w:r>
      <w:r>
        <w:t xml:space="preserve"> </w:t>
      </w:r>
      <w:r>
        <w:t xml:space="preserve">“didn’t even think about pitch and what scale notes to</w:t>
      </w:r>
      <w:r>
        <w:t xml:space="preserve"> </w:t>
      </w:r>
      <w:r>
        <w:t xml:space="preserve">use on the visual block… satisfaction is interesting as I felt in a</w:t>
      </w:r>
      <w:r>
        <w:t xml:space="preserve"> </w:t>
      </w:r>
      <w:r>
        <w:t xml:space="preserve">playful state so satisfaction higher than if I was in a performance</w:t>
      </w:r>
      <w:r>
        <w:t xml:space="preserve"> </w:t>
      </w:r>
      <w:r>
        <w:t xml:space="preserve">/product state”</w:t>
      </w:r>
      <w:r>
        <w:t xml:space="preserve"> </w:t>
      </w:r>
      <w:r>
        <w:t xml:space="preserve">(Participant 8, visual-only block, post-reveal).</w:t>
      </w:r>
    </w:p>
    <w:p>
      <w:pPr>
        <w:pStyle w:val="BodyText"/>
      </w:pPr>
      <w:r>
        <w:rPr>
          <w:b/>
          <w:bCs/>
        </w:rPr>
        <w:t xml:space="preserve">Audio-only composition</w:t>
      </w:r>
      <w:r>
        <w:t xml:space="preserve"> </w:t>
      </w:r>
      <w:r>
        <w:t xml:space="preserve">shifted strategies towards pacing, texture,</w:t>
      </w:r>
      <w:r>
        <w:t xml:space="preserve"> </w:t>
      </w:r>
      <w:r>
        <w:t xml:space="preserve">and repetition as a stabiliser. Figure 5 shows A2, A3, and A4 (interface</w:t>
      </w:r>
      <w:r>
        <w:t xml:space="preserve"> </w:t>
      </w:r>
      <w:r>
        <w:t xml:space="preserve">understandability) more mixed in condition B, consistent with the loss</w:t>
      </w:r>
      <w:r>
        <w:t xml:space="preserve"> </w:t>
      </w:r>
      <w:r>
        <w:t xml:space="preserve">of visible state during action. Participants responded by creating</w:t>
      </w:r>
      <w:r>
        <w:t xml:space="preserve"> </w:t>
      </w:r>
      <w:r>
        <w:t xml:space="preserve">musical containers through recurrence:</w:t>
      </w:r>
      <w:r>
        <w:t xml:space="preserve"> </w:t>
      </w:r>
      <w:r>
        <w:t xml:space="preserve">“Looping was</w:t>
      </w:r>
      <w:r>
        <w:t xml:space="preserve"> </w:t>
      </w:r>
      <w:r>
        <w:t xml:space="preserve">fundamental… starting with basic, empty loop… keeping it sparse…</w:t>
      </w:r>
      <w:r>
        <w:t xml:space="preserve"> </w:t>
      </w:r>
      <w:r>
        <w:t xml:space="preserve">and then come back to another loop”</w:t>
      </w:r>
      <w:r>
        <w:t xml:space="preserve"> </w:t>
      </w:r>
      <w:r>
        <w:t xml:space="preserve">(Participant 8, audio-only block,</w:t>
      </w:r>
      <w:r>
        <w:t xml:space="preserve"> </w:t>
      </w:r>
      <w:r>
        <w:t xml:space="preserve">pre-reveal). Others described exploratory testing:</w:t>
      </w:r>
      <w:r>
        <w:t xml:space="preserve"> </w:t>
      </w:r>
      <w:r>
        <w:t xml:space="preserve">“More</w:t>
      </w:r>
      <w:r>
        <w:t xml:space="preserve"> </w:t>
      </w:r>
      <w:r>
        <w:t xml:space="preserve">A/B testing to understand the properties”</w:t>
      </w:r>
      <w:r>
        <w:t xml:space="preserve"> </w:t>
      </w:r>
      <w:r>
        <w:t xml:space="preserve">(Participant 3, audio-only</w:t>
      </w:r>
      <w:r>
        <w:t xml:space="preserve"> </w:t>
      </w:r>
      <w:r>
        <w:t xml:space="preserve">block, pre-reveal).</w:t>
      </w:r>
    </w:p>
    <w:p>
      <w:pPr>
        <w:pStyle w:val="BodyText"/>
      </w:pPr>
      <w:r>
        <w:rPr>
          <w:b/>
          <w:bCs/>
        </w:rPr>
        <w:t xml:space="preserve">Audiovisual composition</w:t>
      </w:r>
      <w:r>
        <w:t xml:space="preserve"> </w:t>
      </w:r>
      <w:r>
        <w:t xml:space="preserve">commonly integrated lessons learned from</w:t>
      </w:r>
      <w:r>
        <w:t xml:space="preserve"> </w:t>
      </w:r>
      <w:r>
        <w:t xml:space="preserve">constrained runs. Figure 5 shows high satisfaction (A1) and high useful</w:t>
      </w:r>
      <w:r>
        <w:t xml:space="preserve"> </w:t>
      </w:r>
      <w:r>
        <w:t xml:space="preserve">surprise (A5) in condition C, alongside qualitative accounts of</w:t>
      </w:r>
      <w:r>
        <w:t xml:space="preserve"> </w:t>
      </w:r>
      <w:r>
        <w:t xml:space="preserve">combining purposeful shaping with exploratory play. One participant also</w:t>
      </w:r>
      <w:r>
        <w:t xml:space="preserve"> </w:t>
      </w:r>
      <w:r>
        <w:t xml:space="preserve">noted a practical attentional tension:</w:t>
      </w:r>
      <w:r>
        <w:t xml:space="preserve"> </w:t>
      </w:r>
      <w:r>
        <w:t xml:space="preserve">“had to remind</w:t>
      </w:r>
      <w:r>
        <w:t xml:space="preserve"> </w:t>
      </w:r>
      <w:r>
        <w:t xml:space="preserve">myself to keep looking at the visuals… more of an affinity with sound”</w:t>
      </w:r>
      <w:r>
        <w:t xml:space="preserve"> </w:t>
      </w:r>
      <w:r>
        <w:t xml:space="preserve">(Participant 8, audiovisual block, pre-reveal).</w:t>
      </w:r>
    </w:p>
    <w:p>
      <w:pPr>
        <w:pStyle w:val="BodyText"/>
      </w:pPr>
      <w:r>
        <w:rPr>
          <w:b/>
          <w:bCs/>
        </w:rPr>
        <w:t xml:space="preserve">4.4 The reveal as a site of rebinding and reinterpretation</w:t>
      </w:r>
    </w:p>
    <w:p>
      <w:pPr>
        <w:pStyle w:val="BodyText"/>
      </w:pPr>
      <w:r>
        <w:t xml:space="preserve">A recurring theme was the reveal acting as a moment of retrospective</w:t>
      </w:r>
      <w:r>
        <w:t xml:space="preserve"> </w:t>
      </w:r>
      <w:r>
        <w:t xml:space="preserve">binding. Figure 6 shows that B1 (same-process judgement) and B4</w:t>
      </w:r>
      <w:r>
        <w:t xml:space="preserve"> </w:t>
      </w:r>
      <w:r>
        <w:t xml:space="preserve">(constructive reinforcement) are strongest after audio-only and</w:t>
      </w:r>
      <w:r>
        <w:t xml:space="preserve"> </w:t>
      </w:r>
      <w:r>
        <w:t xml:space="preserve">audiovisual composition, while B8 (interpretation change) increases most</w:t>
      </w:r>
      <w:r>
        <w:t xml:space="preserve"> </w:t>
      </w:r>
      <w:r>
        <w:t xml:space="preserve">when one modality has been withheld, consistent with replay functioning</w:t>
      </w:r>
      <w:r>
        <w:t xml:space="preserve"> </w:t>
      </w:r>
      <w:r>
        <w:t xml:space="preserve">as calibration.</w:t>
      </w:r>
    </w:p>
    <w:bookmarkStart w:id="32" w:name="fig:fig6"/>
    <w:p>
      <w:pPr>
        <w:pStyle w:val="CaptionedFigure"/>
      </w:pPr>
      <w:r>
        <w:drawing>
          <wp:inline>
            <wp:extent cx="5334000" cy="4944733"/>
            <wp:effectExtent b="0" l="0" r="0" t="0"/>
            <wp:docPr descr="Figure 6: Diverging stacked Likert responses for Part B (post-reveal) items by block condition. Bars show within-condition percentages centred on neutral (4)" title="" id="30" name="Picture"/>
            <a:graphic>
              <a:graphicData uri="http://schemas.openxmlformats.org/drawingml/2006/picture">
                <pic:pic>
                  <pic:nvPicPr>
                    <pic:cNvPr descr="figures_png/fig6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44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6: Diverging stacked Likert responses for Part B (post-reveal) items by block condition. Bars show within-condition percentages centred on neutral (4)</w:t>
      </w:r>
    </w:p>
    <w:bookmarkEnd w:id="32"/>
    <w:p>
      <w:pPr>
        <w:pStyle w:val="BodyText"/>
      </w:pPr>
      <w:r>
        <w:t xml:space="preserve">Qualitative accounts support this. One participant described audio-only</w:t>
      </w:r>
      <w:r>
        <w:t xml:space="preserve"> </w:t>
      </w:r>
      <w:r>
        <w:t xml:space="preserve">replay as exceeding expectations:</w:t>
      </w:r>
      <w:r>
        <w:t xml:space="preserve"> </w:t>
      </w:r>
      <w:r>
        <w:t xml:space="preserve">“The outcome was more</w:t>
      </w:r>
      <w:r>
        <w:t xml:space="preserve"> </w:t>
      </w:r>
      <w:r>
        <w:t xml:space="preserve">satisfying than I felt the recording and playing process went… on</w:t>
      </w:r>
      <w:r>
        <w:t xml:space="preserve"> </w:t>
      </w:r>
      <w:r>
        <w:t xml:space="preserve">review had more structure than maybe I realised during the process of</w:t>
      </w:r>
      <w:r>
        <w:t xml:space="preserve"> </w:t>
      </w:r>
      <w:r>
        <w:t xml:space="preserve">recording”</w:t>
      </w:r>
      <w:r>
        <w:t xml:space="preserve"> </w:t>
      </w:r>
      <w:r>
        <w:t xml:space="preserve">(Participant 3, audio-only block, post-reveal). Another</w:t>
      </w:r>
      <w:r>
        <w:t xml:space="preserve"> </w:t>
      </w:r>
      <w:r>
        <w:t xml:space="preserve">described a strong positive mismatch on reveal:</w:t>
      </w:r>
      <w:r>
        <w:t xml:space="preserve"> </w:t>
      </w:r>
      <w:r>
        <w:t xml:space="preserve">“I had no expectation</w:t>
      </w:r>
      <w:r>
        <w:t xml:space="preserve"> </w:t>
      </w:r>
      <w:r>
        <w:t xml:space="preserve">of what the visuals should be, but when I saw it, it was so beautiful”</w:t>
      </w:r>
      <w:r>
        <w:t xml:space="preserve"> </w:t>
      </w:r>
      <w:r>
        <w:t xml:space="preserve">(Participant 8, audio-only block, post-reveal).</w:t>
      </w:r>
    </w:p>
    <w:p>
      <w:pPr>
        <w:pStyle w:val="BodyText"/>
      </w:pPr>
      <w:r>
        <w:rPr>
          <w:b/>
          <w:bCs/>
        </w:rPr>
        <w:t xml:space="preserve">4.5 Attentional hierarchy and media equality as negotiated practice</w:t>
      </w:r>
    </w:p>
    <w:p>
      <w:pPr>
        <w:pStyle w:val="BodyText"/>
      </w:pPr>
      <w:r>
        <w:t xml:space="preserve">Participants repeatedly described media equality as something they had</w:t>
      </w:r>
      <w:r>
        <w:t xml:space="preserve"> </w:t>
      </w:r>
      <w:r>
        <w:t xml:space="preserve">to achieve, rather than something guaranteed by coupling. Several</w:t>
      </w:r>
      <w:r>
        <w:t xml:space="preserve"> </w:t>
      </w:r>
      <w:r>
        <w:t xml:space="preserve">accounts describe sound as perceptually dominant and therefore hard to</w:t>
      </w:r>
      <w:r>
        <w:t xml:space="preserve"> </w:t>
      </w:r>
      <w:r>
        <w:t xml:space="preserve">ignore:</w:t>
      </w:r>
      <w:r>
        <w:t xml:space="preserve"> </w:t>
      </w:r>
      <w:r>
        <w:t xml:space="preserve">“For me, the audio had to be removed completely</w:t>
      </w:r>
      <w:r>
        <w:t xml:space="preserve"> </w:t>
      </w:r>
      <w:r>
        <w:t xml:space="preserve">before I could prioritise the visual. The audio was more important to my</w:t>
      </w:r>
      <w:r>
        <w:t xml:space="preserve"> </w:t>
      </w:r>
      <w:r>
        <w:t xml:space="preserve">overall experience”</w:t>
      </w:r>
      <w:r>
        <w:t xml:space="preserve"> </w:t>
      </w:r>
      <w:r>
        <w:t xml:space="preserve">(Participant 2, end-of-session reflection). Others</w:t>
      </w:r>
      <w:r>
        <w:t xml:space="preserve"> </w:t>
      </w:r>
      <w:r>
        <w:t xml:space="preserve">described the inverse:</w:t>
      </w:r>
      <w:r>
        <w:t xml:space="preserve"> </w:t>
      </w:r>
      <w:r>
        <w:t xml:space="preserve">“The visual patterns help reveal the</w:t>
      </w:r>
      <w:r>
        <w:t xml:space="preserve"> </w:t>
      </w:r>
      <w:r>
        <w:t xml:space="preserve">relationships between notes”</w:t>
      </w:r>
      <w:r>
        <w:t xml:space="preserve"> </w:t>
      </w:r>
      <w:r>
        <w:t xml:space="preserve">(Participant 3, audio-only block,</w:t>
      </w:r>
      <w:r>
        <w:t xml:space="preserve"> </w:t>
      </w:r>
      <w:r>
        <w:t xml:space="preserve">post-reveal).</w:t>
      </w:r>
    </w:p>
    <w:p>
      <w:pPr>
        <w:pStyle w:val="BodyText"/>
      </w:pPr>
      <w:r>
        <w:t xml:space="preserve">These experiences align with cue reliance patterns. Figure 6 indicates</w:t>
      </w:r>
      <w:r>
        <w:t xml:space="preserve"> </w:t>
      </w:r>
      <w:r>
        <w:t xml:space="preserve">that reliance on visual cues (B11) remains substantial even when the</w:t>
      </w:r>
      <w:r>
        <w:t xml:space="preserve"> </w:t>
      </w:r>
      <w:r>
        <w:t xml:space="preserve">visual channel was absent during composition, suggesting that the reveal</w:t>
      </w:r>
      <w:r>
        <w:t xml:space="preserve"> </w:t>
      </w:r>
      <w:r>
        <w:t xml:space="preserve">can re-weight the causal model towards visual structure when it becomes</w:t>
      </w:r>
      <w:r>
        <w:t xml:space="preserve"> </w:t>
      </w:r>
      <w:r>
        <w:t xml:space="preserve">available.</w:t>
      </w:r>
    </w:p>
    <w:p>
      <w:pPr>
        <w:pStyle w:val="BodyText"/>
      </w:pPr>
      <w:r>
        <w:rPr>
          <w:b/>
          <w:bCs/>
        </w:rPr>
        <w:t xml:space="preserve">4.6 Intermedial interference mechanisms as cue conflict</w:t>
      </w:r>
    </w:p>
    <w:p>
      <w:pPr>
        <w:pStyle w:val="BodyText"/>
      </w:pPr>
      <w:r>
        <w:t xml:space="preserve">When interference was described as disruptive, it was typically framed</w:t>
      </w:r>
      <w:r>
        <w:t xml:space="preserve"> </w:t>
      </w:r>
      <w:r>
        <w:t xml:space="preserve">as cue conflict where one modality implied temporal, structural, or</w:t>
      </w:r>
      <w:r>
        <w:t xml:space="preserve"> </w:t>
      </w:r>
      <w:r>
        <w:t xml:space="preserve">causal relations that the other did not support.</w:t>
      </w:r>
    </w:p>
    <w:p>
      <w:pPr>
        <w:pStyle w:val="BodyText"/>
      </w:pPr>
      <w:r>
        <w:rPr>
          <w:b/>
          <w:bCs/>
        </w:rPr>
        <w:t xml:space="preserve">Duration persistence</w:t>
      </w:r>
      <w:r>
        <w:t xml:space="preserve">:</w:t>
      </w:r>
      <w:r>
        <w:t xml:space="preserve"> </w:t>
      </w:r>
      <w:r>
        <w:t xml:space="preserve">“Length of light activity was</w:t>
      </w:r>
      <w:r>
        <w:t xml:space="preserve"> </w:t>
      </w:r>
      <w:r>
        <w:t xml:space="preserve">misleading for tone length which was shorter and did not match”</w:t>
      </w:r>
      <w:r>
        <w:t xml:space="preserve"> </w:t>
      </w:r>
      <w:r>
        <w:t xml:space="preserve">(Participant 4, visual-only block, post-reveal). This weakens temporal</w:t>
      </w:r>
      <w:r>
        <w:t xml:space="preserve"> </w:t>
      </w:r>
      <w:r>
        <w:t xml:space="preserve">correspondence and predictive power.</w:t>
      </w:r>
    </w:p>
    <w:p>
      <w:pPr>
        <w:pStyle w:val="BodyText"/>
      </w:pPr>
      <w:r>
        <w:rPr>
          <w:b/>
          <w:bCs/>
        </w:rPr>
        <w:t xml:space="preserve">Density correspondence</w:t>
      </w:r>
      <w:r>
        <w:t xml:space="preserve">:</w:t>
      </w:r>
      <w:r>
        <w:t xml:space="preserve"> </w:t>
      </w:r>
      <w:r>
        <w:t xml:space="preserve">“A number of sparse visuals</w:t>
      </w:r>
      <w:r>
        <w:t xml:space="preserve"> </w:t>
      </w:r>
      <w:r>
        <w:t xml:space="preserve">sounded as busy as a previously very active visual”</w:t>
      </w:r>
      <w:r>
        <w:t xml:space="preserve"> </w:t>
      </w:r>
      <w:r>
        <w:t xml:space="preserve">(Participant 9,</w:t>
      </w:r>
      <w:r>
        <w:t xml:space="preserve"> </w:t>
      </w:r>
      <w:r>
        <w:t xml:space="preserve">visual-only block, post-reveal). This undermines causal confidence in</w:t>
      </w:r>
      <w:r>
        <w:t xml:space="preserve"> </w:t>
      </w:r>
      <w:r>
        <w:t xml:space="preserve">cross-modal heuristics.</w:t>
      </w:r>
    </w:p>
    <w:p>
      <w:pPr>
        <w:pStyle w:val="BodyText"/>
      </w:pPr>
      <w:r>
        <w:rPr>
          <w:b/>
          <w:bCs/>
        </w:rPr>
        <w:t xml:space="preserve">Perceptual masking and auditability</w:t>
      </w:r>
      <w:r>
        <w:t xml:space="preserve">:</w:t>
      </w:r>
      <w:r>
        <w:t xml:space="preserve"> </w:t>
      </w:r>
      <w:r>
        <w:t xml:space="preserve">“Different octaves</w:t>
      </w:r>
      <w:r>
        <w:t xml:space="preserve"> </w:t>
      </w:r>
      <w:r>
        <w:t xml:space="preserve">of the same note starting at the same time sounded as one”</w:t>
      </w:r>
      <w:r>
        <w:t xml:space="preserve"> </w:t>
      </w:r>
      <w:r>
        <w:t xml:space="preserve">(Participant</w:t>
      </w:r>
      <w:r>
        <w:t xml:space="preserve"> </w:t>
      </w:r>
      <w:r>
        <w:t xml:space="preserve">9, visual-only block, post-reveal). When events are not audibly</w:t>
      </w:r>
      <w:r>
        <w:t xml:space="preserve"> </w:t>
      </w:r>
      <w:r>
        <w:t xml:space="preserve">separable, cross-modal checking is weakened.</w:t>
      </w:r>
    </w:p>
    <w:p>
      <w:pPr>
        <w:pStyle w:val="BodyText"/>
      </w:pPr>
      <w:r>
        <w:t xml:space="preserve">Participants also reported productive interference when cues reinforced,</w:t>
      </w:r>
      <w:r>
        <w:t xml:space="preserve"> </w:t>
      </w:r>
      <w:r>
        <w:t xml:space="preserve">reflected in Figure 6 by strong endorsement of B4 (constructive</w:t>
      </w:r>
      <w:r>
        <w:t xml:space="preserve"> </w:t>
      </w:r>
      <w:r>
        <w:t xml:space="preserve">reinforcement) and comparatively lower endorsement of B5 (destructive</w:t>
      </w:r>
      <w:r>
        <w:t xml:space="preserve"> </w:t>
      </w:r>
      <w:r>
        <w:t xml:space="preserve">contradiction) in the audiovisual condition.</w:t>
      </w:r>
    </w:p>
    <w:p>
      <w:pPr>
        <w:pStyle w:val="BodyText"/>
      </w:pPr>
      <w:r>
        <w:rPr>
          <w:b/>
          <w:bCs/>
        </w:rPr>
        <w:t xml:space="preserve">4.7 Agency and co-creative negotiation</w:t>
      </w:r>
    </w:p>
    <w:p>
      <w:pPr>
        <w:pStyle w:val="BodyText"/>
      </w:pPr>
      <w:r>
        <w:t xml:space="preserve">Across conditions, participants framed interaction less as direct</w:t>
      </w:r>
      <w:r>
        <w:t xml:space="preserve"> </w:t>
      </w:r>
      <w:r>
        <w:t xml:space="preserve">control and more as negotiated agency. Some described collaboration with</w:t>
      </w:r>
      <w:r>
        <w:t xml:space="preserve"> </w:t>
      </w:r>
      <w:r>
        <w:t xml:space="preserve">the instrument:</w:t>
      </w:r>
      <w:r>
        <w:t xml:space="preserve"> </w:t>
      </w:r>
      <w:r>
        <w:t xml:space="preserve">“there’s something like a collaboration</w:t>
      </w:r>
      <w:r>
        <w:t xml:space="preserve"> </w:t>
      </w:r>
      <w:r>
        <w:t xml:space="preserve">working with the instrument”</w:t>
      </w:r>
      <w:r>
        <w:t xml:space="preserve"> </w:t>
      </w:r>
      <w:r>
        <w:t xml:space="preserve">(Participant 8, audiovisual block,</w:t>
      </w:r>
      <w:r>
        <w:t xml:space="preserve"> </w:t>
      </w:r>
      <w:r>
        <w:t xml:space="preserve">pre-reveal). Others framed the experience as discovering structure</w:t>
      </w:r>
      <w:r>
        <w:t xml:space="preserve"> </w:t>
      </w:r>
      <w:r>
        <w:t xml:space="preserve">beyond their own intention:</w:t>
      </w:r>
      <w:r>
        <w:t xml:space="preserve"> </w:t>
      </w:r>
      <w:r>
        <w:t xml:space="preserve">“The reviewed videos were more</w:t>
      </w:r>
      <w:r>
        <w:t xml:space="preserve"> </w:t>
      </w:r>
      <w:r>
        <w:t xml:space="preserve">satisfying than I might have imagined… having played a part in</w:t>
      </w:r>
      <w:r>
        <w:t xml:space="preserve"> </w:t>
      </w:r>
      <w:r>
        <w:t xml:space="preserve">constructing the light and sound felt like I had some agency and ability</w:t>
      </w:r>
      <w:r>
        <w:t xml:space="preserve"> </w:t>
      </w:r>
      <w:r>
        <w:t xml:space="preserve">to control a somewhat autonomous system”</w:t>
      </w:r>
      <w:r>
        <w:t xml:space="preserve"> </w:t>
      </w:r>
      <w:r>
        <w:t xml:space="preserve">(Participant 3, end-of-session</w:t>
      </w:r>
      <w:r>
        <w:t xml:space="preserve"> </w:t>
      </w:r>
      <w:r>
        <w:t xml:space="preserve">reflection).</w:t>
      </w:r>
    </w:p>
    <w:p>
      <w:pPr>
        <w:pStyle w:val="BodyText"/>
      </w:pPr>
      <w:r>
        <w:t xml:space="preserve">These accounts align with Figure 5 where A5 (useful surprise) remains</w:t>
      </w:r>
      <w:r>
        <w:t xml:space="preserve"> </w:t>
      </w:r>
      <w:r>
        <w:t xml:space="preserve">high across conditions, while A6 (frustrating unpredictability) is not</w:t>
      </w:r>
      <w:r>
        <w:t xml:space="preserve"> </w:t>
      </w:r>
      <w:r>
        <w:t xml:space="preserve">uniformly dominant, indicating that emergence was often valued when it</w:t>
      </w:r>
      <w:r>
        <w:t xml:space="preserve"> </w:t>
      </w:r>
      <w:r>
        <w:t xml:space="preserve">remained steerable.</w:t>
      </w:r>
    </w:p>
    <w:p>
      <w:pPr>
        <w:pStyle w:val="BodyText"/>
      </w:pPr>
      <w:r>
        <w:rPr>
          <w:b/>
          <w:bCs/>
        </w:rPr>
        <w:t xml:space="preserve">4.8 Parameter strategy and perceived leverage</w:t>
      </w:r>
    </w:p>
    <w:p>
      <w:pPr>
        <w:pStyle w:val="BodyText"/>
      </w:pPr>
      <w:r>
        <w:t xml:space="preserve">Across conditions, participants identified a stable core of influential</w:t>
      </w:r>
      <w:r>
        <w:t xml:space="preserve"> </w:t>
      </w:r>
      <w:r>
        <w:t xml:space="preserve">controls and a modality-dependent shift. Rate was consistently nominated</w:t>
      </w:r>
      <w:r>
        <w:t xml:space="preserve"> </w:t>
      </w:r>
      <w:r>
        <w:t xml:space="preserve">as influential, aligning with qualitative descriptions of shaping</w:t>
      </w:r>
      <w:r>
        <w:t xml:space="preserve"> </w:t>
      </w:r>
      <w:r>
        <w:t xml:space="preserve">overall dynamism and arc structure. Scale was nominated more frequently</w:t>
      </w:r>
      <w:r>
        <w:t xml:space="preserve"> </w:t>
      </w:r>
      <w:r>
        <w:t xml:space="preserve">when sound was available, consistent with participants treating harmonic</w:t>
      </w:r>
      <w:r>
        <w:t xml:space="preserve"> </w:t>
      </w:r>
      <w:r>
        <w:t xml:space="preserve">admissibility as a primary steering dimension when auditory feedback is</w:t>
      </w:r>
      <w:r>
        <w:t xml:space="preserve"> </w:t>
      </w:r>
      <w:r>
        <w:t xml:space="preserve">present.</w:t>
      </w:r>
    </w:p>
    <w:bookmarkStart w:id="36" w:name="fig:fig7"/>
    <w:p>
      <w:pPr>
        <w:pStyle w:val="CaptionedFigure"/>
      </w:pPr>
      <w:r>
        <w:drawing>
          <wp:inline>
            <wp:extent cx="5334000" cy="3419942"/>
            <wp:effectExtent b="0" l="0" r="0" t="0"/>
            <wp:docPr descr="Figure 7: Stacked bar chart of parameter influence nominations by condition." title="" id="34" name="Picture"/>
            <a:graphic>
              <a:graphicData uri="http://schemas.openxmlformats.org/drawingml/2006/picture">
                <pic:pic>
                  <pic:nvPicPr>
                    <pic:cNvPr descr="figures_png/fig7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9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7: Stacked bar chart of parameter influence nominations by condition.</w:t>
      </w:r>
    </w:p>
    <w:bookmarkEnd w:id="36"/>
    <w:p>
      <w:pPr>
        <w:pStyle w:val="BodyText"/>
      </w:pPr>
      <w:r>
        <w:rPr>
          <w:b/>
          <w:bCs/>
        </w:rPr>
        <w:t xml:space="preserve">4.9 Participant-led design requirements</w:t>
      </w:r>
    </w:p>
    <w:p>
      <w:pPr>
        <w:pStyle w:val="BodyText"/>
      </w:pPr>
      <w:r>
        <w:t xml:space="preserve">Participant change requests converge on cue reliability and constraint</w:t>
      </w:r>
      <w:r>
        <w:t xml:space="preserve"> </w:t>
      </w:r>
      <w:r>
        <w:t xml:space="preserve">transparency: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Align temporal cues</w:t>
      </w:r>
      <w:r>
        <w:t xml:space="preserve">:</w:t>
      </w:r>
      <w:r>
        <w:t xml:space="preserve"> </w:t>
      </w:r>
      <w:r>
        <w:t xml:space="preserve">“Incorporate ADSR envelopes into the audio</w:t>
      </w:r>
      <w:r>
        <w:t xml:space="preserve"> </w:t>
      </w:r>
      <w:r>
        <w:t xml:space="preserve">and visuals”</w:t>
      </w:r>
      <w:r>
        <w:t xml:space="preserve"> </w:t>
      </w:r>
      <w:r>
        <w:t xml:space="preserve">(Participant 1, end-of-session reflection).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Improve mapping legibility</w:t>
      </w:r>
      <w:r>
        <w:t xml:space="preserve">:</w:t>
      </w:r>
      <w:r>
        <w:t xml:space="preserve"> </w:t>
      </w:r>
      <w:r>
        <w:t xml:space="preserve">“Seeing the colours of the notes,</w:t>
      </w:r>
      <w:r>
        <w:t xml:space="preserve"> </w:t>
      </w:r>
      <w:r>
        <w:t xml:space="preserve">regardless of them being played may have helped build more harmonious</w:t>
      </w:r>
      <w:r>
        <w:t xml:space="preserve"> </w:t>
      </w:r>
      <w:r>
        <w:t xml:space="preserve">sounds”</w:t>
      </w:r>
      <w:r>
        <w:t xml:space="preserve"> </w:t>
      </w:r>
      <w:r>
        <w:t xml:space="preserve">(Participant 3, end-of-session reflection).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Reduce overload and support attention management</w:t>
      </w:r>
      <w:r>
        <w:t xml:space="preserve">:</w:t>
      </w:r>
      <w:r>
        <w:t xml:space="preserve"> </w:t>
      </w:r>
      <w:r>
        <w:t xml:space="preserve">“just having</w:t>
      </w:r>
      <w:r>
        <w:t xml:space="preserve"> </w:t>
      </w:r>
      <w:r>
        <w:t xml:space="preserve">high activity/dynamics of light and sound would be overwhelming and</w:t>
      </w:r>
      <w:r>
        <w:t xml:space="preserve"> </w:t>
      </w:r>
      <w:r>
        <w:t xml:space="preserve">not satisfying”</w:t>
      </w:r>
      <w:r>
        <w:t xml:space="preserve"> </w:t>
      </w:r>
      <w:r>
        <w:t xml:space="preserve">(Participant 4, end-of-session reflection).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Improve interface ergonomics</w:t>
      </w:r>
      <w:r>
        <w:t xml:space="preserve">:</w:t>
      </w:r>
      <w:r>
        <w:t xml:space="preserve"> </w:t>
      </w:r>
      <w:r>
        <w:t xml:space="preserve">“Put the interface on one page</w:t>
      </w:r>
      <w:r>
        <w:t xml:space="preserve"> </w:t>
      </w:r>
      <w:r>
        <w:t xml:space="preserve">without scrolling”</w:t>
      </w:r>
      <w:r>
        <w:t xml:space="preserve"> </w:t>
      </w:r>
      <w:r>
        <w:t xml:space="preserve">(Participant 9, end-of-session reflection).</w:t>
      </w:r>
    </w:p>
    <w:p>
      <w:pPr>
        <w:pStyle w:val="FirstParagraph"/>
      </w:pPr>
      <w:r>
        <w:t xml:space="preserve">These requirements map directly onto the interference mechanisms above:</w:t>
      </w:r>
      <w:r>
        <w:t xml:space="preserve"> </w:t>
      </w:r>
      <w:r>
        <w:t xml:space="preserve">where cue structure was reliable, participants reported reinforcement;</w:t>
      </w:r>
      <w:r>
        <w:t xml:space="preserve"> </w:t>
      </w:r>
      <w:r>
        <w:t xml:space="preserve">where cues conflicted or masked one another, participants reported</w:t>
      </w:r>
      <w:r>
        <w:t xml:space="preserve"> </w:t>
      </w:r>
      <w:r>
        <w:t xml:space="preserve">mismatch and reduced steerability.</w:t>
      </w:r>
    </w:p>
    <w:bookmarkStart w:id="40" w:name="fig:fig8"/>
    <w:p>
      <w:pPr>
        <w:pStyle w:val="CaptionedFigure"/>
      </w:pPr>
      <w:r>
        <w:drawing>
          <wp:inline>
            <wp:extent cx="2940783" cy="6791372"/>
            <wp:effectExtent b="0" l="0" r="0" t="0"/>
            <wp:docPr descr="Figure 8: Montage of video-stills taken from participant outputs across conditions (A/B/C)." title="" id="38" name="Picture"/>
            <a:graphic>
              <a:graphicData uri="http://schemas.openxmlformats.org/drawingml/2006/picture">
                <pic:pic>
                  <pic:nvPicPr>
                    <pic:cNvPr descr="figures_png/fig8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783" cy="67913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8: Montage of video-stills taken from participant outputs across conditions (A/B/C).</w:t>
      </w:r>
    </w:p>
    <w:bookmarkEnd w:id="40"/>
    <w:p>
      <w:pPr>
        <w:pStyle w:val="BodyText"/>
      </w:pPr>
      <w:r>
        <w:rPr>
          <w:b/>
          <w:bCs/>
        </w:rPr>
        <w:t xml:space="preserve">5 Discussion</w:t>
      </w:r>
    </w:p>
    <w:p>
      <w:pPr>
        <w:pStyle w:val="BodyText"/>
      </w:pPr>
      <w:r>
        <w:rPr>
          <w:b/>
          <w:bCs/>
        </w:rPr>
        <w:t xml:space="preserve">5.1 Media equality is not guaranteed by coupling</w:t>
      </w:r>
    </w:p>
    <w:p>
      <w:pPr>
        <w:pStyle w:val="BodyText"/>
      </w:pPr>
      <w:r>
        <w:t xml:space="preserve">The Cellular Au-Tonnetz represents sound and light as parallel</w:t>
      </w:r>
      <w:r>
        <w:t xml:space="preserve"> </w:t>
      </w:r>
      <w:r>
        <w:t xml:space="preserve">projections of a shared evolving state. However, participant reports</w:t>
      </w:r>
      <w:r>
        <w:t xml:space="preserve"> </w:t>
      </w:r>
      <w:r>
        <w:t xml:space="preserve">show that causal parity does not automatically yield perceptual or</w:t>
      </w:r>
      <w:r>
        <w:t xml:space="preserve"> </w:t>
      </w:r>
      <w:r>
        <w:t xml:space="preserve">interpretive parity. Equality emerged as negotiated practice shaped by</w:t>
      </w:r>
      <w:r>
        <w:t xml:space="preserve"> </w:t>
      </w:r>
      <w:r>
        <w:t xml:space="preserve">attentional dominance, cue reliability, and participants’ evolving</w:t>
      </w:r>
      <w:r>
        <w:t xml:space="preserve"> </w:t>
      </w:r>
      <w:r>
        <w:t xml:space="preserve">causal models. The strong preference for audiovisual access indicates</w:t>
      </w:r>
      <w:r>
        <w:t xml:space="preserve"> </w:t>
      </w:r>
      <w:r>
        <w:t xml:space="preserve">that simultaneous access most often supports the full</w:t>
      </w:r>
      <w:r>
        <w:t xml:space="preserve"> </w:t>
      </w:r>
      <w:r>
        <w:t xml:space="preserve">intention-monitoring-interpretation loop: participants can form</w:t>
      </w:r>
      <w:r>
        <w:t xml:space="preserve"> </w:t>
      </w:r>
      <w:r>
        <w:t xml:space="preserve">intentions with reference to both media, test hypotheses during</w:t>
      </w:r>
      <w:r>
        <w:t xml:space="preserve"> </w:t>
      </w:r>
      <w:r>
        <w:t xml:space="preserve">interaction, and refine causal inference in real time.</w:t>
      </w:r>
    </w:p>
    <w:p>
      <w:pPr>
        <w:pStyle w:val="BodyText"/>
      </w:pPr>
      <w:r>
        <w:t xml:space="preserve">Modality constraint, applied within a coupled system, can be beneficial</w:t>
      </w:r>
      <w:r>
        <w:t xml:space="preserve"> </w:t>
      </w:r>
      <w:r>
        <w:t xml:space="preserve">rather than only degradative. One trained musician described visual-only</w:t>
      </w:r>
      <w:r>
        <w:t xml:space="preserve"> </w:t>
      </w:r>
      <w:r>
        <w:t xml:space="preserve">composition as creatively liberating because it suspended real-time</w:t>
      </w:r>
      <w:r>
        <w:t xml:space="preserve"> </w:t>
      </w:r>
      <w:r>
        <w:t xml:space="preserve">harmonic self-monitoring and invited a more exploratory stance.</w:t>
      </w:r>
      <w:r>
        <w:t xml:space="preserve"> </w:t>
      </w:r>
      <w:r>
        <w:t xml:space="preserve">Temporarily relinquishing one modality can reduce evaluative pressure</w:t>
      </w:r>
      <w:r>
        <w:t xml:space="preserve"> </w:t>
      </w:r>
      <w:r>
        <w:t xml:space="preserve">and open alternative compositional strategies, which in turn may support</w:t>
      </w:r>
      <w:r>
        <w:t xml:space="preserve"> </w:t>
      </w:r>
      <w:r>
        <w:t xml:space="preserve">later intermedial rebinding at reveal. This suggests a design</w:t>
      </w:r>
      <w:r>
        <w:t xml:space="preserve"> </w:t>
      </w:r>
      <w:r>
        <w:t xml:space="preserve">opportunity: intermedial instruments may benefit from explicit</w:t>
      </w:r>
      <w:r>
        <w:t xml:space="preserve"> </w:t>
      </w:r>
      <w:r>
        <w:t xml:space="preserve">“constraint modes”</w:t>
      </w:r>
      <w:r>
        <w:t xml:space="preserve"> </w:t>
      </w:r>
      <w:r>
        <w:t xml:space="preserve">that intentionally reweight attention and agency,</w:t>
      </w:r>
      <w:r>
        <w:t xml:space="preserve"> </w:t>
      </w:r>
      <w:r>
        <w:t xml:space="preserve">allowing users to move between exploratory play and audiovisually</w:t>
      </w:r>
      <w:r>
        <w:t xml:space="preserve"> </w:t>
      </w:r>
      <w:r>
        <w:t xml:space="preserve">accountable refinement rather than treating constraint purely as an</w:t>
      </w:r>
      <w:r>
        <w:t xml:space="preserve"> </w:t>
      </w:r>
      <w:r>
        <w:t xml:space="preserve">experimental manipulation.</w:t>
      </w:r>
    </w:p>
    <w:p>
      <w:pPr>
        <w:pStyle w:val="BodyText"/>
      </w:pPr>
      <w:r>
        <w:rPr>
          <w:b/>
          <w:bCs/>
        </w:rPr>
        <w:t xml:space="preserve">5.2 Interference as cue conflict and productive discontinuity</w:t>
      </w:r>
    </w:p>
    <w:p>
      <w:pPr>
        <w:pStyle w:val="BodyText"/>
      </w:pPr>
      <w:r>
        <w:t xml:space="preserve">The results support an interference account centred on cue structure:</w:t>
      </w:r>
    </w:p>
    <w:p>
      <w:pPr>
        <w:numPr>
          <w:ilvl w:val="0"/>
          <w:numId w:val="1004"/>
        </w:numPr>
      </w:pPr>
      <w:r>
        <w:t xml:space="preserve">Temporal cue conflict (persistence versus articulation)</w:t>
      </w:r>
    </w:p>
    <w:p>
      <w:pPr>
        <w:numPr>
          <w:ilvl w:val="0"/>
          <w:numId w:val="1004"/>
        </w:numPr>
      </w:pPr>
      <w:r>
        <w:t xml:space="preserve">Density cue conflict (visual occupation versus auditory busyness)</w:t>
      </w:r>
    </w:p>
    <w:p>
      <w:pPr>
        <w:numPr>
          <w:ilvl w:val="0"/>
          <w:numId w:val="1004"/>
        </w:numPr>
      </w:pPr>
      <w:r>
        <w:t xml:space="preserve">Auditability limits (masking and indistinguishable events)</w:t>
      </w:r>
    </w:p>
    <w:p>
      <w:pPr>
        <w:numPr>
          <w:ilvl w:val="0"/>
          <w:numId w:val="1004"/>
        </w:numPr>
      </w:pPr>
      <w:r>
        <w:t xml:space="preserve">Salience dominance (one modality monopolises attention)</w:t>
      </w:r>
    </w:p>
    <w:p>
      <w:pPr>
        <w:numPr>
          <w:ilvl w:val="0"/>
          <w:numId w:val="1004"/>
        </w:numPr>
      </w:pPr>
      <w:r>
        <w:t xml:space="preserve">Rebinding (post-reveal reinterpretation that revalues mismatch)</w:t>
      </w:r>
    </w:p>
    <w:p>
      <w:pPr>
        <w:pStyle w:val="FirstParagraph"/>
      </w:pPr>
      <w:r>
        <w:t xml:space="preserve">Mismatch was not uniformly negative. Post-reveal replay often revalued</w:t>
      </w:r>
      <w:r>
        <w:t xml:space="preserve"> </w:t>
      </w:r>
      <w:r>
        <w:t xml:space="preserve">apparent mismatch as coherent structure, indicating that interference</w:t>
      </w:r>
      <w:r>
        <w:t xml:space="preserve"> </w:t>
      </w:r>
      <w:r>
        <w:t xml:space="preserve">valence depends on whether divergence produces interpretive dead ends</w:t>
      </w:r>
      <w:r>
        <w:t xml:space="preserve"> </w:t>
      </w:r>
      <w:r>
        <w:t xml:space="preserve">(loss of legibility) or rewarded rebinding (expanded causal model). For</w:t>
      </w:r>
      <w:r>
        <w:t xml:space="preserve"> </w:t>
      </w:r>
      <w:r>
        <w:t xml:space="preserve">practice-based research, this supports treating the reveal as a</w:t>
      </w:r>
      <w:r>
        <w:t xml:space="preserve"> </w:t>
      </w:r>
      <w:r>
        <w:t xml:space="preserve">deliberate compositional and evaluative mechanism.</w:t>
      </w:r>
    </w:p>
    <w:p>
      <w:pPr>
        <w:pStyle w:val="BodyText"/>
      </w:pPr>
      <w:r>
        <w:rPr>
          <w:b/>
          <w:bCs/>
        </w:rPr>
        <w:t xml:space="preserve">5.3 Design implications for state-space projection instruments</w:t>
      </w:r>
    </w:p>
    <w:p>
      <w:pPr>
        <w:pStyle w:val="BodyText"/>
      </w:pPr>
      <w:r>
        <w:t xml:space="preserve">Because interference manifested as cue reliability problems, design</w:t>
      </w:r>
      <w:r>
        <w:t xml:space="preserve"> </w:t>
      </w:r>
      <w:r>
        <w:t xml:space="preserve">improvements can be framed as interventions on cue structure rather than</w:t>
      </w:r>
      <w:r>
        <w:t xml:space="preserve"> </w:t>
      </w:r>
      <w:r>
        <w:t xml:space="preserve">superficial polish:</w:t>
      </w:r>
    </w:p>
    <w:p>
      <w:pPr>
        <w:numPr>
          <w:ilvl w:val="0"/>
          <w:numId w:val="1005"/>
        </w:numPr>
      </w:pPr>
      <w:r>
        <w:t xml:space="preserve">Align temporal envelopes across modalities (for example, link light</w:t>
      </w:r>
      <w:r>
        <w:t xml:space="preserve"> </w:t>
      </w:r>
      <w:r>
        <w:t xml:space="preserve">decay to note release).</w:t>
      </w:r>
    </w:p>
    <w:p>
      <w:pPr>
        <w:numPr>
          <w:ilvl w:val="0"/>
          <w:numId w:val="1005"/>
        </w:numPr>
      </w:pPr>
      <w:r>
        <w:t xml:space="preserve">Increase auditory event discriminability (articulation, voicing,</w:t>
      </w:r>
      <w:r>
        <w:t xml:space="preserve"> </w:t>
      </w:r>
      <w:r>
        <w:t xml:space="preserve">timbral differentiation) to reduce masking.</w:t>
      </w:r>
    </w:p>
    <w:p>
      <w:pPr>
        <w:numPr>
          <w:ilvl w:val="0"/>
          <w:numId w:val="1005"/>
        </w:numPr>
      </w:pPr>
      <w:r>
        <w:t xml:space="preserve">Strengthen mapping legibility (colour fidelity, persistent reference</w:t>
      </w:r>
      <w:r>
        <w:t xml:space="preserve"> </w:t>
      </w:r>
      <w:r>
        <w:t xml:space="preserve">cues, and clearly communicated constraints).</w:t>
      </w:r>
    </w:p>
    <w:p>
      <w:pPr>
        <w:numPr>
          <w:ilvl w:val="0"/>
          <w:numId w:val="1005"/>
        </w:numPr>
      </w:pPr>
      <w:r>
        <w:t xml:space="preserve">Make constraint regimes transparent (loop semantics, reset</w:t>
      </w:r>
      <w:r>
        <w:t xml:space="preserve"> </w:t>
      </w:r>
      <w:r>
        <w:t xml:space="preserve">affordances, and parameter scaling that matches perceptual intuition).</w:t>
      </w:r>
    </w:p>
    <w:p>
      <w:pPr>
        <w:pStyle w:val="FirstParagraph"/>
      </w:pPr>
      <w:r>
        <w:t xml:space="preserve">These priorities generalise beyond this case study because they target</w:t>
      </w:r>
      <w:r>
        <w:t xml:space="preserve"> </w:t>
      </w:r>
      <w:r>
        <w:t xml:space="preserve">how performers construct and test causal models while composing.</w:t>
      </w:r>
    </w:p>
    <w:p>
      <w:pPr>
        <w:pStyle w:val="BodyText"/>
      </w:pPr>
      <w:r>
        <w:rPr>
          <w:b/>
          <w:bCs/>
        </w:rPr>
        <w:t xml:space="preserve">5.4 Limits and scope</w:t>
      </w:r>
    </w:p>
    <w:p>
      <w:pPr>
        <w:pStyle w:val="BodyText"/>
      </w:pPr>
      <w:r>
        <w:t xml:space="preserve">With nine participants, a single synthesis configuration, and a</w:t>
      </w:r>
      <w:r>
        <w:t xml:space="preserve"> </w:t>
      </w:r>
      <w:r>
        <w:t xml:space="preserve">constrained parameter set, the study supports analytic rather than</w:t>
      </w:r>
      <w:r>
        <w:t xml:space="preserve"> </w:t>
      </w:r>
      <w:r>
        <w:t xml:space="preserve">statistical generalisation. We do not claim population-level effects;</w:t>
      </w:r>
      <w:r>
        <w:t xml:space="preserve"> </w:t>
      </w:r>
      <w:r>
        <w:t xml:space="preserve">the contribution is foundational. The article shows that media equality</w:t>
      </w:r>
      <w:r>
        <w:t xml:space="preserve"> </w:t>
      </w:r>
      <w:r>
        <w:t xml:space="preserve">and intermedial interference can be operationalised within realistic</w:t>
      </w:r>
      <w:r>
        <w:t xml:space="preserve"> </w:t>
      </w:r>
      <w:r>
        <w:t xml:space="preserve">artistic development timelines using modality manipulation, replay-based</w:t>
      </w:r>
      <w:r>
        <w:t xml:space="preserve"> </w:t>
      </w:r>
      <w:r>
        <w:t xml:space="preserve">reflection, and traceable artefact capture, and the resulting method is</w:t>
      </w:r>
      <w:r>
        <w:t xml:space="preserve"> </w:t>
      </w:r>
      <w:r>
        <w:t xml:space="preserve">ready to scale. Future work can extend it to other coupled instruments,</w:t>
      </w:r>
      <w:r>
        <w:t xml:space="preserve"> </w:t>
      </w:r>
      <w:r>
        <w:t xml:space="preserve">longer-form composition, and independent-observer evaluation, with</w:t>
      </w:r>
      <w:r>
        <w:t xml:space="preserve"> </w:t>
      </w:r>
      <w:r>
        <w:t xml:space="preserve">sample sizes that license stronger inferential claims.</w:t>
      </w:r>
    </w:p>
    <w:p>
      <w:pPr>
        <w:pStyle w:val="BodyText"/>
      </w:pPr>
      <w:r>
        <w:rPr>
          <w:b/>
          <w:bCs/>
        </w:rPr>
        <w:t xml:space="preserve">6 Conclusion</w:t>
      </w:r>
    </w:p>
    <w:p>
      <w:pPr>
        <w:pStyle w:val="BodyText"/>
      </w:pPr>
      <w:r>
        <w:t xml:space="preserve">This article operationalised media equality and intermedial interference</w:t>
      </w:r>
      <w:r>
        <w:t xml:space="preserve"> </w:t>
      </w:r>
      <w:r>
        <w:t xml:space="preserve">in a practice-based evaluation of the Cellular Au-Tonnetz, a coupled</w:t>
      </w:r>
      <w:r>
        <w:t xml:space="preserve"> </w:t>
      </w:r>
      <w:r>
        <w:t xml:space="preserve">generative instrument in which sound and LED activity are parallel</w:t>
      </w:r>
      <w:r>
        <w:t xml:space="preserve"> </w:t>
      </w:r>
      <w:r>
        <w:t xml:space="preserve">projections of a shared evolving state. Audiovisual access was</w:t>
      </w:r>
      <w:r>
        <w:t xml:space="preserve"> </w:t>
      </w:r>
      <w:r>
        <w:t xml:space="preserve">most often ranked best overall and most intermedial, while audio-only</w:t>
      </w:r>
      <w:r>
        <w:t xml:space="preserve"> </w:t>
      </w:r>
      <w:r>
        <w:t xml:space="preserve">access most often produced the biggest mismatch.</w:t>
      </w:r>
    </w:p>
    <w:p>
      <w:pPr>
        <w:pStyle w:val="BodyText"/>
      </w:pPr>
      <w:r>
        <w:t xml:space="preserve">Across conditions, interference was experienced as both constructive and</w:t>
      </w:r>
      <w:r>
        <w:t xml:space="preserve"> </w:t>
      </w:r>
      <w:r>
        <w:t xml:space="preserve">destructive. Destructive effects were commonly described as cue</w:t>
      </w:r>
      <w:r>
        <w:t xml:space="preserve"> </w:t>
      </w:r>
      <w:r>
        <w:t xml:space="preserve">conflicts (temporal persistence, density correspondence, and perceptual</w:t>
      </w:r>
      <w:r>
        <w:t xml:space="preserve"> </w:t>
      </w:r>
      <w:r>
        <w:t xml:space="preserve">masking), while constructive effects emerged when shared causal origin</w:t>
      </w:r>
      <w:r>
        <w:t xml:space="preserve"> </w:t>
      </w:r>
      <w:r>
        <w:t xml:space="preserve">supported reinforcement and when post-reveal replay enabled rebinding</w:t>
      </w:r>
      <w:r>
        <w:t xml:space="preserve"> </w:t>
      </w:r>
      <w:r>
        <w:t xml:space="preserve">and increased perceived coherence. A central implication is that causal</w:t>
      </w:r>
      <w:r>
        <w:t xml:space="preserve"> </w:t>
      </w:r>
      <w:r>
        <w:t xml:space="preserve">coupling alone does not guarantee perceptual parity: co-equal media</w:t>
      </w:r>
      <w:r>
        <w:t xml:space="preserve"> </w:t>
      </w:r>
      <w:r>
        <w:t xml:space="preserve">relations depend on cue reliability and interaction design that supports</w:t>
      </w:r>
      <w:r>
        <w:t xml:space="preserve"> </w:t>
      </w:r>
      <w:r>
        <w:t xml:space="preserve">evolving causal understanding.</w:t>
      </w:r>
    </w:p>
    <w:p>
      <w:pPr>
        <w:pStyle w:val="BodyText"/>
      </w:pPr>
      <w:r>
        <w:t xml:space="preserve">More broadly, the study shows how media equality and intermedial</w:t>
      </w:r>
      <w:r>
        <w:t xml:space="preserve"> </w:t>
      </w:r>
      <w:r>
        <w:t xml:space="preserve">interference can be evaluated through structured practice rather than</w:t>
      </w:r>
      <w:r>
        <w:t xml:space="preserve"> </w:t>
      </w:r>
      <w:r>
        <w:t xml:space="preserve">through descriptive accounts alone. By linking structured reflection to</w:t>
      </w:r>
      <w:r>
        <w:t xml:space="preserve"> </w:t>
      </w:r>
      <w:r>
        <w:t xml:space="preserve">reproducible artefacts (saved presets and recorded outputs), the method</w:t>
      </w:r>
      <w:r>
        <w:t xml:space="preserve"> </w:t>
      </w:r>
      <w:r>
        <w:t xml:space="preserve">supports issue-driven analysis of how media relationships are composed</w:t>
      </w:r>
      <w:r>
        <w:t xml:space="preserve"> </w:t>
      </w:r>
      <w:r>
        <w:t xml:space="preserve">and perceived in coupled generative systems. As foundational</w:t>
      </w:r>
      <w:r>
        <w:t xml:space="preserve"> </w:t>
      </w:r>
      <w:r>
        <w:t xml:space="preserve">practice-based work, it establishes a method that larger-scale</w:t>
      </w:r>
      <w:r>
        <w:t xml:space="preserve"> </w:t>
      </w:r>
      <w:r>
        <w:t xml:space="preserve">follow-ups can refine and extend across other coupled instruments and</w:t>
      </w:r>
      <w:r>
        <w:t xml:space="preserve"> </w:t>
      </w:r>
      <w:r>
        <w:t xml:space="preserve">longer-form composition.</w:t>
      </w:r>
    </w:p>
    <w:p>
      <w:pPr>
        <w:pStyle w:val="BodyText"/>
      </w:pPr>
      <w:r>
        <w:rPr>
          <w:b/>
          <w:bCs/>
        </w:rPr>
        <w:t xml:space="preserve">Supplementary Materials</w:t>
      </w:r>
    </w:p>
    <w:p>
      <w:pPr>
        <w:pStyle w:val="BodyText"/>
      </w:pPr>
      <w:r>
        <w:t xml:space="preserve">All 32 videos, parameter dataset, and survey results, can be found here:</w:t>
      </w:r>
    </w:p>
    <w:p>
      <w:pPr>
        <w:pStyle w:val="BodyText"/>
      </w:pPr>
      <w:hyperlink r:id="rId41">
        <w:r>
          <w:rPr>
            <w:rStyle w:val="Hyperlink"/>
          </w:rPr>
          <w:t xml:space="preserve">https://github.com/td0034/OrganisedSound/</w:t>
        </w:r>
      </w:hyperlink>
    </w:p>
    <w:p>
      <w:pPr>
        <w:pStyle w:val="BodyText"/>
      </w:pPr>
      <w:r>
        <w:rPr>
          <w:b/>
          <w:bCs/>
        </w:rPr>
        <w:t xml:space="preserve">Acknowledgements</w:t>
      </w:r>
    </w:p>
    <w:p>
      <w:pPr>
        <w:pStyle w:val="BodyText"/>
      </w:pPr>
      <w:r>
        <w:t xml:space="preserve">I thank the participants who gave their time to this study, Simon Jones</w:t>
      </w:r>
      <w:r>
        <w:t xml:space="preserve"> </w:t>
      </w:r>
      <w:r>
        <w:t xml:space="preserve">and Sabine Hauert for encouragement to conduct the evaluation, and Rosa</w:t>
      </w:r>
      <w:r>
        <w:t xml:space="preserve"> </w:t>
      </w:r>
      <w:r>
        <w:t xml:space="preserve">Beesley for ongoing support.</w:t>
      </w:r>
    </w:p>
    <w:p>
      <w:pPr>
        <w:pStyle w:val="BodyText"/>
      </w:pPr>
      <w:r>
        <w:t xml:space="preserve">The author used ChatGPT (OpenAI) to assist with drafting, language</w:t>
      </w:r>
      <w:r>
        <w:t xml:space="preserve"> </w:t>
      </w:r>
      <w:r>
        <w:t xml:space="preserve">editing, proofing, survey web development, and Python scripting for</w:t>
      </w:r>
      <w:r>
        <w:t xml:space="preserve"> </w:t>
      </w:r>
      <w:r>
        <w:t xml:space="preserve">results analysis. All outputs were reviewed and edited by the author,</w:t>
      </w:r>
      <w:r>
        <w:t xml:space="preserve"> </w:t>
      </w:r>
      <w:r>
        <w:t xml:space="preserve">who takes full responsibility for the final manuscript and materials.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Besada, J. L., Bisesi, E., Guichaoua, C. and Andreatta, M. 2024. The</w:t>
      </w:r>
      <w:r>
        <w:t xml:space="preserve"> </w:t>
      </w:r>
      <w:r>
        <w:t xml:space="preserve">Tonnetz at First Sight: Cognitive Issues of Human-Computer Interaction</w:t>
      </w:r>
      <w:r>
        <w:t xml:space="preserve"> </w:t>
      </w:r>
      <w:r>
        <w:t xml:space="preserve">with Pitch Spaces.</w:t>
      </w:r>
      <w:r>
        <w:t xml:space="preserve"> </w:t>
      </w:r>
      <w:r>
        <w:rPr>
          <w:i/>
          <w:iCs/>
        </w:rPr>
        <w:t xml:space="preserve">Music and Science</w:t>
      </w:r>
      <w:r>
        <w:t xml:space="preserve"> </w:t>
      </w:r>
      <w:r>
        <w:t xml:space="preserve">7: 20592043241246515.</w:t>
      </w:r>
      <w:r>
        <w:t xml:space="preserve"> </w:t>
      </w:r>
      <w:hyperlink r:id="rId42">
        <w:r>
          <w:rPr>
            <w:rStyle w:val="Hyperlink"/>
          </w:rPr>
          <w:t xml:space="preserve">https://doi.org/10.1177/20592043241246515</w:t>
        </w:r>
      </w:hyperlink>
      <w:r>
        <w:t xml:space="preserve">.</w:t>
      </w:r>
    </w:p>
    <w:p>
      <w:pPr>
        <w:pStyle w:val="BodyText"/>
      </w:pPr>
      <w:r>
        <w:t xml:space="preserve">Bolter, J. D. and Grusin, R. 1999.</w:t>
      </w:r>
      <w:r>
        <w:t xml:space="preserve"> </w:t>
      </w:r>
      <w:r>
        <w:rPr>
          <w:i/>
          <w:iCs/>
        </w:rPr>
        <w:t xml:space="preserve">Remediation: Understanding New</w:t>
      </w:r>
      <w:r>
        <w:rPr>
          <w:i/>
          <w:iCs/>
        </w:rPr>
        <w:t xml:space="preserve"> </w:t>
      </w:r>
      <w:r>
        <w:rPr>
          <w:i/>
          <w:iCs/>
        </w:rPr>
        <w:t xml:space="preserve">Media</w:t>
      </w:r>
      <w:r>
        <w:t xml:space="preserve">. Cambridge, MA: MIT Press.</w:t>
      </w:r>
    </w:p>
    <w:p>
      <w:pPr>
        <w:pStyle w:val="BodyText"/>
      </w:pPr>
      <w:r>
        <w:t xml:space="preserve">Chiaramonte, A. 2024.</w:t>
      </w:r>
      <w:r>
        <w:t xml:space="preserve"> </w:t>
      </w:r>
      <w:r>
        <w:rPr>
          <w:i/>
          <w:iCs/>
        </w:rPr>
        <w:t xml:space="preserve">Intermedial Interference in Electroacoustic</w:t>
      </w:r>
      <w:r>
        <w:rPr>
          <w:i/>
          <w:iCs/>
        </w:rPr>
        <w:t xml:space="preserve"> </w:t>
      </w:r>
      <w:r>
        <w:rPr>
          <w:i/>
          <w:iCs/>
        </w:rPr>
        <w:t xml:space="preserve">Audiovisual Composition: An Investigation into Combining, Integrating,</w:t>
      </w:r>
      <w:r>
        <w:rPr>
          <w:i/>
          <w:iCs/>
        </w:rPr>
        <w:t xml:space="preserve"> </w:t>
      </w:r>
      <w:r>
        <w:rPr>
          <w:i/>
          <w:iCs/>
        </w:rPr>
        <w:t xml:space="preserve">and Fusing Sound and the Moving Image. A Portfolio of Audiovisual</w:t>
      </w:r>
      <w:r>
        <w:rPr>
          <w:i/>
          <w:iCs/>
        </w:rPr>
        <w:t xml:space="preserve"> </w:t>
      </w:r>
      <w:r>
        <w:rPr>
          <w:i/>
          <w:iCs/>
        </w:rPr>
        <w:t xml:space="preserve">Compositions</w:t>
      </w:r>
      <w:r>
        <w:t xml:space="preserve">. PhD thesis. Bournemouth University.</w:t>
      </w:r>
      <w:r>
        <w:t xml:space="preserve"> </w:t>
      </w:r>
      <w:hyperlink r:id="rId43">
        <w:r>
          <w:rPr>
            <w:rStyle w:val="Hyperlink"/>
          </w:rPr>
          <w:t xml:space="preserve">https://eprints.bournemouth.ac.uk/40772/</w:t>
        </w:r>
      </w:hyperlink>
      <w:r>
        <w:t xml:space="preserve">.</w:t>
      </w:r>
    </w:p>
    <w:p>
      <w:pPr>
        <w:pStyle w:val="BodyText"/>
      </w:pPr>
      <w:r>
        <w:t xml:space="preserve">Chion, M. 1994.</w:t>
      </w:r>
      <w:r>
        <w:t xml:space="preserve"> </w:t>
      </w:r>
      <w:r>
        <w:rPr>
          <w:i/>
          <w:iCs/>
        </w:rPr>
        <w:t xml:space="preserve">Audio-Vision: Sound on Screen</w:t>
      </w:r>
      <w:r>
        <w:t xml:space="preserve">. New York: Columbia</w:t>
      </w:r>
      <w:r>
        <w:t xml:space="preserve"> </w:t>
      </w:r>
      <w:r>
        <w:t xml:space="preserve">University Press.</w:t>
      </w:r>
    </w:p>
    <w:p>
      <w:pPr>
        <w:pStyle w:val="BodyText"/>
      </w:pPr>
      <w:r>
        <w:t xml:space="preserve">Cohn, R. 1997. Neo-Riemannian Operations, Parsimonious Trichords, and</w:t>
      </w:r>
      <w:r>
        <w:t xml:space="preserve"> </w:t>
      </w:r>
      <w:r>
        <w:t xml:space="preserve">Their Tonnetz Representations.</w:t>
      </w:r>
      <w:r>
        <w:t xml:space="preserve"> </w:t>
      </w:r>
      <w:r>
        <w:rPr>
          <w:i/>
          <w:iCs/>
        </w:rPr>
        <w:t xml:space="preserve">Journal of Music Theory</w:t>
      </w:r>
      <w:r>
        <w:t xml:space="preserve"> </w:t>
      </w:r>
      <w:r>
        <w:t xml:space="preserve">41(1): 1-66.</w:t>
      </w:r>
    </w:p>
    <w:p>
      <w:pPr>
        <w:pStyle w:val="BodyText"/>
      </w:pPr>
      <w:r>
        <w:t xml:space="preserve">Cook, N. 1998.</w:t>
      </w:r>
      <w:r>
        <w:t xml:space="preserve"> </w:t>
      </w:r>
      <w:r>
        <w:rPr>
          <w:i/>
          <w:iCs/>
        </w:rPr>
        <w:t xml:space="preserve">Analysing Musical Multimedia</w:t>
      </w:r>
      <w:r>
        <w:t xml:space="preserve">. Oxford: Clarendon Press.</w:t>
      </w:r>
    </w:p>
    <w:p>
      <w:pPr>
        <w:pStyle w:val="BodyText"/>
      </w:pPr>
      <w:r>
        <w:t xml:space="preserve">Coulter, J. 2010. Electroacoustic Music with Moving Images: the art of</w:t>
      </w:r>
      <w:r>
        <w:t xml:space="preserve"> </w:t>
      </w:r>
      <w:r>
        <w:t xml:space="preserve">media pairing.</w:t>
      </w:r>
      <w:r>
        <w:t xml:space="preserve"> </w:t>
      </w:r>
      <w:r>
        <w:rPr>
          <w:i/>
          <w:iCs/>
        </w:rPr>
        <w:t xml:space="preserve">Organised Sound</w:t>
      </w:r>
      <w:r>
        <w:t xml:space="preserve"> </w:t>
      </w:r>
      <w:r>
        <w:t xml:space="preserve">15(1): 26-34.</w:t>
      </w:r>
      <w:r>
        <w:t xml:space="preserve"> </w:t>
      </w:r>
      <w:hyperlink r:id="rId44">
        <w:r>
          <w:rPr>
            <w:rStyle w:val="Hyperlink"/>
          </w:rPr>
          <w:t xml:space="preserve">https://doi.org/10.1017/S1355771809990239</w:t>
        </w:r>
      </w:hyperlink>
      <w:r>
        <w:t xml:space="preserve">.</w:t>
      </w:r>
    </w:p>
    <w:p>
      <w:pPr>
        <w:pStyle w:val="BodyText"/>
      </w:pPr>
      <w:r>
        <w:t xml:space="preserve">Didiot-Cook, T. 2025. Cellular Au-Tonnetz: A Unified Audio-Visual MIDI</w:t>
      </w:r>
      <w:r>
        <w:t xml:space="preserve"> </w:t>
      </w:r>
      <w:r>
        <w:t xml:space="preserve">Generator Using Tonnetz, Cellular Automata, and IoT. In P. Machado, C.</w:t>
      </w:r>
      <w:r>
        <w:t xml:space="preserve"> </w:t>
      </w:r>
      <w:r>
        <w:t xml:space="preserve">Johnson and I. Santos (eds.)</w:t>
      </w:r>
      <w:r>
        <w:t xml:space="preserve"> </w:t>
      </w:r>
      <w:r>
        <w:rPr>
          <w:i/>
          <w:iCs/>
        </w:rPr>
        <w:t xml:space="preserve">Artificial Intelligence in Music, Sound,</w:t>
      </w:r>
      <w:r>
        <w:rPr>
          <w:i/>
          <w:iCs/>
        </w:rPr>
        <w:t xml:space="preserve"> </w:t>
      </w:r>
      <w:r>
        <w:rPr>
          <w:i/>
          <w:iCs/>
        </w:rPr>
        <w:t xml:space="preserve">Art and Design. EvoMUSART 2025</w:t>
      </w:r>
      <w:r>
        <w:t xml:space="preserve">. Lecture Notes in Computer Science</w:t>
      </w:r>
      <w:r>
        <w:t xml:space="preserve"> </w:t>
      </w:r>
      <w:r>
        <w:t xml:space="preserve">15611. Cham: Springer, 51-65.</w:t>
      </w:r>
      <w:r>
        <w:t xml:space="preserve"> </w:t>
      </w:r>
      <w:hyperlink r:id="rId45">
        <w:r>
          <w:rPr>
            <w:rStyle w:val="Hyperlink"/>
          </w:rPr>
          <w:t xml:space="preserve">https://doi.org/10.1007/978-3-031-90167-6_4</w:t>
        </w:r>
      </w:hyperlink>
      <w:r>
        <w:t xml:space="preserve">.</w:t>
      </w:r>
    </w:p>
    <w:p>
      <w:pPr>
        <w:pStyle w:val="BodyText"/>
      </w:pPr>
      <w:r>
        <w:t xml:space="preserve">Douthett, J. and Steinbach, P. 1998. Parsimonious Graphs: A Study in</w:t>
      </w:r>
      <w:r>
        <w:t xml:space="preserve"> </w:t>
      </w:r>
      <w:r>
        <w:t xml:space="preserve">Parsimony, Contextual Transformations, and Modes of Limited</w:t>
      </w:r>
      <w:r>
        <w:t xml:space="preserve"> </w:t>
      </w:r>
      <w:r>
        <w:t xml:space="preserve">Transposition.</w:t>
      </w:r>
      <w:r>
        <w:t xml:space="preserve"> </w:t>
      </w:r>
      <w:r>
        <w:rPr>
          <w:i/>
          <w:iCs/>
        </w:rPr>
        <w:t xml:space="preserve">Journal of Music Theory</w:t>
      </w:r>
      <w:r>
        <w:t xml:space="preserve"> </w:t>
      </w:r>
      <w:r>
        <w:t xml:space="preserve">42(2): 241-263.</w:t>
      </w:r>
    </w:p>
    <w:p>
      <w:pPr>
        <w:pStyle w:val="BodyText"/>
      </w:pPr>
      <w:r>
        <w:t xml:space="preserve">Elleström, L. 2010. The Modalities of Media: A Model for Understanding</w:t>
      </w:r>
      <w:r>
        <w:t xml:space="preserve"> </w:t>
      </w:r>
      <w:r>
        <w:t xml:space="preserve">Intermedial Relations. In L. Elleström (ed.)</w:t>
      </w:r>
      <w:r>
        <w:t xml:space="preserve"> </w:t>
      </w:r>
      <w:r>
        <w:rPr>
          <w:i/>
          <w:iCs/>
        </w:rPr>
        <w:t xml:space="preserve">Media Borders,</w:t>
      </w:r>
      <w:r>
        <w:rPr>
          <w:i/>
          <w:iCs/>
        </w:rPr>
        <w:t xml:space="preserve"> </w:t>
      </w:r>
      <w:r>
        <w:rPr>
          <w:i/>
          <w:iCs/>
        </w:rPr>
        <w:t xml:space="preserve">Multimodality and Intermediality</w:t>
      </w:r>
      <w:r>
        <w:t xml:space="preserve">. London: Palgrave Macmillan, 11-48.</w:t>
      </w:r>
      <w:r>
        <w:t xml:space="preserve"> </w:t>
      </w:r>
      <w:hyperlink r:id="rId46">
        <w:r>
          <w:rPr>
            <w:rStyle w:val="Hyperlink"/>
          </w:rPr>
          <w:t xml:space="preserve">https://doi.org/10.1057/9780230275201_2</w:t>
        </w:r>
      </w:hyperlink>
      <w:r>
        <w:t xml:space="preserve">.</w:t>
      </w:r>
    </w:p>
    <w:p>
      <w:pPr>
        <w:pStyle w:val="BodyText"/>
      </w:pPr>
      <w:r>
        <w:t xml:space="preserve">Garro, D. 2012. From Sonic Art to Visual Music: Divergences,</w:t>
      </w:r>
      <w:r>
        <w:t xml:space="preserve"> </w:t>
      </w:r>
      <w:r>
        <w:t xml:space="preserve">convergences, intersections.</w:t>
      </w:r>
      <w:r>
        <w:t xml:space="preserve"> </w:t>
      </w:r>
      <w:r>
        <w:rPr>
          <w:i/>
          <w:iCs/>
        </w:rPr>
        <w:t xml:space="preserve">Organised Sound</w:t>
      </w:r>
      <w:r>
        <w:t xml:space="preserve"> </w:t>
      </w:r>
      <w:r>
        <w:t xml:space="preserve">17(2): 103-113.</w:t>
      </w:r>
      <w:r>
        <w:t xml:space="preserve"> </w:t>
      </w:r>
      <w:hyperlink r:id="rId47">
        <w:r>
          <w:rPr>
            <w:rStyle w:val="Hyperlink"/>
          </w:rPr>
          <w:t xml:space="preserve">https://doi.org/10.1017/S1355771812000027</w:t>
        </w:r>
      </w:hyperlink>
      <w:r>
        <w:t xml:space="preserve">.</w:t>
      </w:r>
    </w:p>
    <w:p>
      <w:pPr>
        <w:pStyle w:val="BodyText"/>
      </w:pPr>
      <w:r>
        <w:t xml:space="preserve">Harris, L. 2016. Audiovisual Coherence and Physical Presence: I am</w:t>
      </w:r>
      <w:r>
        <w:t xml:space="preserve"> </w:t>
      </w:r>
      <w:r>
        <w:t xml:space="preserve">there, therefore I am [?].</w:t>
      </w:r>
      <w:r>
        <w:t xml:space="preserve"> </w:t>
      </w:r>
      <w:r>
        <w:rPr>
          <w:i/>
          <w:iCs/>
        </w:rPr>
        <w:t xml:space="preserve">eContact!</w:t>
      </w:r>
      <w:r>
        <w:t xml:space="preserve"> </w:t>
      </w:r>
      <w:r>
        <w:t xml:space="preserve">18(2).</w:t>
      </w:r>
      <w:r>
        <w:t xml:space="preserve"> </w:t>
      </w:r>
      <w:hyperlink r:id="rId48">
        <w:r>
          <w:rPr>
            <w:rStyle w:val="Hyperlink"/>
          </w:rPr>
          <w:t xml:space="preserve">https://econtact.ca/18_2/harris_audiovisualcoherence.html</w:t>
        </w:r>
      </w:hyperlink>
      <w:r>
        <w:t xml:space="preserve">.</w:t>
      </w:r>
    </w:p>
    <w:p>
      <w:pPr>
        <w:pStyle w:val="BodyText"/>
      </w:pPr>
      <w:r>
        <w:t xml:space="preserve">Hill, A. 2013.</w:t>
      </w:r>
      <w:r>
        <w:t xml:space="preserve"> </w:t>
      </w:r>
      <w:r>
        <w:rPr>
          <w:i/>
          <w:iCs/>
        </w:rPr>
        <w:t xml:space="preserve">Interpreting Electroacoustic Audio-visual Music</w:t>
      </w:r>
      <w:r>
        <w:t xml:space="preserve">. PhD</w:t>
      </w:r>
      <w:r>
        <w:t xml:space="preserve"> </w:t>
      </w:r>
      <w:r>
        <w:t xml:space="preserve">thesis. De Montfort University.</w:t>
      </w:r>
      <w:r>
        <w:t xml:space="preserve"> </w:t>
      </w:r>
      <w:hyperlink r:id="rId49">
        <w:r>
          <w:rPr>
            <w:rStyle w:val="Hyperlink"/>
          </w:rPr>
          <w:t xml:space="preserve">https://hdl.handle.net/2086/9898</w:t>
        </w:r>
      </w:hyperlink>
      <w:r>
        <w:t xml:space="preserve">.</w:t>
      </w:r>
    </w:p>
    <w:p>
      <w:pPr>
        <w:pStyle w:val="BodyText"/>
      </w:pPr>
      <w:r>
        <w:t xml:space="preserve">Hyde, J. 2012. Musique Concrète Thinking in Visual Music Practice:</w:t>
      </w:r>
      <w:r>
        <w:t xml:space="preserve"> </w:t>
      </w:r>
      <w:r>
        <w:t xml:space="preserve">Audiovisual silence and noise, reduced listening and visual suspension.</w:t>
      </w:r>
      <w:r>
        <w:t xml:space="preserve"> </w:t>
      </w:r>
      <w:r>
        <w:rPr>
          <w:i/>
          <w:iCs/>
        </w:rPr>
        <w:t xml:space="preserve">Organised Sound</w:t>
      </w:r>
      <w:r>
        <w:t xml:space="preserve"> </w:t>
      </w:r>
      <w:r>
        <w:t xml:space="preserve">17(2): 170-178.</w:t>
      </w:r>
      <w:r>
        <w:t xml:space="preserve"> </w:t>
      </w:r>
      <w:hyperlink r:id="rId50">
        <w:r>
          <w:rPr>
            <w:rStyle w:val="Hyperlink"/>
          </w:rPr>
          <w:t xml:space="preserve">https://doi.org/10.1017/S1355771812000106</w:t>
        </w:r>
      </w:hyperlink>
      <w:r>
        <w:t xml:space="preserve">.</w:t>
      </w:r>
    </w:p>
    <w:p>
      <w:pPr>
        <w:pStyle w:val="BodyText"/>
      </w:pPr>
      <w:r>
        <w:t xml:space="preserve">Miranda, E. R. 2007. Cellular Automata Music: From Sound Synthesis to</w:t>
      </w:r>
      <w:r>
        <w:t xml:space="preserve"> </w:t>
      </w:r>
      <w:r>
        <w:t xml:space="preserve">Musical Forms. In E. R. Miranda (ed.)</w:t>
      </w:r>
      <w:r>
        <w:t xml:space="preserve"> </w:t>
      </w:r>
      <w:r>
        <w:rPr>
          <w:i/>
          <w:iCs/>
        </w:rPr>
        <w:t xml:space="preserve">Evolutionary Computer Music</w:t>
      </w:r>
      <w:r>
        <w:t xml:space="preserve">.</w:t>
      </w:r>
      <w:r>
        <w:t xml:space="preserve"> </w:t>
      </w:r>
      <w:r>
        <w:t xml:space="preserve">London: Springer, 170-193.</w:t>
      </w:r>
      <w:r>
        <w:t xml:space="preserve"> </w:t>
      </w:r>
      <w:hyperlink r:id="rId51">
        <w:r>
          <w:rPr>
            <w:rStyle w:val="Hyperlink"/>
          </w:rPr>
          <w:t xml:space="preserve">https://doi.org/10.1007/978-1-84628-600-1_8</w:t>
        </w:r>
      </w:hyperlink>
      <w:r>
        <w:t xml:space="preserve">.</w:t>
      </w:r>
    </w:p>
    <w:p>
      <w:pPr>
        <w:pStyle w:val="BodyText"/>
      </w:pPr>
      <w:r>
        <w:t xml:space="preserve">O’Modhrain, S. 2011. A framework for the evaluation of digital musical</w:t>
      </w:r>
      <w:r>
        <w:t xml:space="preserve"> </w:t>
      </w:r>
      <w:r>
        <w:t xml:space="preserve">instruments.</w:t>
      </w:r>
      <w:r>
        <w:t xml:space="preserve"> </w:t>
      </w:r>
      <w:r>
        <w:rPr>
          <w:i/>
          <w:iCs/>
        </w:rPr>
        <w:t xml:space="preserve">Computer Music Journal</w:t>
      </w:r>
      <w:r>
        <w:t xml:space="preserve"> </w:t>
      </w:r>
      <w:r>
        <w:t xml:space="preserve">35(1): 28-42.</w:t>
      </w:r>
      <w:r>
        <w:t xml:space="preserve"> </w:t>
      </w:r>
      <w:hyperlink r:id="rId52">
        <w:r>
          <w:rPr>
            <w:rStyle w:val="Hyperlink"/>
          </w:rPr>
          <w:t xml:space="preserve">https://doi.org/10.1162/COMJ_a_00038</w:t>
        </w:r>
      </w:hyperlink>
      <w:r>
        <w:t xml:space="preserve">.</w:t>
      </w:r>
    </w:p>
    <w:p>
      <w:pPr>
        <w:pStyle w:val="BodyText"/>
      </w:pPr>
      <w:r>
        <w:t xml:space="preserve">Organised Sound. 2026. Call: Electroacoustic Audiovisual Composition and</w:t>
      </w:r>
      <w:r>
        <w:t xml:space="preserve"> </w:t>
      </w:r>
      <w:r>
        <w:t xml:space="preserve">Intermediality: Reconceptualising media relationships. 15 January.</w:t>
      </w:r>
      <w:r>
        <w:t xml:space="preserve"> </w:t>
      </w:r>
      <w:r>
        <w:t xml:space="preserve">Cambridge University Press.</w:t>
      </w:r>
      <w:r>
        <w:t xml:space="preserve"> </w:t>
      </w:r>
      <w:hyperlink r:id="rId53">
        <w:r>
          <w:rPr>
            <w:rStyle w:val="Hyperlink"/>
          </w:rPr>
          <w:t xml:space="preserve">www.cambridge.org/core/journals/organised-sound/announcements/call-for-papers/call-electroacoustic-audiovisual-composition-and-intermediality-reconceptualising-media-relationships</w:t>
        </w:r>
      </w:hyperlink>
      <w:r>
        <w:t xml:space="preserve"> </w:t>
      </w:r>
      <w:r>
        <w:t xml:space="preserve">(accessed 5 January 2026).</w:t>
      </w:r>
    </w:p>
    <w:p>
      <w:pPr>
        <w:pStyle w:val="BodyText"/>
      </w:pPr>
      <w:r>
        <w:t xml:space="preserve">Orio, N. and Wanderley, M. M. 2002. Evaluation of input devices for</w:t>
      </w:r>
      <w:r>
        <w:t xml:space="preserve"> </w:t>
      </w:r>
      <w:r>
        <w:t xml:space="preserve">musical expression: borrowing tools from HCI.</w:t>
      </w:r>
      <w:r>
        <w:t xml:space="preserve"> </w:t>
      </w:r>
      <w:r>
        <w:rPr>
          <w:i/>
          <w:iCs/>
        </w:rPr>
        <w:t xml:space="preserve">Computer Music Journal</w:t>
      </w:r>
      <w:r>
        <w:t xml:space="preserve"> </w:t>
      </w:r>
      <w:r>
        <w:t xml:space="preserve">26(3): 62-76.</w:t>
      </w:r>
      <w:r>
        <w:t xml:space="preserve"> </w:t>
      </w:r>
      <w:hyperlink r:id="rId54">
        <w:r>
          <w:rPr>
            <w:rStyle w:val="Hyperlink"/>
          </w:rPr>
          <w:t xml:space="preserve">https://doi.org/10.1162/014892602320582981</w:t>
        </w:r>
      </w:hyperlink>
      <w:r>
        <w:t xml:space="preserve">.</w:t>
      </w:r>
    </w:p>
    <w:p>
      <w:pPr>
        <w:pStyle w:val="BodyText"/>
      </w:pPr>
      <w:r>
        <w:t xml:space="preserve">Rajewsky, I. O. 2005. Intermediality, Intertextuality, and Remediation:</w:t>
      </w:r>
      <w:r>
        <w:t xml:space="preserve"> </w:t>
      </w:r>
      <w:r>
        <w:t xml:space="preserve">A Literary Perspective on Intermediality.</w:t>
      </w:r>
      <w:r>
        <w:t xml:space="preserve"> </w:t>
      </w:r>
      <w:r>
        <w:rPr>
          <w:i/>
          <w:iCs/>
        </w:rPr>
        <w:t xml:space="preserve">Intermédialités</w:t>
      </w:r>
      <w:r>
        <w:t xml:space="preserve"> </w:t>
      </w:r>
      <w:r>
        <w:t xml:space="preserve">6: 43-64.</w:t>
      </w:r>
      <w:r>
        <w:t xml:space="preserve"> </w:t>
      </w:r>
      <w:hyperlink r:id="rId55">
        <w:r>
          <w:rPr>
            <w:rStyle w:val="Hyperlink"/>
          </w:rPr>
          <w:t xml:space="preserve">https://doi.org/10.7202/1005505ar</w:t>
        </w:r>
      </w:hyperlink>
      <w:r>
        <w:t xml:space="preserve">.</w:t>
      </w:r>
    </w:p>
    <w:p>
      <w:pPr>
        <w:pStyle w:val="BodyText"/>
      </w:pPr>
      <w:r>
        <w:t xml:space="preserve">Spence, C. 2011. Crossmodal correspondences: A tutorial review.</w:t>
      </w:r>
      <w:r>
        <w:t xml:space="preserve"> </w:t>
      </w:r>
      <w:r>
        <w:rPr>
          <w:i/>
          <w:iCs/>
        </w:rPr>
        <w:t xml:space="preserve">Attention, Perception, and Psychophysics</w:t>
      </w:r>
      <w:r>
        <w:t xml:space="preserve"> </w:t>
      </w:r>
      <w:r>
        <w:t xml:space="preserve">73: 971-995.</w:t>
      </w:r>
      <w:r>
        <w:t xml:space="preserve"> </w:t>
      </w:r>
      <w:hyperlink r:id="rId56">
        <w:r>
          <w:rPr>
            <w:rStyle w:val="Hyperlink"/>
          </w:rPr>
          <w:t xml:space="preserve">https://doi.org/10.3758/s13414-010-0073-7</w:t>
        </w:r>
      </w:hyperlink>
      <w:r>
        <w:t xml:space="preserve">.</w:t>
      </w:r>
    </w:p>
    <w:p>
      <w:pPr>
        <w:pStyle w:val="BodyText"/>
      </w:pPr>
      <w:r>
        <w:t xml:space="preserve">Watkins, J. 2018. Composing Visual Music: Visual Music Practice at the</w:t>
      </w:r>
      <w:r>
        <w:t xml:space="preserve"> </w:t>
      </w:r>
      <w:r>
        <w:t xml:space="preserve">Intersection of Technology, Audio-visual Rhythms and Human Traces.</w:t>
      </w:r>
      <w:r>
        <w:t xml:space="preserve"> </w:t>
      </w:r>
      <w:r>
        <w:rPr>
          <w:i/>
          <w:iCs/>
        </w:rPr>
        <w:t xml:space="preserve">Body, Space &amp; Technology</w:t>
      </w:r>
      <w:r>
        <w:t xml:space="preserve"> </w:t>
      </w:r>
      <w:r>
        <w:t xml:space="preserve">17(1): 51-75.</w:t>
      </w:r>
      <w:r>
        <w:t xml:space="preserve"> </w:t>
      </w:r>
      <w:hyperlink r:id="rId57">
        <w:r>
          <w:rPr>
            <w:rStyle w:val="Hyperlink"/>
          </w:rPr>
          <w:t xml:space="preserve">https://doi.org/10.16995/bst.296</w:t>
        </w:r>
      </w:hyperlink>
      <w:r>
        <w:t xml:space="preserve">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53" Target="http://www.cambridge.org/core/journals/organised-sound/announcements/call-for-papers/call-electroacoustic-audiovisual-composition-and-intermediality-reconceptualising-media-relationships" TargetMode="External" /><Relationship Type="http://schemas.openxmlformats.org/officeDocument/2006/relationships/hyperlink" Id="rId51" Target="https://doi.org/10.1007/978-1-84628-600-1_8" TargetMode="External" /><Relationship Type="http://schemas.openxmlformats.org/officeDocument/2006/relationships/hyperlink" Id="rId45" Target="https://doi.org/10.1007/978-3-031-90167-6_4" TargetMode="External" /><Relationship Type="http://schemas.openxmlformats.org/officeDocument/2006/relationships/hyperlink" Id="rId44" Target="https://doi.org/10.1017/S1355771809990239" TargetMode="External" /><Relationship Type="http://schemas.openxmlformats.org/officeDocument/2006/relationships/hyperlink" Id="rId47" Target="https://doi.org/10.1017/S1355771812000027" TargetMode="External" /><Relationship Type="http://schemas.openxmlformats.org/officeDocument/2006/relationships/hyperlink" Id="rId50" Target="https://doi.org/10.1017/S1355771812000106" TargetMode="External" /><Relationship Type="http://schemas.openxmlformats.org/officeDocument/2006/relationships/hyperlink" Id="rId46" Target="https://doi.org/10.1057/9780230275201_2" TargetMode="External" /><Relationship Type="http://schemas.openxmlformats.org/officeDocument/2006/relationships/hyperlink" Id="rId54" Target="https://doi.org/10.1162/014892602320582981" TargetMode="External" /><Relationship Type="http://schemas.openxmlformats.org/officeDocument/2006/relationships/hyperlink" Id="rId52" Target="https://doi.org/10.1162/COMJ_a_00038" TargetMode="External" /><Relationship Type="http://schemas.openxmlformats.org/officeDocument/2006/relationships/hyperlink" Id="rId42" Target="https://doi.org/10.1177/20592043241246515" TargetMode="External" /><Relationship Type="http://schemas.openxmlformats.org/officeDocument/2006/relationships/hyperlink" Id="rId57" Target="https://doi.org/10.16995/bst.296" TargetMode="External" /><Relationship Type="http://schemas.openxmlformats.org/officeDocument/2006/relationships/hyperlink" Id="rId56" Target="https://doi.org/10.3758/s13414-010-0073-7" TargetMode="External" /><Relationship Type="http://schemas.openxmlformats.org/officeDocument/2006/relationships/hyperlink" Id="rId55" Target="https://doi.org/10.7202/1005505ar" TargetMode="External" /><Relationship Type="http://schemas.openxmlformats.org/officeDocument/2006/relationships/hyperlink" Id="rId48" Target="https://econtact.ca/18_2/harris_audiovisualcoherence.html" TargetMode="External" /><Relationship Type="http://schemas.openxmlformats.org/officeDocument/2006/relationships/hyperlink" Id="rId43" Target="https://eprints.bournemouth.ac.uk/40772/" TargetMode="External" /><Relationship Type="http://schemas.openxmlformats.org/officeDocument/2006/relationships/hyperlink" Id="rId41" Target="https://github.com/td0034/OrganisedSound/" TargetMode="External" /><Relationship Type="http://schemas.openxmlformats.org/officeDocument/2006/relationships/hyperlink" Id="rId49" Target="https://hdl.handle.net/2086/989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://www.cambridge.org/core/journals/organised-sound/announcements/call-for-papers/call-electroacoustic-audiovisual-composition-and-intermediality-reconceptualising-media-relationships" TargetMode="External" /><Relationship Type="http://schemas.openxmlformats.org/officeDocument/2006/relationships/hyperlink" Id="rId51" Target="https://doi.org/10.1007/978-1-84628-600-1_8" TargetMode="External" /><Relationship Type="http://schemas.openxmlformats.org/officeDocument/2006/relationships/hyperlink" Id="rId45" Target="https://doi.org/10.1007/978-3-031-90167-6_4" TargetMode="External" /><Relationship Type="http://schemas.openxmlformats.org/officeDocument/2006/relationships/hyperlink" Id="rId44" Target="https://doi.org/10.1017/S1355771809990239" TargetMode="External" /><Relationship Type="http://schemas.openxmlformats.org/officeDocument/2006/relationships/hyperlink" Id="rId47" Target="https://doi.org/10.1017/S1355771812000027" TargetMode="External" /><Relationship Type="http://schemas.openxmlformats.org/officeDocument/2006/relationships/hyperlink" Id="rId50" Target="https://doi.org/10.1017/S1355771812000106" TargetMode="External" /><Relationship Type="http://schemas.openxmlformats.org/officeDocument/2006/relationships/hyperlink" Id="rId46" Target="https://doi.org/10.1057/9780230275201_2" TargetMode="External" /><Relationship Type="http://schemas.openxmlformats.org/officeDocument/2006/relationships/hyperlink" Id="rId54" Target="https://doi.org/10.1162/014892602320582981" TargetMode="External" /><Relationship Type="http://schemas.openxmlformats.org/officeDocument/2006/relationships/hyperlink" Id="rId52" Target="https://doi.org/10.1162/COMJ_a_00038" TargetMode="External" /><Relationship Type="http://schemas.openxmlformats.org/officeDocument/2006/relationships/hyperlink" Id="rId42" Target="https://doi.org/10.1177/20592043241246515" TargetMode="External" /><Relationship Type="http://schemas.openxmlformats.org/officeDocument/2006/relationships/hyperlink" Id="rId57" Target="https://doi.org/10.16995/bst.296" TargetMode="External" /><Relationship Type="http://schemas.openxmlformats.org/officeDocument/2006/relationships/hyperlink" Id="rId56" Target="https://doi.org/10.3758/s13414-010-0073-7" TargetMode="External" /><Relationship Type="http://schemas.openxmlformats.org/officeDocument/2006/relationships/hyperlink" Id="rId55" Target="https://doi.org/10.7202/1005505ar" TargetMode="External" /><Relationship Type="http://schemas.openxmlformats.org/officeDocument/2006/relationships/hyperlink" Id="rId48" Target="https://econtact.ca/18_2/harris_audiovisualcoherence.html" TargetMode="External" /><Relationship Type="http://schemas.openxmlformats.org/officeDocument/2006/relationships/hyperlink" Id="rId43" Target="https://eprints.bournemouth.ac.uk/40772/" TargetMode="External" /><Relationship Type="http://schemas.openxmlformats.org/officeDocument/2006/relationships/hyperlink" Id="rId41" Target="https://github.com/td0034/OrganisedSound/" TargetMode="External" /><Relationship Type="http://schemas.openxmlformats.org/officeDocument/2006/relationships/hyperlink" Id="rId49" Target="https://hdl.handle.net/2086/989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0206030504050203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0206030504050203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Intermedial Interference in a Coupled Generative Instrument: Evaluating Media Equality Through Modality Constraint and Replay</dc:title>
  <dc:creator>Thomas Didiot-Cook</dc:creator>
  <cp:keywords/>
  <dcterms:created xsi:type="dcterms:W3CDTF">2026-05-07T10:38:38Z</dcterms:created>
  <dcterms:modified xsi:type="dcterms:W3CDTF">2026-05-07T10:38:38Z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eqLabels">
    <vt:lpwstr>arabic</vt:lpwstr>
  </property>
  <property fmtid="{D5CDD505-2E9C-101B-9397-08002B2CF9AE}" pid="14" name="eqnBlockInlineMath">
    <vt:lpwstr>False</vt:lpwstr>
  </property>
  <property fmtid="{D5CDD505-2E9C-101B-9397-08002B2CF9AE}" pid="15" name="eqnBlockTemplate">
    <vt:lpwstr>ti</vt:lpwstr>
  </property>
  <property fmtid="{D5CDD505-2E9C-101B-9397-08002B2CF9AE}" pid="16" name="eqnDisplayTemplate">
    <vt:lpwstr>e</vt:lpwstr>
  </property>
  <property fmtid="{D5CDD505-2E9C-101B-9397-08002B2CF9AE}" pid="17" name="eqnIndexTemplate">
    <vt:lpwstr>(i)</vt:lpwstr>
  </property>
  <property fmtid="{D5CDD505-2E9C-101B-9397-08002B2CF9AE}" pid="18" name="eqnInlineTableTemplate">
    <vt:lpwstr>e</vt:lpwstr>
  </property>
  <property fmtid="{D5CDD505-2E9C-101B-9397-08002B2CF9AE}" pid="19" name="eqnInlineTemplate">
    <vt:lpwstr>eequationNumberTeX{i}</vt:lpwstr>
  </property>
  <property fmtid="{D5CDD505-2E9C-101B-9397-08002B2CF9AE}" pid="20" name="eqnPrefix">
    <vt:lpwstr/>
  </property>
  <property fmtid="{D5CDD505-2E9C-101B-9397-08002B2CF9AE}" pid="21" name="eqnPrefixTemplate">
    <vt:lpwstr>p i</vt:lpwstr>
  </property>
  <property fmtid="{D5CDD505-2E9C-101B-9397-08002B2CF9AE}" pid="22" name="equationNumberTeX">
    <vt:lpwstr>\qquad</vt:lpwstr>
  </property>
  <property fmtid="{D5CDD505-2E9C-101B-9397-08002B2CF9AE}" pid="23" name="figLabels">
    <vt:lpwstr>arabic</vt:lpwstr>
  </property>
  <property fmtid="{D5CDD505-2E9C-101B-9397-08002B2CF9AE}" pid="24" name="figPrefix">
    <vt:lpwstr/>
  </property>
  <property fmtid="{D5CDD505-2E9C-101B-9397-08002B2CF9AE}" pid="25" name="figPrefixTemplate">
    <vt:lpwstr>p i</vt:lpwstr>
  </property>
  <property fmtid="{D5CDD505-2E9C-101B-9397-08002B2CF9AE}" pid="26" name="figureTemplate">
    <vt:lpwstr>figureTitle ititleDelim t</vt:lpwstr>
  </property>
  <property fmtid="{D5CDD505-2E9C-101B-9397-08002B2CF9AE}" pid="27" name="figureTitle">
    <vt:lpwstr>Figure</vt:lpwstr>
  </property>
  <property fmtid="{D5CDD505-2E9C-101B-9397-08002B2CF9AE}" pid="28" name="fontsize">
    <vt:lpwstr>11pt</vt:lpwstr>
  </property>
  <property fmtid="{D5CDD505-2E9C-101B-9397-08002B2CF9AE}" pid="29" name="geometry">
    <vt:lpwstr>margin=2.5cm</vt:lpwstr>
  </property>
  <property fmtid="{D5CDD505-2E9C-101B-9397-08002B2CF9AE}" pid="30" name="header-includes">
    <vt:lpwstr/>
  </property>
  <property fmtid="{D5CDD505-2E9C-101B-9397-08002B2CF9AE}" pid="31" name="lastDelim">
    <vt:lpwstr>, </vt:lpwstr>
  </property>
  <property fmtid="{D5CDD505-2E9C-101B-9397-08002B2CF9AE}" pid="32" name="linestretch">
    <vt:lpwstr>1.15</vt:lpwstr>
  </property>
  <property fmtid="{D5CDD505-2E9C-101B-9397-08002B2CF9AE}" pid="33" name="linkReferences">
    <vt:lpwstr>False</vt:lpwstr>
  </property>
  <property fmtid="{D5CDD505-2E9C-101B-9397-08002B2CF9AE}" pid="34" name="linkcolor">
    <vt:lpwstr>blue</vt:lpwstr>
  </property>
  <property fmtid="{D5CDD505-2E9C-101B-9397-08002B2CF9AE}" pid="35" name="listItemTitleDelim">
    <vt:lpwstr>.</vt:lpwstr>
  </property>
  <property fmtid="{D5CDD505-2E9C-101B-9397-08002B2CF9AE}" pid="36" name="listOfMetadata">
    <vt:lpwstr>False</vt:lpwstr>
  </property>
  <property fmtid="{D5CDD505-2E9C-101B-9397-08002B2CF9AE}" pid="37" name="listingTemplate">
    <vt:lpwstr>listingTitle ititleDelim t</vt:lpwstr>
  </property>
  <property fmtid="{D5CDD505-2E9C-101B-9397-08002B2CF9AE}" pid="38" name="listingTitle">
    <vt:lpwstr>Listing</vt:lpwstr>
  </property>
  <property fmtid="{D5CDD505-2E9C-101B-9397-08002B2CF9AE}" pid="39" name="listings">
    <vt:lpwstr>False</vt:lpwstr>
  </property>
  <property fmtid="{D5CDD505-2E9C-101B-9397-08002B2CF9AE}" pid="40" name="lofItemTemplate">
    <vt:lpwstr>lofItemTitleilistItemTitleDelimt </vt:lpwstr>
  </property>
  <property fmtid="{D5CDD505-2E9C-101B-9397-08002B2CF9AE}" pid="41" name="lofItemTitle">
    <vt:lpwstr/>
  </property>
  <property fmtid="{D5CDD505-2E9C-101B-9397-08002B2CF9AE}" pid="42" name="lofTitle">
    <vt:lpwstr>List of Figures</vt:lpwstr>
  </property>
  <property fmtid="{D5CDD505-2E9C-101B-9397-08002B2CF9AE}" pid="43" name="lolItemTemplate">
    <vt:lpwstr>lolItemTitleilistItemTitleDelimt </vt:lpwstr>
  </property>
  <property fmtid="{D5CDD505-2E9C-101B-9397-08002B2CF9AE}" pid="44" name="lolItemTitle">
    <vt:lpwstr/>
  </property>
  <property fmtid="{D5CDD505-2E9C-101B-9397-08002B2CF9AE}" pid="45" name="lolTitle">
    <vt:lpwstr>List of Listings</vt:lpwstr>
  </property>
  <property fmtid="{D5CDD505-2E9C-101B-9397-08002B2CF9AE}" pid="46" name="lotItemTemplate">
    <vt:lpwstr>lotItemTitleilistItemTitleDelimt </vt:lpwstr>
  </property>
  <property fmtid="{D5CDD505-2E9C-101B-9397-08002B2CF9AE}" pid="47" name="lotItemTitle">
    <vt:lpwstr/>
  </property>
  <property fmtid="{D5CDD505-2E9C-101B-9397-08002B2CF9AE}" pid="48" name="lotTitle">
    <vt:lpwstr>List of Tables</vt:lpwstr>
  </property>
  <property fmtid="{D5CDD505-2E9C-101B-9397-08002B2CF9AE}" pid="49" name="lstLabels">
    <vt:lpwstr>arabic</vt:lpwstr>
  </property>
  <property fmtid="{D5CDD505-2E9C-101B-9397-08002B2CF9AE}" pid="50" name="lstPrefix">
    <vt:lpwstr/>
  </property>
  <property fmtid="{D5CDD505-2E9C-101B-9397-08002B2CF9AE}" pid="51" name="lstPrefixTemplate">
    <vt:lpwstr>p i</vt:lpwstr>
  </property>
  <property fmtid="{D5CDD505-2E9C-101B-9397-08002B2CF9AE}" pid="52" name="nameInLink">
    <vt:lpwstr>False</vt:lpwstr>
  </property>
  <property fmtid="{D5CDD505-2E9C-101B-9397-08002B2CF9AE}" pid="53" name="numberSections">
    <vt:lpwstr>False</vt:lpwstr>
  </property>
  <property fmtid="{D5CDD505-2E9C-101B-9397-08002B2CF9AE}" pid="54" name="pairDelim">
    <vt:lpwstr>, </vt:lpwstr>
  </property>
  <property fmtid="{D5CDD505-2E9C-101B-9397-08002B2CF9AE}" pid="55" name="rangeDelim">
    <vt:lpwstr>-</vt:lpwstr>
  </property>
  <property fmtid="{D5CDD505-2E9C-101B-9397-08002B2CF9AE}" pid="56" name="refDelim">
    <vt:lpwstr>, </vt:lpwstr>
  </property>
  <property fmtid="{D5CDD505-2E9C-101B-9397-08002B2CF9AE}" pid="57" name="refIndexTemplate">
    <vt:lpwstr>isuf</vt:lpwstr>
  </property>
  <property fmtid="{D5CDD505-2E9C-101B-9397-08002B2CF9AE}" pid="58" name="secHeaderDelim">
    <vt:lpwstr> </vt:lpwstr>
  </property>
  <property fmtid="{D5CDD505-2E9C-101B-9397-08002B2CF9AE}" pid="59" name="secHeaderTemplate">
    <vt:lpwstr>isecHeaderDelim[n]t</vt:lpwstr>
  </property>
  <property fmtid="{D5CDD505-2E9C-101B-9397-08002B2CF9AE}" pid="60" name="secLabels">
    <vt:lpwstr>arabic</vt:lpwstr>
  </property>
  <property fmtid="{D5CDD505-2E9C-101B-9397-08002B2CF9AE}" pid="61" name="secPrefix">
    <vt:lpwstr/>
  </property>
  <property fmtid="{D5CDD505-2E9C-101B-9397-08002B2CF9AE}" pid="62" name="secPrefixTemplate">
    <vt:lpwstr>p i</vt:lpwstr>
  </property>
  <property fmtid="{D5CDD505-2E9C-101B-9397-08002B2CF9AE}" pid="63" name="sectionsDepth">
    <vt:lpwstr>0</vt:lpwstr>
  </property>
  <property fmtid="{D5CDD505-2E9C-101B-9397-08002B2CF9AE}" pid="64" name="subfigGrid">
    <vt:lpwstr>False</vt:lpwstr>
  </property>
  <property fmtid="{D5CDD505-2E9C-101B-9397-08002B2CF9AE}" pid="65" name="subfigLabels">
    <vt:lpwstr>alpha a</vt:lpwstr>
  </property>
  <property fmtid="{D5CDD505-2E9C-101B-9397-08002B2CF9AE}" pid="66" name="subfigureChildTemplate">
    <vt:lpwstr>i</vt:lpwstr>
  </property>
  <property fmtid="{D5CDD505-2E9C-101B-9397-08002B2CF9AE}" pid="67" name="subfigureRefIndexTemplate">
    <vt:lpwstr>isuf (s)</vt:lpwstr>
  </property>
  <property fmtid="{D5CDD505-2E9C-101B-9397-08002B2CF9AE}" pid="68" name="subfigureTemplate">
    <vt:lpwstr>figureTitle ititleDelim t. ccs</vt:lpwstr>
  </property>
  <property fmtid="{D5CDD505-2E9C-101B-9397-08002B2CF9AE}" pid="69" name="tableEqns">
    <vt:lpwstr>False</vt:lpwstr>
  </property>
  <property fmtid="{D5CDD505-2E9C-101B-9397-08002B2CF9AE}" pid="70" name="tableTemplate">
    <vt:lpwstr>tableTitle ititleDelim t</vt:lpwstr>
  </property>
  <property fmtid="{D5CDD505-2E9C-101B-9397-08002B2CF9AE}" pid="71" name="tableTitle">
    <vt:lpwstr>Table</vt:lpwstr>
  </property>
  <property fmtid="{D5CDD505-2E9C-101B-9397-08002B2CF9AE}" pid="72" name="tblLabels">
    <vt:lpwstr>arabic</vt:lpwstr>
  </property>
  <property fmtid="{D5CDD505-2E9C-101B-9397-08002B2CF9AE}" pid="73" name="tblPrefix">
    <vt:lpwstr/>
  </property>
  <property fmtid="{D5CDD505-2E9C-101B-9397-08002B2CF9AE}" pid="74" name="tblPrefixTemplate">
    <vt:lpwstr>p i</vt:lpwstr>
  </property>
  <property fmtid="{D5CDD505-2E9C-101B-9397-08002B2CF9AE}" pid="75" name="titleDelim">
    <vt:lpwstr>:</vt:lpwstr>
  </property>
  <property fmtid="{D5CDD505-2E9C-101B-9397-08002B2CF9AE}" pid="76" name="urlcolor">
    <vt:lpwstr>blue</vt:lpwstr>
  </property>
</Properties>
</file>