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Evaluating Media Equality in Generative Audiovisual Composition Using Modality Constraint and Replay-Based Reveal</w:t>
      </w:r>
    </w:p>
    <w:p>
      <w:pPr>
        <w:pStyle w:val="Body"/>
        <w:bidi w:val="0"/>
      </w:pP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Author: </w:t>
        <w:tab/>
        <w:t>Tom Didiot-Cook</w:t>
        <w:tab/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Affiliation: </w:t>
        <w:tab/>
        <w:t>University of Bristol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E-mail:</w:t>
        <w:tab/>
        <w:tab/>
        <w:t>td0034@bristol.ac.uk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