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spacing w:before="0" w:after="299" w:line="240" w:lineRule="auto"/>
        <w:rPr>
          <w:rFonts w:ascii="Times Roman" w:cs="Times Roman" w:hAnsi="Times Roman" w:eastAsia="Times Roman"/>
          <w:b w:val="1"/>
          <w:bCs w:val="1"/>
          <w:sz w:val="36"/>
          <w:szCs w:val="36"/>
          <w:lang w:val="en-US"/>
        </w:rPr>
      </w:pPr>
      <w:r>
        <w:rPr>
          <w:rFonts w:ascii="Times Roman" w:hAnsi="Times Roman"/>
          <w:b w:val="1"/>
          <w:bCs w:val="1"/>
          <w:sz w:val="36"/>
          <w:szCs w:val="36"/>
          <w:rtl w:val="0"/>
          <w:lang w:val="en-US"/>
        </w:rPr>
        <w:t>Abstract</w:t>
      </w:r>
    </w:p>
    <w:p>
      <w:pPr>
        <w:pStyle w:val="Body"/>
        <w:rPr>
          <w:rFonts w:ascii="Helvetica Neue" w:cs="Helvetica Neue" w:hAnsi="Helvetica Neue" w:eastAsia="Helvetica Neue"/>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pPr>
      <w:r>
        <w:rPr>
          <w:rFonts w:ascii="Times Roman" w:hAnsi="Times Roman"/>
          <w:caps w:val="0"/>
          <w:smallCaps w:val="0"/>
          <w:strike w:val="0"/>
          <w:dstrike w:val="0"/>
          <w:outline w:val="0"/>
          <w:color w:val="000000"/>
          <w:spacing w:val="0"/>
          <w:kern w:val="0"/>
          <w:position w:val="0"/>
          <w:u w:val="none" w:color="000000"/>
          <w:shd w:val="nil" w:color="auto" w:fill="auto"/>
          <w:vertAlign w:val="baseline"/>
          <w:rtl w:val="0"/>
          <w:lang w:val="en-US"/>
          <w14:textOutline w14:w="12700" w14:cap="flat">
            <w14:noFill/>
            <w14:miter w14:lim="400000"/>
          </w14:textOutline>
          <w14:textFill>
            <w14:solidFill>
              <w14:srgbClr w14:val="000000"/>
            </w14:solidFill>
          </w14:textFill>
        </w:rPr>
        <w:t>Electroacoustic audiovisual composition often aspires to parity between sound and moving image, yet workflow and perceptual salience can reintroduce hierarchy. This article evaluates media equality and intermedial interference (constructive and destructive interactions between media features) in a generative audiovisual instrument using a modality constraint and replay-based reveal protocol. We study the Cellular Au-Tonnetz, a Tonnetz cellular-automata system in which sound and LED activity are parallel projections of a single evolving state-space. In a within-subject study (N = 9), participants completed three short compositional tasks with visual-only, audio-only, and audiovisual access. Each block began from a shared preset, ended with a recorded audiovisual excerpt and saved parameter preset, and was followed by immediate audiovisual replay and two-part reflection (pre-reveal and post-reveal). Audiovisual access was most often ranked best overall (8/9) and most intermedial (7/9), while audio-only most often produced the biggest mismatch (6/9). Disruptive interference was commonly reported as cue conflict (temporal persistence, density mismatch, perceptual masking), while productive interference emerged when replay supported rebinding and increased perceived coherence. We propose a lightweight evaluation template for practice-based intermedial research and outline design priorities for state-space projection instruments.</w:t>
      </w:r>
    </w:p>
    <w:p>
      <w:pPr>
        <w:pStyle w:val="Default"/>
        <w:spacing w:before="0" w:after="299" w:line="240" w:lineRule="auto"/>
      </w:pPr>
      <w:r>
        <w:rPr>
          <w:rFonts w:ascii="Arial Unicode MS" w:cs="Arial Unicode MS" w:hAnsi="Arial Unicode MS" w:eastAsia="Arial Unicode MS"/>
          <w:b w:val="0"/>
          <w:bCs w:val="0"/>
          <w:i w:val="0"/>
          <w:iCs w:val="0"/>
        </w:rPr>
        <w:br w:type="page"/>
      </w:r>
    </w:p>
    <w:p>
      <w:pPr>
        <w:pStyle w:val="Default"/>
        <w:spacing w:before="0" w:after="299" w:line="240" w:lineRule="auto"/>
        <w:rPr>
          <w:rFonts w:ascii="Times Roman" w:cs="Times Roman" w:hAnsi="Times Roman" w:eastAsia="Times Roman"/>
          <w:b w:val="1"/>
          <w:bCs w:val="1"/>
          <w:sz w:val="36"/>
          <w:szCs w:val="36"/>
        </w:rPr>
      </w:pPr>
      <w:r>
        <w:rPr>
          <w:rFonts w:ascii="Times Roman" w:hAnsi="Times Roman"/>
          <w:b w:val="1"/>
          <w:bCs w:val="1"/>
          <w:sz w:val="36"/>
          <w:szCs w:val="36"/>
          <w:rtl w:val="0"/>
          <w:lang w:val="fr-FR"/>
        </w:rPr>
        <w:t>1 Introduction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Electroacoustic audiovisual composition is often discussed through models that implicitly privilege one medium: sound as structural driver with image as illustration, or image as narrative driver with sound as enhancement. Even where practitioners aim for parity, practical realities of workflow, interface design, and perceptual salience tend to reintroduce hierarchy. The Organised Sound call for this thematic issue highlights this as a problem of media equality and raises intermedial interference as a prompt for reconceptualising how media relationships are composed and perceived (Organised Sound 2026). Interference has also been developed as a compositional and analytic focus within electroacoustic audiovisual practice (Chiaramonte 2024).</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This article takes a design-and-evaluation position on that prompt. It treats intermediality not only as an aesthetic aspiration, but as a manipulable design problem that can be evaluated in practice. The focus is generative instruments in which sound and moving image are produced in real time from shared processes. In such systems, the compositional site shifts away from post hoc synchronisation of independent layers and towards shaping the dynamics of an underlying generative substrate.</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We examine a specific coupling pattern that is common in contemporary audiovisual tools but rarely operationalised in evaluation: state-space projection. Here, sound and image are treated as parallel projections of a single evolving state, rather than one medium being derived from or aligned to the other. This provides a concrete basis for evaluating intermedial interference because the coupling is causal: when the underlying state changes, both modalities change.</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1.1 Intermedial interference as a design and evaluation problem</w:t>
      </w:r>
    </w:p>
    <w:p>
      <w:pPr>
        <w:pStyle w:val="Default"/>
        <w:spacing w:before="0" w:after="240" w:line="240" w:lineRule="auto"/>
        <w:rPr>
          <w:rFonts w:ascii="Times Roman" w:cs="Times Roman" w:hAnsi="Times Roman" w:eastAsia="Times Roman"/>
        </w:rPr>
      </w:pPr>
      <w:r>
        <w:rPr>
          <w:rFonts w:ascii="Times Roman" w:hAnsi="Times Roman"/>
          <w:rtl w:val="0"/>
          <w:lang w:val="en-US"/>
        </w:rPr>
        <w:t>Intermedial interference is used here to denote the perceptual and interpretive consequences of interactions between salient features of the two media. It includes constructive effects (reinforcement, increased legibility, meaningful surprise) and destructive effects (contradiction, masking, overload, reduced causal confidence). In a state-space projection system, interference is design-sensitive: it emerges from mapping choices, temporal envelopes, constraint regimes, and the performer</w:t>
      </w:r>
      <w:r>
        <w:rPr>
          <w:rFonts w:ascii="Arial Unicode MS" w:hAnsi="Arial Unicode MS" w:hint="default"/>
          <w:rtl w:val="0"/>
          <w:lang w:val="fr-FR"/>
        </w:rPr>
        <w:t>’</w:t>
      </w:r>
      <w:r>
        <w:rPr>
          <w:rFonts w:ascii="Times Roman" w:hAnsi="Times Roman"/>
          <w:rtl w:val="0"/>
          <w:lang w:val="en-US"/>
        </w:rPr>
        <w:t>s ability to build and test a causal model while composing.</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Despite the prevalence of generative systems in electroacoustic and audiovisual practices, evaluation is frequently limited to descriptive accounts or anecdotal response. This makes it difficult to compare design choices or to articulate how a system supports, or undermines, parity between media. There remains a need for evaluation approaches that (i) retain practice-based validity, (ii) produce analysable evidence within realistic artistic development timelines, and (iii) connect participant experience to perceivable properties of captured audiovisual artefacts.</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1.2 Research questions and contributions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 study addresses three questions:</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RQ1 (intermedial equality)</w:t>
      </w:r>
      <w:r>
        <w:rPr>
          <w:rFonts w:ascii="Times Roman" w:hAnsi="Times Roman"/>
          <w:rtl w:val="0"/>
          <w:lang w:val="en-US"/>
        </w:rPr>
        <w:t>: To what extent do participants experience sound and light as co-equal contributors to meaning when composing with the system?</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RQ2 (intermedial interference)</w:t>
      </w:r>
      <w:r>
        <w:rPr>
          <w:rFonts w:ascii="Times Roman" w:hAnsi="Times Roman"/>
          <w:rtl w:val="0"/>
          <w:lang w:val="en-US"/>
        </w:rPr>
        <w:t>: What forms of constructive and destructive intermedial interference arise in practice, and how do they relate to modality access and parameter shaping?</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RQ3 (agency and causality)</w:t>
      </w:r>
      <w:r>
        <w:rPr>
          <w:rFonts w:ascii="Times Roman" w:hAnsi="Times Roman"/>
          <w:rtl w:val="0"/>
          <w:lang w:val="en-US"/>
        </w:rPr>
        <w:t>: How do perceptions of authorship, predictability, and steerability change when one modality is unavailable during composition?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 article contributes:</w:t>
      </w:r>
    </w:p>
    <w:p>
      <w:pPr>
        <w:pStyle w:val="Default"/>
        <w:numPr>
          <w:ilvl w:val="0"/>
          <w:numId w:val="4"/>
        </w:numPr>
        <w:bidi w:val="0"/>
        <w:spacing w:before="0" w:after="240" w:line="240" w:lineRule="auto"/>
        <w:ind w:right="0"/>
        <w:jc w:val="left"/>
        <w:rPr>
          <w:rFonts w:ascii="Times Roman" w:hAnsi="Times Roman"/>
          <w:rtl w:val="0"/>
          <w:lang w:val="en-US"/>
        </w:rPr>
      </w:pPr>
      <w:r>
        <w:rPr>
          <w:rFonts w:ascii="Times Roman" w:hAnsi="Times Roman"/>
          <w:rtl w:val="0"/>
          <w:lang w:val="en-US"/>
        </w:rPr>
        <w:t>A state-space projection framing of intermedial composition in which sound and light are treated as parallel projections of a shared generative substrate, enabling analysis without default media hierarchy.</w:t>
      </w:r>
    </w:p>
    <w:p>
      <w:pPr>
        <w:pStyle w:val="Default"/>
        <w:numPr>
          <w:ilvl w:val="0"/>
          <w:numId w:val="4"/>
        </w:numPr>
        <w:bidi w:val="0"/>
        <w:spacing w:before="0" w:after="240" w:line="240" w:lineRule="auto"/>
        <w:ind w:right="0"/>
        <w:jc w:val="left"/>
        <w:rPr>
          <w:rFonts w:ascii="Times Roman" w:hAnsi="Times Roman"/>
          <w:rtl w:val="0"/>
          <w:lang w:val="en-US"/>
        </w:rPr>
      </w:pPr>
      <w:r>
        <w:rPr>
          <w:rFonts w:ascii="Times Roman" w:hAnsi="Times Roman"/>
          <w:rtl w:val="0"/>
          <w:lang w:val="en-US"/>
        </w:rPr>
        <w:t>A lightweight evaluation method for practice-based intermedial research that combines modality-access manipulation, replay-based reveal, and traceable artefact capture.</w:t>
      </w:r>
    </w:p>
    <w:p>
      <w:pPr>
        <w:pStyle w:val="Default"/>
        <w:numPr>
          <w:ilvl w:val="0"/>
          <w:numId w:val="4"/>
        </w:numPr>
        <w:bidi w:val="0"/>
        <w:spacing w:before="0" w:after="240" w:line="240" w:lineRule="auto"/>
        <w:ind w:right="0"/>
        <w:jc w:val="left"/>
        <w:rPr>
          <w:rFonts w:ascii="Times Roman" w:hAnsi="Times Roman"/>
          <w:rtl w:val="0"/>
          <w:lang w:val="en-US"/>
        </w:rPr>
      </w:pPr>
      <w:r>
        <w:rPr>
          <w:rFonts w:ascii="Times Roman" w:hAnsi="Times Roman"/>
          <w:rtl w:val="0"/>
          <w:lang w:val="en-US"/>
        </w:rPr>
        <w:t>An interference-focused account of mechanisms (cue conflict and rebinding) and instrument-actionable design priorities that improve media equality in coupled generative instruments.</w:t>
      </w:r>
    </w:p>
    <w:p>
      <w:pPr>
        <w:pStyle w:val="Default"/>
        <w:spacing w:before="0" w:line="240" w:lineRule="auto"/>
        <w:rPr>
          <w:rFonts w:ascii="Times Roman" w:cs="Times Roman" w:hAnsi="Times Roman" w:eastAsia="Times Roman"/>
          <w:outline w:val="0"/>
          <w:color w:val="808080"/>
          <w:u w:color="808080"/>
          <w14:textFill>
            <w14:solidFill>
              <w14:srgbClr w14:val="808080"/>
            </w14:solidFill>
          </w14:textFill>
        </w:rPr>
      </w:pPr>
    </w:p>
    <w:p>
      <w:pPr>
        <w:pStyle w:val="Default"/>
        <w:spacing w:before="0" w:after="299" w:line="240" w:lineRule="auto"/>
        <w:rPr>
          <w:rFonts w:ascii="Times Roman" w:cs="Times Roman" w:hAnsi="Times Roman" w:eastAsia="Times Roman"/>
          <w:b w:val="1"/>
          <w:bCs w:val="1"/>
          <w:sz w:val="36"/>
          <w:szCs w:val="36"/>
        </w:rPr>
      </w:pPr>
      <w:r>
        <w:rPr>
          <w:rFonts w:ascii="Times Roman" w:hAnsi="Times Roman"/>
          <w:b w:val="1"/>
          <w:bCs w:val="1"/>
          <w:sz w:val="36"/>
          <w:szCs w:val="36"/>
          <w:rtl w:val="0"/>
          <w:lang w:val="fr-FR"/>
        </w:rPr>
        <w:t>2</w:t>
      </w:r>
      <w:r>
        <w:rPr>
          <w:rFonts w:ascii="Times Roman" w:hAnsi="Times Roman"/>
          <w:b w:val="1"/>
          <w:bCs w:val="1"/>
          <w:sz w:val="36"/>
          <w:szCs w:val="36"/>
          <w:rtl w:val="0"/>
          <w:lang w:val="en-US"/>
        </w:rPr>
        <w:t xml:space="preserve"> Related work</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Intermediality is often used as a general label for work between media, but its analytic value depends on specifying the intermedial relation at stake. Rajewsky distinguishes medial transposition, media combination, and intermedial reference; this paper is concerned with media combination and, specifically, whether sound and time-based light output are experienced as co-constitutive rather than hierarchical (Rajewsky 2005).</w:t>
      </w:r>
    </w:p>
    <w:p>
      <w:pPr>
        <w:pStyle w:val="Default"/>
        <w:spacing w:before="0" w:after="240" w:line="240" w:lineRule="auto"/>
        <w:rPr>
          <w:rFonts w:ascii="Times Roman" w:cs="Times Roman" w:hAnsi="Times Roman" w:eastAsia="Times Roman"/>
        </w:rPr>
      </w:pPr>
      <w:r>
        <w:rPr>
          <w:rFonts w:ascii="Times Roman" w:hAnsi="Times Roman"/>
          <w:rtl w:val="0"/>
          <w:lang w:val="fr-FR"/>
        </w:rPr>
        <w:t>Ellestr</w:t>
      </w:r>
      <w:r>
        <w:rPr>
          <w:rFonts w:ascii="Times Roman" w:hAnsi="Times Roman" w:hint="default"/>
          <w:rtl w:val="0"/>
          <w:lang w:val="sv-SE"/>
        </w:rPr>
        <w:t>ö</w:t>
      </w:r>
      <w:r>
        <w:rPr>
          <w:rFonts w:ascii="Times Roman" w:hAnsi="Times Roman"/>
          <w:rtl w:val="0"/>
          <w:lang w:val="fr-FR"/>
        </w:rPr>
        <w:t>m</w:t>
      </w:r>
      <w:r>
        <w:rPr>
          <w:rFonts w:ascii="Arial Unicode MS" w:hAnsi="Arial Unicode MS" w:hint="default"/>
          <w:rtl w:val="0"/>
          <w:lang w:val="fr-FR"/>
        </w:rPr>
        <w:t>’</w:t>
      </w:r>
      <w:r>
        <w:rPr>
          <w:rFonts w:ascii="Times Roman" w:hAnsi="Times Roman"/>
          <w:rtl w:val="0"/>
          <w:lang w:val="en-US"/>
        </w:rPr>
        <w:t>s modality model provides a useful scaffold for discussing equality without treating media as undifferentiated streams. By distinguishing material, sensorial, spatiotemporal, and semiotic modalities, the model makes it possible to describe where equality succeeds or fails: parity may hold in causal origin while collapsing in sensorial salience or semiotic authority (Ellestr</w:t>
      </w:r>
      <w:r>
        <w:rPr>
          <w:rFonts w:ascii="Times Roman" w:hAnsi="Times Roman" w:hint="default"/>
          <w:rtl w:val="0"/>
          <w:lang w:val="sv-SE"/>
        </w:rPr>
        <w:t>ö</w:t>
      </w:r>
      <w:r>
        <w:rPr>
          <w:rFonts w:ascii="Times Roman" w:hAnsi="Times Roman"/>
          <w:rtl w:val="0"/>
          <w:lang w:val="fr-FR"/>
        </w:rPr>
        <w:t>m 2010).</w:t>
      </w:r>
    </w:p>
    <w:p>
      <w:pPr>
        <w:pStyle w:val="Default"/>
        <w:spacing w:before="0" w:after="240" w:line="240" w:lineRule="auto"/>
        <w:rPr>
          <w:rFonts w:ascii="Times Roman" w:cs="Times Roman" w:hAnsi="Times Roman" w:eastAsia="Times Roman"/>
        </w:rPr>
      </w:pPr>
      <w:r>
        <w:rPr>
          <w:rFonts w:ascii="Times Roman" w:hAnsi="Times Roman"/>
          <w:rtl w:val="0"/>
          <w:lang w:val="en-US"/>
        </w:rPr>
        <w:t>Audiovisual theory in film and sound studies provides durable concepts for how sound and image are perceived as an integrated whole. Chion</w:t>
      </w:r>
      <w:r>
        <w:rPr>
          <w:rFonts w:ascii="Arial Unicode MS" w:hAnsi="Arial Unicode MS" w:hint="default"/>
          <w:rtl w:val="0"/>
          <w:lang w:val="fr-FR"/>
        </w:rPr>
        <w:t>’</w:t>
      </w:r>
      <w:r>
        <w:rPr>
          <w:rFonts w:ascii="Times Roman" w:hAnsi="Times Roman"/>
          <w:rtl w:val="0"/>
          <w:lang w:val="en-US"/>
        </w:rPr>
        <w:t>s account of audio-vision emphasises that audiovisual perception is not additive; sound and image reciprocally frame one another</w:t>
      </w:r>
      <w:r>
        <w:rPr>
          <w:rFonts w:ascii="Arial Unicode MS" w:hAnsi="Arial Unicode MS" w:hint="default"/>
          <w:rtl w:val="0"/>
          <w:lang w:val="fr-FR"/>
        </w:rPr>
        <w:t>’</w:t>
      </w:r>
      <w:r>
        <w:rPr>
          <w:rFonts w:ascii="Times Roman" w:hAnsi="Times Roman"/>
          <w:rtl w:val="0"/>
          <w:lang w:val="en-US"/>
        </w:rPr>
        <w:t>s meaning. This is directly relevant to a modality-withholding design: composing with one modality absent and reinstating it at replay makes the construction of audio-vision observable, including how expectation, surprise, and retrospective binding contribute to perceived unity (Chion 1994).</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Within electroacoustic and intermedial discourse, intermedial interference foregrounds constructive and destructive interactions between media features and provides a handle for theorising media equality beyond simple synchrony (Organised Sound 2026; Chiaramonte 2024). Remediation and multimedia analysis further motivate treating media relations as constitutive rather than additive, and provide vocabulary for how one medium can frame or re-situate another (Bolter and Grusin 1999; Cook 1998).</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For coupled generative instruments, crossmodal correspondences offer a complementary design lens. Spence synthesises evidence that people reliably associate features across modalities (for example, pitch and brightness), making correspondences a resource for designing legible mappings (Spence 2011). In the present system, correspondence helps explain why some participants use colour similarity as a proxy for harmonic planning even without formal theory.</w:t>
      </w:r>
    </w:p>
    <w:p>
      <w:pPr>
        <w:pStyle w:val="Default"/>
        <w:spacing w:before="0" w:after="240" w:line="240" w:lineRule="auto"/>
        <w:rPr>
          <w:rFonts w:ascii="Times Roman" w:cs="Times Roman" w:hAnsi="Times Roman" w:eastAsia="Times Roman"/>
        </w:rPr>
      </w:pPr>
      <w:r>
        <w:rPr>
          <w:rFonts w:ascii="Times Roman" w:hAnsi="Times Roman"/>
          <w:rtl w:val="0"/>
          <w:lang w:val="en-US"/>
        </w:rPr>
        <w:t>Evaluation traditions in digital musical instruments provide precedents for studying agency negotiation without reducing outcomes to usability. O</w:t>
      </w:r>
      <w:r>
        <w:rPr>
          <w:rFonts w:ascii="Arial Unicode MS" w:hAnsi="Arial Unicode MS" w:hint="default"/>
          <w:rtl w:val="0"/>
          <w:lang w:val="fr-FR"/>
        </w:rPr>
        <w:t>’</w:t>
      </w:r>
      <w:r>
        <w:rPr>
          <w:rFonts w:ascii="Times Roman" w:hAnsi="Times Roman"/>
          <w:rtl w:val="0"/>
          <w:lang w:val="en-US"/>
        </w:rPr>
        <w:t>Modhrain proposes a framework supporting structured reflection on experience while remaining sensitive to musical context (O</w:t>
      </w:r>
      <w:r>
        <w:rPr>
          <w:rFonts w:ascii="Arial Unicode MS" w:hAnsi="Arial Unicode MS" w:hint="default"/>
          <w:rtl w:val="0"/>
          <w:lang w:val="fr-FR"/>
        </w:rPr>
        <w:t>’</w:t>
      </w:r>
      <w:r>
        <w:rPr>
          <w:rFonts w:ascii="Times Roman" w:hAnsi="Times Roman"/>
          <w:rtl w:val="0"/>
          <w:lang w:val="en-US"/>
        </w:rPr>
        <w:t>Modhrain 2011). Orio and Wanderley similarly discuss method rationales for evaluating input devices for musical expression that bridge performer experience and system iteration (Orio and Wanderley 2002).</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Finally, the specific substrates used here have well-established lineages. Tonnetz representations are canonical in neo-Riemannian and transformational theory, where neighbourhood relations correspond to parsimonious voice-leading operations (Cohn 1997; Douthett and Steinbach 1998). Cellular automata also have a long-standing lineage as musical generative formalisms valued for emergent structure from simple local rules (Miranda 2007). Besada et al. highlight cognitive and HCI challenges in Tonnetz-at-first-sight interaction, where visually salient geometric regularities can bias harmonic expectation; here, such bias is treated not only as a usability risk but as a potential resource for productive intermedial interference in a coupled audio and light system (Besada et al. 2024).</w:t>
      </w:r>
    </w:p>
    <w:p>
      <w:pPr>
        <w:pStyle w:val="Default"/>
        <w:spacing w:before="0" w:line="240" w:lineRule="auto"/>
        <w:rPr>
          <w:rFonts w:ascii="Times Roman" w:cs="Times Roman" w:hAnsi="Times Roman" w:eastAsia="Times Roman"/>
          <w:outline w:val="0"/>
          <w:color w:val="808080"/>
          <w:u w:color="808080"/>
          <w14:textFill>
            <w14:solidFill>
              <w14:srgbClr w14:val="808080"/>
            </w14:solidFill>
          </w14:textFill>
        </w:rPr>
      </w:pPr>
    </w:p>
    <w:p>
      <w:pPr>
        <w:pStyle w:val="Default"/>
        <w:spacing w:before="0" w:after="299" w:line="240" w:lineRule="auto"/>
        <w:rPr>
          <w:rFonts w:ascii="Times Roman" w:cs="Times Roman" w:hAnsi="Times Roman" w:eastAsia="Times Roman"/>
          <w:b w:val="1"/>
          <w:bCs w:val="1"/>
          <w:sz w:val="36"/>
          <w:szCs w:val="36"/>
          <w:lang w:val="en-US"/>
        </w:rPr>
      </w:pPr>
      <w:r>
        <w:rPr>
          <w:rFonts w:ascii="Times Roman" w:hAnsi="Times Roman"/>
          <w:b w:val="1"/>
          <w:bCs w:val="1"/>
          <w:sz w:val="36"/>
          <w:szCs w:val="36"/>
          <w:rtl w:val="0"/>
          <w:lang w:val="en-US"/>
        </w:rPr>
        <w:t>3 Method</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3.1 Participants and ethics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Nine participants completed the solo protocol (N = 9), recruited via convenience sampling across a range of musical experience and familiarity with generative systems. Participants provided informed consent for audio and video capture and for anonymised excerpts to be used as research stimuli. Background questions captured self-reported musical experience, theory familiarity, familiarity with generative systems, Tonnetz familiarity, and any relevant perceptual notes (for example, colour-vision deficiency and sensitivity to flashing lights).</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3.2 System under study</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 study evaluates the Cellular Au-Tonnetz (TZ5), previously described as a unified audio-visual MIDI generator that couples Tonnetz pitch-space mapping with cellular automata and a web-configured embedded control architecture (Didiot-Cook 2025).</w:t>
      </w:r>
    </w:p>
    <w:p>
      <w:pPr>
        <w:pStyle w:val="Default"/>
        <w:spacing w:before="0" w:after="240" w:line="240" w:lineRule="auto"/>
        <w:rPr>
          <w:rFonts w:ascii="Times Roman" w:cs="Times Roman" w:hAnsi="Times Roman" w:eastAsia="Times Roman"/>
        </w:rPr>
      </w:pPr>
      <w:r>
        <w:rPr>
          <w:rFonts w:ascii="Times Roman" w:hAnsi="Times Roman"/>
          <w:rtl w:val="0"/>
          <w:lang w:val="en-US"/>
        </w:rPr>
        <w:t>The system</w:t>
      </w:r>
      <w:r>
        <w:rPr>
          <w:rFonts w:ascii="Arial Unicode MS" w:hAnsi="Arial Unicode MS" w:hint="default"/>
          <w:rtl w:val="0"/>
          <w:lang w:val="fr-FR"/>
        </w:rPr>
        <w:t>’</w:t>
      </w:r>
      <w:r>
        <w:rPr>
          <w:rFonts w:ascii="Times Roman" w:hAnsi="Times Roman"/>
          <w:rtl w:val="0"/>
          <w:lang w:val="en-US"/>
        </w:rPr>
        <w:t>s core design feature is shared causal origin. A Tonnetz-mapped lattice of pitch classes evolves via asynchronous cellular automata dynamics under local rule thresholds and global population constraints. The same evolving state is rendered as (i) MIDI-driven audio output and (ii) LED-panel activity using a fixed pitch-class-to-colour mapping. In this framing, sound and light are parallel projections of a shared latent score: a single evolving substrate that is perceived through two modalities.</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1 here. </w:t>
      </w:r>
    </w:p>
    <w:p>
      <w:pPr>
        <w:pStyle w:val="Default"/>
        <w:spacing w:before="0" w:after="240" w:line="240" w:lineRule="auto"/>
        <w:rPr>
          <w:rFonts w:ascii="Times Roman" w:cs="Times Roman" w:hAnsi="Times Roman" w:eastAsia="Times Roman"/>
          <w:i w:val="1"/>
          <w:iCs w:val="1"/>
          <w:lang w:val="en-US"/>
        </w:rPr>
      </w:pPr>
      <w:r>
        <w:rPr>
          <w:rFonts w:ascii="Times Roman" w:hAnsi="Times Roman"/>
          <w:i w:val="1"/>
          <w:iCs w:val="1"/>
          <w:rtl w:val="0"/>
          <w:lang w:val="en-US"/>
        </w:rPr>
        <w:t xml:space="preserve">Figure 1 - System block diagram, </w:t>
      </w:r>
      <w:bookmarkStart w:name="abstract" w:id="0"/>
      <w:r>
        <w:rPr>
          <w:rFonts w:ascii="Times Roman" w:hAnsi="Times Roman"/>
          <w:i w:val="1"/>
          <w:iCs w:val="1"/>
          <w:rtl w:val="0"/>
          <w:lang w:val="en-US"/>
        </w:rPr>
        <w:t>comprising the TZ5 instrument and its constituent parts, as well as the supporting infrastructure and instrumentation required to conduct the study</w:t>
      </w:r>
      <w:bookmarkEnd w:id="0"/>
      <w:r>
        <w:rPr>
          <w:rFonts w:ascii="Times Roman" w:hAnsi="Times Roman"/>
          <w:i w:val="1"/>
          <w:iCs w:val="1"/>
          <w:rtl w:val="0"/>
          <w:lang w:val="en-US"/>
        </w:rPr>
        <w:t>.</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2 here. </w:t>
      </w:r>
    </w:p>
    <w:p>
      <w:pPr>
        <w:pStyle w:val="Default"/>
        <w:spacing w:before="0" w:after="240" w:line="240" w:lineRule="auto"/>
        <w:rPr>
          <w:rFonts w:ascii="Times Roman" w:cs="Times Roman" w:hAnsi="Times Roman" w:eastAsia="Times Roman"/>
          <w:i w:val="1"/>
          <w:iCs w:val="1"/>
        </w:rPr>
      </w:pPr>
      <w:r>
        <w:rPr>
          <w:rFonts w:ascii="Times Roman" w:hAnsi="Times Roman"/>
          <w:i w:val="1"/>
          <w:iCs w:val="1"/>
          <w:rtl w:val="0"/>
          <w:lang w:val="it-IT"/>
        </w:rPr>
        <w:t xml:space="preserve">Figure 2 - </w:t>
      </w:r>
      <w:r>
        <w:rPr>
          <w:rFonts w:ascii="Aptos" w:cs="Aptos" w:hAnsi="Aptos" w:eastAsia="Aptos"/>
          <w:i w:val="1"/>
          <w:iCs w:val="1"/>
          <w:rtl w:val="0"/>
          <w:lang w:val="en-US"/>
        </w:rPr>
        <w:t>Exploded view of TZ5 audiovisual instrument. Light from the 91x Red, Green &amp; Blue (RGB) LEDs is guided by a hexagonal lattice and diffused by a 2mm sheet of acetate.</w:t>
      </w:r>
    </w:p>
    <w:p>
      <w:pPr>
        <w:pStyle w:val="Default"/>
        <w:spacing w:before="0" w:after="240" w:line="240" w:lineRule="auto"/>
        <w:rPr>
          <w:rFonts w:ascii="Times Roman" w:cs="Times Roman" w:hAnsi="Times Roman" w:eastAsia="Times Roman"/>
        </w:rPr>
      </w:pPr>
      <w:r>
        <w:rPr>
          <w:rFonts w:ascii="Times Roman" w:hAnsi="Times Roman"/>
          <w:rtl w:val="0"/>
          <w:lang w:val="en-US"/>
        </w:rPr>
        <w:t>I</w:t>
      </w:r>
      <w:r>
        <w:rPr>
          <w:rFonts w:ascii="Times Roman" w:hAnsi="Times Roman"/>
          <w:rtl w:val="0"/>
          <w:lang w:val="fr-FR"/>
        </w:rPr>
        <w:t xml:space="preserve">nsert Figure 3 here. </w:t>
      </w:r>
    </w:p>
    <w:p>
      <w:pPr>
        <w:pStyle w:val="Default"/>
        <w:spacing w:before="0" w:after="240" w:line="240" w:lineRule="auto"/>
        <w:rPr>
          <w:rFonts w:ascii="Times Roman" w:cs="Times Roman" w:hAnsi="Times Roman" w:eastAsia="Times Roman"/>
          <w:i w:val="1"/>
          <w:iCs w:val="1"/>
          <w:lang w:val="en-US"/>
        </w:rPr>
      </w:pPr>
      <w:r>
        <w:rPr>
          <w:rFonts w:ascii="Times Roman" w:hAnsi="Times Roman"/>
          <w:i w:val="1"/>
          <w:iCs w:val="1"/>
          <w:rtl w:val="0"/>
          <w:lang w:val="en-US"/>
        </w:rPr>
        <w:t>Figure 3 - Tonnetz pitch-class map used for hue mapping. MIDI numbers are given under each pitch class, and computed from the root of C;36 (bottom, centre), incrementing by +3 semitones moving right, and +4 moving left.</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3.3 Participant-facing control parameters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Participants steered the system exclusively via a browser-based user interface. The parameter set was intentionally compact and targeted density, temporal dynamics, neighbourhood constraints, recurrence, and harmonic admissibility:</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Density bounds</w:t>
      </w:r>
      <w:r>
        <w:rPr>
          <w:rFonts w:ascii="Times Roman" w:hAnsi="Times Roman"/>
          <w:rtl w:val="0"/>
          <w:lang w:val="en-US"/>
        </w:rPr>
        <w:t>: Min Population and Max Population.</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Temporal dynamics</w:t>
      </w:r>
      <w:r>
        <w:rPr>
          <w:rFonts w:ascii="Times Roman" w:hAnsi="Times Roman"/>
          <w:rtl w:val="0"/>
          <w:lang w:val="en-US"/>
        </w:rPr>
        <w:t>: Rate (update interval) and Life Length (activation lifetime).</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Neighbourhood constraints</w:t>
      </w:r>
      <w:r>
        <w:rPr>
          <w:rFonts w:ascii="Times Roman" w:hAnsi="Times Roman"/>
          <w:rtl w:val="0"/>
          <w:lang w:val="en-US"/>
        </w:rPr>
        <w:t>: Neighbourhood extent (6 local neighbours or 18 extended) and Min Neighbours and Max Neighbours.</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Recurrence</w:t>
      </w:r>
      <w:r>
        <w:rPr>
          <w:rFonts w:ascii="Times Roman" w:hAnsi="Times Roman"/>
          <w:rtl w:val="0"/>
          <w:lang w:val="en-US"/>
        </w:rPr>
        <w:t>: Loop On or Off and Loop Length.</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Harmonic admissibility</w:t>
      </w:r>
      <w:r>
        <w:rPr>
          <w:rFonts w:ascii="Times Roman" w:hAnsi="Times Roman"/>
          <w:rtl w:val="0"/>
          <w:lang w:val="en-US"/>
        </w:rPr>
        <w:t>: Scale (constrains pitch classes and therefore the visible palette).</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3.4 Study design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 solo study used a within-subject design with three modality-access blocks per participant:</w:t>
      </w:r>
    </w:p>
    <w:p>
      <w:pPr>
        <w:pStyle w:val="Default"/>
        <w:numPr>
          <w:ilvl w:val="0"/>
          <w:numId w:val="2"/>
        </w:numPr>
        <w:bidi w:val="0"/>
        <w:spacing w:before="0" w:after="240" w:line="240" w:lineRule="auto"/>
        <w:ind w:right="0"/>
        <w:jc w:val="left"/>
        <w:rPr>
          <w:rFonts w:ascii="Times Roman" w:hAnsi="Times Roman"/>
          <w:rtl w:val="0"/>
          <w:lang w:val="fr-FR"/>
        </w:rPr>
      </w:pPr>
      <w:r>
        <w:rPr>
          <w:rFonts w:ascii="Times Roman" w:hAnsi="Times Roman"/>
          <w:b w:val="1"/>
          <w:bCs w:val="1"/>
          <w:rtl w:val="0"/>
          <w:lang w:val="fr-FR"/>
        </w:rPr>
        <w:t>A</w:t>
      </w:r>
      <w:r>
        <w:rPr>
          <w:rFonts w:ascii="Times Roman" w:hAnsi="Times Roman"/>
          <w:rtl w:val="0"/>
          <w:lang w:val="en-US"/>
        </w:rPr>
        <w:t>: visual-only composition (panel visible; audio masked)</w:t>
      </w:r>
    </w:p>
    <w:p>
      <w:pPr>
        <w:pStyle w:val="Default"/>
        <w:numPr>
          <w:ilvl w:val="0"/>
          <w:numId w:val="2"/>
        </w:numPr>
        <w:bidi w:val="0"/>
        <w:spacing w:before="0" w:after="240" w:line="240" w:lineRule="auto"/>
        <w:ind w:right="0"/>
        <w:jc w:val="left"/>
        <w:rPr>
          <w:rFonts w:ascii="Times Roman" w:hAnsi="Times Roman"/>
          <w:rtl w:val="0"/>
          <w:lang w:val="fr-FR"/>
        </w:rPr>
      </w:pPr>
      <w:r>
        <w:rPr>
          <w:rFonts w:ascii="Times Roman" w:hAnsi="Times Roman"/>
          <w:b w:val="1"/>
          <w:bCs w:val="1"/>
          <w:rtl w:val="0"/>
          <w:lang w:val="fr-FR"/>
        </w:rPr>
        <w:t>B</w:t>
      </w:r>
      <w:r>
        <w:rPr>
          <w:rFonts w:ascii="Times Roman" w:hAnsi="Times Roman"/>
          <w:rtl w:val="0"/>
          <w:lang w:val="en-US"/>
        </w:rPr>
        <w:t>: audio-only composition (audio available; panel occluded)</w:t>
      </w:r>
    </w:p>
    <w:p>
      <w:pPr>
        <w:pStyle w:val="Default"/>
        <w:numPr>
          <w:ilvl w:val="0"/>
          <w:numId w:val="2"/>
        </w:numPr>
        <w:bidi w:val="0"/>
        <w:spacing w:before="0" w:after="240" w:line="240" w:lineRule="auto"/>
        <w:ind w:right="0"/>
        <w:jc w:val="left"/>
        <w:rPr>
          <w:rFonts w:ascii="Times Roman" w:hAnsi="Times Roman"/>
          <w:rtl w:val="0"/>
          <w:lang w:val="fr-FR"/>
        </w:rPr>
      </w:pPr>
      <w:r>
        <w:rPr>
          <w:rFonts w:ascii="Times Roman" w:hAnsi="Times Roman"/>
          <w:b w:val="1"/>
          <w:bCs w:val="1"/>
          <w:rtl w:val="0"/>
          <w:lang w:val="fr-FR"/>
        </w:rPr>
        <w:t>C</w:t>
      </w:r>
      <w:r>
        <w:rPr>
          <w:rFonts w:ascii="Times Roman" w:hAnsi="Times Roman"/>
          <w:rtl w:val="0"/>
          <w:lang w:val="en-US"/>
        </w:rPr>
        <w:t>: audiovisual composition (both modalities available)</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In all blocks, both audio and video were recorded and the end-state parameter preset was saved for traceability and repeatability. Block order was counterbalanced across participants.</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3.5 Procedure and measures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Each block began from a shared starting preset (S0) and lasted approximately 5 minutes. Participants were instructed to create something interesting, and to record a final excerpt (60 to 120 seconds) with parameter changes permitted during recording. Immediately after each capture, the excerpt was replayed with both modalities enabled (the reveal), followed by a two-part questionnaire:</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Part A (pre-reveal)</w:t>
      </w:r>
      <w:r>
        <w:rPr>
          <w:rFonts w:ascii="Times Roman" w:hAnsi="Times Roman"/>
          <w:rtl w:val="0"/>
          <w:lang w:val="en-US"/>
        </w:rPr>
        <w:t>: ratings and brief notes about the composition experience under constraint.</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Part B (post-reveal)</w:t>
      </w:r>
      <w:r>
        <w:rPr>
          <w:rFonts w:ascii="Times Roman" w:hAnsi="Times Roman"/>
          <w:rtl w:val="0"/>
          <w:lang w:val="en-US"/>
        </w:rPr>
        <w:t>: ratings and reflections about the fused audiovisual result after replay.</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Likert items used a 7-point scale (1 = strongly disagree, 7 = strongly agree). Part A captured satisfaction (A1), intention clarity (A2), steerability (A3), interface understandability (A4), useful surprise (A5), frustrating unpredictability (A6), and confidence others would find the result interesting (A7). Part B captured same-process judgement (B1), modality balance (B2), coherence (B3), constructive reinforcement (B4), destructive contradiction (B5), overload (B6), expectation match (B7), interpretation change (B8), causal story plausibility (B9), perceived autonomy (B10), reliance on visual cues (B11), and reliance on theory cues (B12). After each block, participants nominated up to three parameters they perceived as most influential.</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At session end, participants ranked their three outputs, selected the condition that felt most intermedial, selected the condition with the biggest mismatch, and described one change that would improve media equality or intermedial legibility.</w:t>
      </w:r>
    </w:p>
    <w:p>
      <w:pPr>
        <w:pStyle w:val="Default"/>
        <w:spacing w:before="0" w:line="240" w:lineRule="auto"/>
        <w:rPr>
          <w:rFonts w:ascii="Times Roman" w:cs="Times Roman" w:hAnsi="Times Roman" w:eastAsia="Times Roman"/>
          <w:outline w:val="0"/>
          <w:color w:val="808080"/>
          <w:u w:color="808080"/>
          <w14:textFill>
            <w14:solidFill>
              <w14:srgbClr w14:val="808080"/>
            </w14:solidFill>
          </w14:textFill>
        </w:rPr>
      </w:pPr>
    </w:p>
    <w:p>
      <w:pPr>
        <w:pStyle w:val="Default"/>
        <w:spacing w:before="0" w:after="299" w:line="240" w:lineRule="auto"/>
        <w:rPr>
          <w:rFonts w:ascii="Times Roman" w:cs="Times Roman" w:hAnsi="Times Roman" w:eastAsia="Times Roman"/>
          <w:b w:val="1"/>
          <w:bCs w:val="1"/>
          <w:sz w:val="36"/>
          <w:szCs w:val="36"/>
          <w:lang w:val="en-US"/>
        </w:rPr>
      </w:pPr>
      <w:r>
        <w:rPr>
          <w:rFonts w:ascii="Times Roman" w:hAnsi="Times Roman"/>
          <w:b w:val="1"/>
          <w:bCs w:val="1"/>
          <w:sz w:val="36"/>
          <w:szCs w:val="36"/>
          <w:rtl w:val="0"/>
          <w:lang w:val="en-US"/>
        </w:rPr>
        <w:t>4 Results</w:t>
      </w:r>
    </w:p>
    <w:p>
      <w:pPr>
        <w:pStyle w:val="Default"/>
        <w:spacing w:before="0" w:after="281" w:line="240" w:lineRule="auto"/>
        <w:rPr>
          <w:rFonts w:ascii="Times Roman" w:cs="Times Roman" w:hAnsi="Times Roman" w:eastAsia="Times Roman"/>
          <w:b w:val="1"/>
          <w:bCs w:val="1"/>
          <w:sz w:val="28"/>
          <w:szCs w:val="28"/>
          <w:lang w:val="it-IT"/>
        </w:rPr>
      </w:pPr>
      <w:r>
        <w:rPr>
          <w:rFonts w:ascii="Times Roman" w:hAnsi="Times Roman"/>
          <w:b w:val="1"/>
          <w:bCs w:val="1"/>
          <w:sz w:val="28"/>
          <w:szCs w:val="28"/>
          <w:rtl w:val="0"/>
          <w:lang w:val="it-IT"/>
        </w:rPr>
        <w:t>4.1 Data completeness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All nine participants completed all three blocks (27 of 27 blocks). Saved presets provide a direct link from questionnaire responses to reproducible system states.</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4.2 Condition preference, perceived intermediality, and mismatch</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End-of-session rankings show a strong preference for audiovisual access: 8 of 9 participants ranked condition C as best overall; 1 of 9 ranked condition B best overall. Participants most frequently selected condition C as most intermedial (7 of 9), with one selecting B and one indicating uncertainty.</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Mismatch reports concentrated in the audio-only condition: 6 of 9 participants nominated B as the biggest mismatch, compared with A (2 of 9) and C (1 of 9).</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4 here. </w:t>
      </w:r>
    </w:p>
    <w:p>
      <w:pPr>
        <w:pStyle w:val="Default"/>
        <w:spacing w:before="0" w:after="240" w:line="240" w:lineRule="auto"/>
        <w:rPr>
          <w:rFonts w:ascii="Times Roman" w:cs="Times Roman" w:hAnsi="Times Roman" w:eastAsia="Times Roman"/>
          <w:i w:val="1"/>
          <w:iCs w:val="1"/>
        </w:rPr>
      </w:pPr>
      <w:r>
        <w:rPr>
          <w:rFonts w:ascii="Times Roman" w:hAnsi="Times Roman"/>
          <w:i w:val="1"/>
          <w:iCs w:val="1"/>
          <w:rtl w:val="0"/>
          <w:lang w:val="it-IT"/>
        </w:rPr>
        <w:t>Figure 4</w:t>
      </w:r>
      <w:r>
        <w:rPr>
          <w:rFonts w:ascii="Times Roman" w:hAnsi="Times Roman"/>
          <w:i w:val="1"/>
          <w:iCs w:val="1"/>
          <w:rtl w:val="0"/>
          <w:lang w:val="en-US"/>
        </w:rPr>
        <w:t xml:space="preserve"> - Counts of best overall rank, most intermedial selection, and biggest mismatch by block condition (A=Visual Only, B=Audio Only, C=Audiovisual).</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4.3 Strategies under constraint</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Participants described compositional approaches that clustered into strategy families: density shaping, arcs or narrative forms, loop-based structuring, scale or harmony selection, and rapid A/B testing of parameters to learn local cause-effect relations.</w:t>
      </w:r>
    </w:p>
    <w:p>
      <w:pPr>
        <w:pStyle w:val="Default"/>
        <w:spacing w:before="0" w:after="240" w:line="240" w:lineRule="auto"/>
        <w:rPr>
          <w:rFonts w:ascii="Times Roman" w:cs="Times Roman" w:hAnsi="Times Roman" w:eastAsia="Times Roman"/>
        </w:rPr>
      </w:pPr>
      <w:r>
        <w:rPr>
          <w:rFonts w:ascii="Times Roman" w:hAnsi="Times Roman"/>
          <w:b w:val="1"/>
          <w:bCs w:val="1"/>
          <w:rtl w:val="0"/>
          <w:lang w:val="en-US"/>
        </w:rPr>
        <w:t>Visual-only composition</w:t>
      </w:r>
      <w:r>
        <w:rPr>
          <w:rFonts w:ascii="Times Roman" w:hAnsi="Times Roman"/>
          <w:rtl w:val="0"/>
          <w:lang w:val="en-US"/>
        </w:rPr>
        <w:t xml:space="preserve"> often supported a stable action-evaluation loop. Figure 5 shows A2 (intention clarity) and A3 (steerability) clustering towards agreement in condition A relative to condition B, consistent with state visibility supporting intention formation and monitoring. For example, one participant aimed to fill the grid and shape form over time: </w:t>
      </w:r>
      <w:r>
        <w:rPr>
          <w:rFonts w:ascii="Arial Unicode MS" w:hAnsi="Arial Unicode MS" w:hint="default"/>
          <w:rtl w:val="1"/>
          <w:lang w:val="ar-SA" w:bidi="ar-SA"/>
        </w:rPr>
        <w:t>“</w:t>
      </w:r>
      <w:r>
        <w:rPr>
          <w:rFonts w:ascii="Times Roman" w:hAnsi="Times Roman"/>
          <w:rtl w:val="0"/>
          <w:lang w:val="en-US"/>
        </w:rPr>
        <w:t>Fill the whole grid with lights. Build up a full grid then switch the rate up and down</w:t>
      </w:r>
      <w:r>
        <w:rPr>
          <w:rFonts w:ascii="Times Roman" w:hAnsi="Times Roman" w:hint="default"/>
          <w:rtl w:val="0"/>
          <w:lang w:val="fr-FR"/>
        </w:rPr>
        <w:t xml:space="preserve">” </w:t>
      </w:r>
      <w:r>
        <w:rPr>
          <w:rFonts w:ascii="Times Roman" w:hAnsi="Times Roman"/>
          <w:rtl w:val="0"/>
          <w:lang w:val="en-US"/>
        </w:rPr>
        <w:t xml:space="preserve">(Participant 3, visual-only block, pre-reveal). Another described a similar density-first approach: </w:t>
      </w:r>
      <w:r>
        <w:rPr>
          <w:rFonts w:ascii="Arial Unicode MS" w:hAnsi="Arial Unicode MS" w:hint="default"/>
          <w:rtl w:val="1"/>
          <w:lang w:val="ar-SA" w:bidi="ar-SA"/>
        </w:rPr>
        <w:t>“</w:t>
      </w:r>
      <w:r>
        <w:rPr>
          <w:rFonts w:ascii="Times Roman" w:hAnsi="Times Roman"/>
          <w:rtl w:val="0"/>
          <w:lang w:val="en-US"/>
        </w:rPr>
        <w:t>Start with lots of colour covering the grid, then reduce intensity and bring it back up to full coverage</w:t>
      </w:r>
      <w:r>
        <w:rPr>
          <w:rFonts w:ascii="Times Roman" w:hAnsi="Times Roman" w:hint="default"/>
          <w:rtl w:val="0"/>
          <w:lang w:val="fr-FR"/>
        </w:rPr>
        <w:t xml:space="preserve">” </w:t>
      </w:r>
      <w:r>
        <w:rPr>
          <w:rFonts w:ascii="Times Roman" w:hAnsi="Times Roman"/>
          <w:rtl w:val="0"/>
          <w:lang w:val="en-US"/>
        </w:rPr>
        <w:t>(Participant 1, visual-only block, pre-reveal).</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5 here. </w:t>
      </w:r>
    </w:p>
    <w:p>
      <w:pPr>
        <w:pStyle w:val="Default"/>
        <w:spacing w:before="0" w:after="240" w:line="240" w:lineRule="auto"/>
        <w:rPr>
          <w:rFonts w:ascii="Times Roman" w:cs="Times Roman" w:hAnsi="Times Roman" w:eastAsia="Times Roman"/>
          <w:i w:val="1"/>
          <w:iCs w:val="1"/>
        </w:rPr>
      </w:pPr>
      <w:r>
        <w:rPr>
          <w:rFonts w:ascii="Times Roman" w:hAnsi="Times Roman"/>
          <w:i w:val="1"/>
          <w:iCs w:val="1"/>
          <w:rtl w:val="0"/>
          <w:lang w:val="it-IT"/>
        </w:rPr>
        <w:t>Figure 5</w:t>
      </w:r>
      <w:r>
        <w:rPr>
          <w:rFonts w:ascii="Times Roman" w:hAnsi="Times Roman"/>
          <w:i w:val="1"/>
          <w:iCs w:val="1"/>
          <w:rtl w:val="0"/>
          <w:lang w:val="en-US"/>
        </w:rPr>
        <w:t xml:space="preserve"> - </w:t>
      </w:r>
      <w:r>
        <w:rPr>
          <w:rFonts w:ascii="Aptos" w:cs="Aptos" w:hAnsi="Aptos" w:eastAsia="Aptos"/>
          <w:i w:val="1"/>
          <w:iCs w:val="1"/>
          <w:shd w:val="clear" w:color="auto" w:fill="ffffff"/>
          <w:rtl w:val="0"/>
          <w:lang w:val="en-US"/>
        </w:rPr>
        <w:t>Diverging stacked Likert responses for Part A (pre-reveal) items by block condition. Bars show within-condition percentages centred on neutral (4).</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Insert Video 1 here</w:t>
      </w:r>
    </w:p>
    <w:p>
      <w:pPr>
        <w:pStyle w:val="Default"/>
        <w:spacing w:before="0" w:after="240" w:line="240" w:lineRule="auto"/>
        <w:rPr>
          <w:rFonts w:ascii="Times Roman" w:cs="Times Roman" w:hAnsi="Times Roman" w:eastAsia="Times Roman"/>
        </w:rPr>
      </w:pPr>
      <w:r>
        <w:rPr>
          <w:rFonts w:ascii="Arial Unicode MS" w:hAnsi="Arial Unicode MS" w:hint="default"/>
          <w:rtl w:val="1"/>
          <w:lang w:val="ar-SA" w:bidi="ar-SA"/>
        </w:rPr>
        <w:t>“</w:t>
      </w:r>
      <w:r>
        <w:rPr>
          <w:rFonts w:ascii="Times Roman" w:hAnsi="Times Roman"/>
          <w:i w:val="1"/>
          <w:iCs w:val="1"/>
          <w:rtl w:val="0"/>
          <w:lang w:val="en-US"/>
        </w:rPr>
        <w:t>Start with lots of colour covering the grid, then reduce intensity and bring it back up to full coverage</w:t>
      </w:r>
      <w:r>
        <w:rPr>
          <w:rFonts w:ascii="Times Roman" w:hAnsi="Times Roman" w:hint="default"/>
          <w:i w:val="1"/>
          <w:iCs w:val="1"/>
          <w:rtl w:val="0"/>
          <w:lang w:val="fr-FR"/>
        </w:rPr>
        <w:t xml:space="preserve">” </w:t>
      </w:r>
      <w:r>
        <w:rPr>
          <w:rFonts w:ascii="Times Roman" w:hAnsi="Times Roman"/>
          <w:i w:val="1"/>
          <w:iCs w:val="1"/>
          <w:rtl w:val="0"/>
          <w:lang w:val="en-US"/>
        </w:rPr>
        <w:t>(Participant 1, visual-only block, pre-reveal)</w:t>
      </w:r>
      <w:r>
        <w:rPr>
          <w:rFonts w:ascii="Times Roman" w:hAnsi="Times Roman"/>
          <w:rtl w:val="0"/>
          <w:lang w:val="fr-FR"/>
        </w:rPr>
        <w:t>.</w:t>
      </w:r>
    </w:p>
    <w:p>
      <w:pPr>
        <w:pStyle w:val="Default"/>
        <w:spacing w:before="0" w:line="240" w:lineRule="auto"/>
        <w:rPr>
          <w:rFonts w:ascii="Times Roman" w:cs="Times Roman" w:hAnsi="Times Roman" w:eastAsia="Times Roman"/>
          <w:lang w:val="en-US"/>
        </w:rPr>
      </w:pPr>
      <w:r>
        <w:rPr>
          <w:rFonts w:ascii="Times Roman" w:hAnsi="Times Roman"/>
          <w:rtl w:val="0"/>
          <w:lang w:val="en-US"/>
        </w:rPr>
        <w:t>Visual-only access was sometimes described as creatively liberating, especially for trained musicians. Participant 8 reported that removing audio reduced theory-led self-monitoring and enabled a more playful mode of exploration: "didnt even think about pitch and what scale notes to use on the visual block ... satisfaction is intersting as i felt in a playful state so satisfaction higher than if i was in a perfomance /product state" (Participant 8 - Visual-only).</w:t>
      </w:r>
    </w:p>
    <w:p>
      <w:pPr>
        <w:pStyle w:val="Default"/>
        <w:spacing w:before="0" w:line="240" w:lineRule="auto"/>
        <w:rPr>
          <w:rFonts w:ascii="Times Roman" w:cs="Times Roman" w:hAnsi="Times Roman" w:eastAsia="Times Roman"/>
        </w:rPr>
      </w:pPr>
    </w:p>
    <w:p>
      <w:pPr>
        <w:pStyle w:val="Default"/>
        <w:spacing w:before="0" w:after="240" w:line="240" w:lineRule="auto"/>
        <w:rPr>
          <w:rFonts w:ascii="Times Roman" w:cs="Times Roman" w:hAnsi="Times Roman" w:eastAsia="Times Roman"/>
        </w:rPr>
      </w:pPr>
      <w:r>
        <w:rPr>
          <w:rFonts w:ascii="Times Roman" w:hAnsi="Times Roman"/>
          <w:b w:val="1"/>
          <w:bCs w:val="1"/>
          <w:rtl w:val="0"/>
          <w:lang w:val="en-US"/>
        </w:rPr>
        <w:t>Audio-only composition</w:t>
      </w:r>
      <w:r>
        <w:rPr>
          <w:rFonts w:ascii="Times Roman" w:hAnsi="Times Roman"/>
          <w:rtl w:val="0"/>
          <w:lang w:val="en-US"/>
        </w:rPr>
        <w:t xml:space="preserve"> shifted strategies towards pacing, texture, and repetition as a stabiliser. Figure 5 shows A2, A3, and A4 (interface understandability) more mixed in condition B, consistent with the loss of visible state during action. Participants responded by creating musical containers through recurrence: </w:t>
      </w:r>
      <w:r>
        <w:rPr>
          <w:rFonts w:ascii="Arial Unicode MS" w:hAnsi="Arial Unicode MS" w:hint="default"/>
          <w:rtl w:val="1"/>
          <w:lang w:val="ar-SA" w:bidi="ar-SA"/>
        </w:rPr>
        <w:t>“</w:t>
      </w:r>
      <w:r>
        <w:rPr>
          <w:rFonts w:ascii="Times Roman" w:hAnsi="Times Roman"/>
          <w:rtl w:val="0"/>
          <w:lang w:val="en-US"/>
        </w:rPr>
        <w:t>Looping was fundamental</w:t>
      </w:r>
      <w:r>
        <w:rPr>
          <w:rFonts w:ascii="Times Roman" w:hAnsi="Times Roman" w:hint="default"/>
          <w:rtl w:val="0"/>
          <w:lang w:val="fr-FR"/>
        </w:rPr>
        <w:t xml:space="preserve">… </w:t>
      </w:r>
      <w:r>
        <w:rPr>
          <w:rFonts w:ascii="Times Roman" w:hAnsi="Times Roman"/>
          <w:rtl w:val="0"/>
          <w:lang w:val="en-US"/>
        </w:rPr>
        <w:t>starting with basic, empty loop</w:t>
      </w:r>
      <w:r>
        <w:rPr>
          <w:rFonts w:ascii="Times Roman" w:hAnsi="Times Roman" w:hint="default"/>
          <w:rtl w:val="0"/>
          <w:lang w:val="fr-FR"/>
        </w:rPr>
        <w:t xml:space="preserve">… </w:t>
      </w:r>
      <w:r>
        <w:rPr>
          <w:rFonts w:ascii="Times Roman" w:hAnsi="Times Roman"/>
          <w:rtl w:val="0"/>
          <w:lang w:val="en-US"/>
        </w:rPr>
        <w:t>keeping it sparse</w:t>
      </w:r>
      <w:r>
        <w:rPr>
          <w:rFonts w:ascii="Times Roman" w:hAnsi="Times Roman" w:hint="default"/>
          <w:rtl w:val="0"/>
          <w:lang w:val="fr-FR"/>
        </w:rPr>
        <w:t xml:space="preserve">… </w:t>
      </w:r>
      <w:r>
        <w:rPr>
          <w:rFonts w:ascii="Times Roman" w:hAnsi="Times Roman"/>
          <w:rtl w:val="0"/>
          <w:lang w:val="en-US"/>
        </w:rPr>
        <w:t>and then come back to another loop</w:t>
      </w:r>
      <w:r>
        <w:rPr>
          <w:rFonts w:ascii="Times Roman" w:hAnsi="Times Roman" w:hint="default"/>
          <w:rtl w:val="0"/>
          <w:lang w:val="fr-FR"/>
        </w:rPr>
        <w:t xml:space="preserve">” </w:t>
      </w:r>
      <w:r>
        <w:rPr>
          <w:rFonts w:ascii="Times Roman" w:hAnsi="Times Roman"/>
          <w:rtl w:val="0"/>
          <w:lang w:val="en-US"/>
        </w:rPr>
        <w:t xml:space="preserve">(Participant 8, audio-only block, pre-reveal). Others described exploratory testing: </w:t>
      </w:r>
      <w:r>
        <w:rPr>
          <w:rFonts w:ascii="Arial Unicode MS" w:hAnsi="Arial Unicode MS" w:hint="default"/>
          <w:rtl w:val="1"/>
          <w:lang w:val="ar-SA" w:bidi="ar-SA"/>
        </w:rPr>
        <w:t>“</w:t>
      </w:r>
      <w:r>
        <w:rPr>
          <w:rFonts w:ascii="Times Roman" w:hAnsi="Times Roman"/>
          <w:rtl w:val="0"/>
          <w:lang w:val="en-US"/>
        </w:rPr>
        <w:t>More A/B testing to understand the properties</w:t>
      </w:r>
      <w:r>
        <w:rPr>
          <w:rFonts w:ascii="Times Roman" w:hAnsi="Times Roman" w:hint="default"/>
          <w:rtl w:val="0"/>
          <w:lang w:val="fr-FR"/>
        </w:rPr>
        <w:t xml:space="preserve">” </w:t>
      </w:r>
      <w:r>
        <w:rPr>
          <w:rFonts w:ascii="Times Roman" w:hAnsi="Times Roman"/>
          <w:rtl w:val="0"/>
          <w:lang w:val="en-US"/>
        </w:rPr>
        <w:t>(Participant 3, audio-only block, pre-reveal).</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 xml:space="preserve">Insert Video 2 here </w:t>
      </w:r>
    </w:p>
    <w:p>
      <w:pPr>
        <w:pStyle w:val="Default"/>
        <w:spacing w:before="0" w:after="240" w:line="240" w:lineRule="auto"/>
        <w:rPr>
          <w:rFonts w:ascii="Times Roman" w:cs="Times Roman" w:hAnsi="Times Roman" w:eastAsia="Times Roman"/>
          <w:i w:val="1"/>
          <w:iCs w:val="1"/>
        </w:rPr>
      </w:pPr>
      <w:r>
        <w:rPr>
          <w:rFonts w:ascii="Arial Unicode MS" w:hAnsi="Arial Unicode MS" w:hint="default"/>
          <w:rtl w:val="1"/>
          <w:lang w:val="ar-SA" w:bidi="ar-SA"/>
        </w:rPr>
        <w:t>“</w:t>
      </w:r>
      <w:r>
        <w:rPr>
          <w:rFonts w:ascii="Times Roman" w:hAnsi="Times Roman"/>
          <w:i w:val="1"/>
          <w:iCs w:val="1"/>
          <w:rtl w:val="0"/>
          <w:lang w:val="en-US"/>
        </w:rPr>
        <w:t>Looping was fundamental</w:t>
      </w:r>
      <w:r>
        <w:rPr>
          <w:rFonts w:ascii="Times Roman" w:hAnsi="Times Roman" w:hint="default"/>
          <w:i w:val="1"/>
          <w:iCs w:val="1"/>
          <w:rtl w:val="0"/>
          <w:lang w:val="fr-FR"/>
        </w:rPr>
        <w:t xml:space="preserve">… </w:t>
      </w:r>
      <w:r>
        <w:rPr>
          <w:rFonts w:ascii="Times Roman" w:hAnsi="Times Roman"/>
          <w:i w:val="1"/>
          <w:iCs w:val="1"/>
          <w:rtl w:val="0"/>
          <w:lang w:val="en-US"/>
        </w:rPr>
        <w:t>starting with basic, empty loop</w:t>
      </w:r>
      <w:r>
        <w:rPr>
          <w:rFonts w:ascii="Times Roman" w:hAnsi="Times Roman" w:hint="default"/>
          <w:i w:val="1"/>
          <w:iCs w:val="1"/>
          <w:rtl w:val="0"/>
          <w:lang w:val="fr-FR"/>
        </w:rPr>
        <w:t xml:space="preserve">… </w:t>
      </w:r>
      <w:r>
        <w:rPr>
          <w:rFonts w:ascii="Times Roman" w:hAnsi="Times Roman"/>
          <w:i w:val="1"/>
          <w:iCs w:val="1"/>
          <w:rtl w:val="0"/>
          <w:lang w:val="en-US"/>
        </w:rPr>
        <w:t>keeping it sparse</w:t>
      </w:r>
      <w:r>
        <w:rPr>
          <w:rFonts w:ascii="Times Roman" w:hAnsi="Times Roman" w:hint="default"/>
          <w:i w:val="1"/>
          <w:iCs w:val="1"/>
          <w:rtl w:val="0"/>
          <w:lang w:val="fr-FR"/>
        </w:rPr>
        <w:t xml:space="preserve">… </w:t>
      </w:r>
      <w:r>
        <w:rPr>
          <w:rFonts w:ascii="Times Roman" w:hAnsi="Times Roman"/>
          <w:i w:val="1"/>
          <w:iCs w:val="1"/>
          <w:rtl w:val="0"/>
          <w:lang w:val="en-US"/>
        </w:rPr>
        <w:t>and then come back to another loop</w:t>
      </w:r>
      <w:r>
        <w:rPr>
          <w:rFonts w:ascii="Times Roman" w:hAnsi="Times Roman" w:hint="default"/>
          <w:i w:val="1"/>
          <w:iCs w:val="1"/>
          <w:rtl w:val="0"/>
          <w:lang w:val="fr-FR"/>
        </w:rPr>
        <w:t xml:space="preserve">” </w:t>
      </w:r>
      <w:r>
        <w:rPr>
          <w:rFonts w:ascii="Times Roman" w:hAnsi="Times Roman"/>
          <w:i w:val="1"/>
          <w:iCs w:val="1"/>
          <w:rtl w:val="0"/>
          <w:lang w:val="en-US"/>
        </w:rPr>
        <w:t>(Participant 8, audio-only block, pre-reveal).</w:t>
      </w:r>
    </w:p>
    <w:p>
      <w:pPr>
        <w:pStyle w:val="Default"/>
        <w:spacing w:before="0" w:after="240" w:line="240" w:lineRule="auto"/>
        <w:rPr>
          <w:rFonts w:ascii="Times Roman" w:cs="Times Roman" w:hAnsi="Times Roman" w:eastAsia="Times Roman"/>
        </w:rPr>
      </w:pPr>
      <w:r>
        <w:rPr>
          <w:rFonts w:ascii="Times Roman" w:hAnsi="Times Roman"/>
          <w:b w:val="1"/>
          <w:bCs w:val="1"/>
          <w:rtl w:val="0"/>
          <w:lang w:val="it-IT"/>
        </w:rPr>
        <w:t>Audiovisual composition</w:t>
      </w:r>
      <w:r>
        <w:rPr>
          <w:rFonts w:ascii="Times Roman" w:hAnsi="Times Roman"/>
          <w:rtl w:val="0"/>
          <w:lang w:val="en-US"/>
        </w:rPr>
        <w:t xml:space="preserve"> commonly integrated lessons learned from constrained runs. Figure 5 shows high satisfaction (A1) and high useful surprise (A5) in condition C, alongside qualitative accounts of combining purposeful shaping with exploratory play. One participant also noted a practical attentional tension: </w:t>
      </w:r>
      <w:r>
        <w:rPr>
          <w:rFonts w:ascii="Arial Unicode MS" w:hAnsi="Arial Unicode MS" w:hint="default"/>
          <w:rtl w:val="1"/>
          <w:lang w:val="ar-SA" w:bidi="ar-SA"/>
        </w:rPr>
        <w:t>“</w:t>
      </w:r>
      <w:r>
        <w:rPr>
          <w:rFonts w:ascii="Times Roman" w:hAnsi="Times Roman"/>
          <w:rtl w:val="0"/>
          <w:lang w:val="en-US"/>
        </w:rPr>
        <w:t>had to remind myself to keep looking at the visuals</w:t>
      </w:r>
      <w:r>
        <w:rPr>
          <w:rFonts w:ascii="Times Roman" w:hAnsi="Times Roman" w:hint="default"/>
          <w:rtl w:val="0"/>
          <w:lang w:val="fr-FR"/>
        </w:rPr>
        <w:t xml:space="preserve">… </w:t>
      </w:r>
      <w:r>
        <w:rPr>
          <w:rFonts w:ascii="Times Roman" w:hAnsi="Times Roman"/>
          <w:rtl w:val="0"/>
          <w:lang w:val="en-US"/>
        </w:rPr>
        <w:t>more of an affinity with sound</w:t>
      </w:r>
      <w:r>
        <w:rPr>
          <w:rFonts w:ascii="Times Roman" w:hAnsi="Times Roman" w:hint="default"/>
          <w:rtl w:val="0"/>
          <w:lang w:val="fr-FR"/>
        </w:rPr>
        <w:t xml:space="preserve">” </w:t>
      </w:r>
      <w:r>
        <w:rPr>
          <w:rFonts w:ascii="Times Roman" w:hAnsi="Times Roman"/>
          <w:rtl w:val="0"/>
          <w:lang w:val="en-US"/>
        </w:rPr>
        <w:t>(Participant 8, audiovisual block, pre-reveal).</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4.4 The reveal as a site of rebinding and reinterpretation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A recurring theme was the reveal acting as a moment of retrospective binding. Figure 6 shows that B1 (same-process judgement) and B4 (constructive reinforcement) are strongest after audio-only and audiovisual composition, while B8 (interpretation change) increases most when one modality has been withheld, consistent with replay functioning as calibration.</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6 here. </w:t>
      </w:r>
    </w:p>
    <w:p>
      <w:pPr>
        <w:pStyle w:val="Default"/>
        <w:spacing w:before="0" w:after="240" w:line="240" w:lineRule="auto"/>
        <w:rPr>
          <w:rFonts w:ascii="Times Roman" w:cs="Times Roman" w:hAnsi="Times Roman" w:eastAsia="Times Roman"/>
          <w:i w:val="1"/>
          <w:iCs w:val="1"/>
        </w:rPr>
      </w:pPr>
      <w:r>
        <w:rPr>
          <w:rFonts w:ascii="Times Roman" w:hAnsi="Times Roman"/>
          <w:i w:val="1"/>
          <w:iCs w:val="1"/>
          <w:rtl w:val="0"/>
          <w:lang w:val="it-IT"/>
        </w:rPr>
        <w:t>Figure 6</w:t>
      </w:r>
      <w:r>
        <w:rPr>
          <w:rFonts w:ascii="Times Roman" w:hAnsi="Times Roman"/>
          <w:i w:val="1"/>
          <w:iCs w:val="1"/>
          <w:rtl w:val="0"/>
          <w:lang w:val="en-US"/>
        </w:rPr>
        <w:t xml:space="preserve"> - </w:t>
      </w:r>
      <w:r>
        <w:rPr>
          <w:rFonts w:ascii="Aptos" w:cs="Aptos" w:hAnsi="Aptos" w:eastAsia="Aptos"/>
          <w:i w:val="1"/>
          <w:iCs w:val="1"/>
          <w:outline w:val="0"/>
          <w:color w:val="000000"/>
          <w:u w:color="000000"/>
          <w:shd w:val="clear" w:color="auto" w:fill="ffffff"/>
          <w:rtl w:val="0"/>
          <w:lang w:val="en-US"/>
          <w14:textFill>
            <w14:solidFill>
              <w14:srgbClr w14:val="000000">
                <w14:alpha w14:val="15294"/>
              </w14:srgbClr>
            </w14:solidFill>
          </w14:textFill>
        </w:rPr>
        <w:t>Diverging stacked Likert responses for Part B (post-reveal) items by block condition. Bars show within-condition percentages centred on neutral (4)</w:t>
      </w:r>
    </w:p>
    <w:p>
      <w:pPr>
        <w:pStyle w:val="Default"/>
        <w:spacing w:before="0" w:after="240" w:line="240" w:lineRule="auto"/>
        <w:rPr>
          <w:rFonts w:ascii="Times Roman" w:cs="Times Roman" w:hAnsi="Times Roman" w:eastAsia="Times Roman"/>
        </w:rPr>
      </w:pPr>
      <w:r>
        <w:rPr>
          <w:rFonts w:ascii="Times Roman" w:hAnsi="Times Roman"/>
          <w:rtl w:val="0"/>
          <w:lang w:val="en-US"/>
        </w:rPr>
        <w:t xml:space="preserve">Qualitative accounts support this. One participant described audio-only replay as exceeding expectations: </w:t>
      </w:r>
      <w:r>
        <w:rPr>
          <w:rFonts w:ascii="Arial Unicode MS" w:hAnsi="Arial Unicode MS" w:hint="default"/>
          <w:rtl w:val="1"/>
          <w:lang w:val="ar-SA" w:bidi="ar-SA"/>
        </w:rPr>
        <w:t>“</w:t>
      </w:r>
      <w:r>
        <w:rPr>
          <w:rFonts w:ascii="Times Roman" w:hAnsi="Times Roman"/>
          <w:rtl w:val="0"/>
          <w:lang w:val="en-US"/>
        </w:rPr>
        <w:t>The outcome was more satisfying than I felt the recording and playing process went</w:t>
      </w:r>
      <w:r>
        <w:rPr>
          <w:rFonts w:ascii="Times Roman" w:hAnsi="Times Roman" w:hint="default"/>
          <w:rtl w:val="0"/>
          <w:lang w:val="fr-FR"/>
        </w:rPr>
        <w:t xml:space="preserve">… </w:t>
      </w:r>
      <w:r>
        <w:rPr>
          <w:rFonts w:ascii="Times Roman" w:hAnsi="Times Roman"/>
          <w:rtl w:val="0"/>
          <w:lang w:val="en-US"/>
        </w:rPr>
        <w:t>on review had more structure than maybe I realised during the process of recording</w:t>
      </w:r>
      <w:r>
        <w:rPr>
          <w:rFonts w:ascii="Times Roman" w:hAnsi="Times Roman" w:hint="default"/>
          <w:rtl w:val="0"/>
          <w:lang w:val="fr-FR"/>
        </w:rPr>
        <w:t xml:space="preserve">” </w:t>
      </w:r>
      <w:r>
        <w:rPr>
          <w:rFonts w:ascii="Times Roman" w:hAnsi="Times Roman"/>
          <w:rtl w:val="0"/>
          <w:lang w:val="en-US"/>
        </w:rPr>
        <w:t xml:space="preserve">(Participant 3, audio-only block, post-reveal). Another described a strong positive mismatch on reveal: </w:t>
      </w:r>
      <w:r>
        <w:rPr>
          <w:rFonts w:ascii="Arial Unicode MS" w:hAnsi="Arial Unicode MS" w:hint="default"/>
          <w:rtl w:val="1"/>
          <w:lang w:val="ar-SA" w:bidi="ar-SA"/>
        </w:rPr>
        <w:t>“</w:t>
      </w:r>
      <w:r>
        <w:rPr>
          <w:rFonts w:ascii="Times Roman" w:hAnsi="Times Roman"/>
          <w:rtl w:val="0"/>
          <w:lang w:val="en-US"/>
        </w:rPr>
        <w:t>I had no expectation of what the visuals should be, but when I saw it it was so beautiful</w:t>
      </w:r>
      <w:r>
        <w:rPr>
          <w:rFonts w:ascii="Times Roman" w:hAnsi="Times Roman" w:hint="default"/>
          <w:rtl w:val="0"/>
          <w:lang w:val="fr-FR"/>
        </w:rPr>
        <w:t xml:space="preserve">” </w:t>
      </w:r>
      <w:r>
        <w:rPr>
          <w:rFonts w:ascii="Times Roman" w:hAnsi="Times Roman"/>
          <w:rtl w:val="0"/>
          <w:lang w:val="en-US"/>
        </w:rPr>
        <w:t>(Participant 8, audio-only block, post-reveal).</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4.5 Attentional hierarchy and media equality as negotiated practice</w:t>
      </w:r>
    </w:p>
    <w:p>
      <w:pPr>
        <w:pStyle w:val="Default"/>
        <w:spacing w:before="0" w:after="240" w:line="240" w:lineRule="auto"/>
        <w:rPr>
          <w:rFonts w:ascii="Times Roman" w:cs="Times Roman" w:hAnsi="Times Roman" w:eastAsia="Times Roman"/>
        </w:rPr>
      </w:pPr>
      <w:r>
        <w:rPr>
          <w:rFonts w:ascii="Times Roman" w:hAnsi="Times Roman"/>
          <w:rtl w:val="0"/>
          <w:lang w:val="en-US"/>
        </w:rPr>
        <w:t xml:space="preserve">Participants repeatedly described media equality as something they had to achieve, rather than something guaranteed by coupling. Several accounts describe sound as perceptually dominant and therefore hard to ignore: </w:t>
      </w:r>
      <w:r>
        <w:rPr>
          <w:rFonts w:ascii="Arial Unicode MS" w:hAnsi="Arial Unicode MS" w:hint="default"/>
          <w:rtl w:val="1"/>
          <w:lang w:val="ar-SA" w:bidi="ar-SA"/>
        </w:rPr>
        <w:t>“</w:t>
      </w:r>
      <w:r>
        <w:rPr>
          <w:rFonts w:ascii="Times Roman" w:hAnsi="Times Roman"/>
          <w:rtl w:val="0"/>
          <w:lang w:val="en-US"/>
        </w:rPr>
        <w:t>For me, the audio had to be removed completely before I could prioritise the visual. The audio was more important to my overall experience</w:t>
      </w:r>
      <w:r>
        <w:rPr>
          <w:rFonts w:ascii="Times Roman" w:hAnsi="Times Roman" w:hint="default"/>
          <w:rtl w:val="0"/>
          <w:lang w:val="fr-FR"/>
        </w:rPr>
        <w:t xml:space="preserve">” </w:t>
      </w:r>
      <w:r>
        <w:rPr>
          <w:rFonts w:ascii="Times Roman" w:hAnsi="Times Roman"/>
          <w:rtl w:val="0"/>
          <w:lang w:val="en-US"/>
        </w:rPr>
        <w:t xml:space="preserve">(Participant 2, end-of-session reflection). Others described the inverse: </w:t>
      </w:r>
      <w:r>
        <w:rPr>
          <w:rFonts w:ascii="Arial Unicode MS" w:hAnsi="Arial Unicode MS" w:hint="default"/>
          <w:rtl w:val="1"/>
          <w:lang w:val="ar-SA" w:bidi="ar-SA"/>
        </w:rPr>
        <w:t>“</w:t>
      </w:r>
      <w:r>
        <w:rPr>
          <w:rFonts w:ascii="Times Roman" w:hAnsi="Times Roman"/>
          <w:rtl w:val="0"/>
          <w:lang w:val="en-US"/>
        </w:rPr>
        <w:t>The visual patterns help reveal the relationships between notes</w:t>
      </w:r>
      <w:r>
        <w:rPr>
          <w:rFonts w:ascii="Times Roman" w:hAnsi="Times Roman" w:hint="default"/>
          <w:rtl w:val="0"/>
          <w:lang w:val="fr-FR"/>
        </w:rPr>
        <w:t xml:space="preserve">” </w:t>
      </w:r>
      <w:r>
        <w:rPr>
          <w:rFonts w:ascii="Times Roman" w:hAnsi="Times Roman"/>
          <w:rtl w:val="0"/>
          <w:lang w:val="en-US"/>
        </w:rPr>
        <w:t>(Participant 3, audio-only block, post-reveal).</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These experiences align with cue reliance patterns. Figure 6 indicates that reliance on visual cues (B11) remains substantial even when the visual channel was absent during composition, suggesting that the reveal can re-weight the causal model towards visual structure when it becomes available.</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Insert Video 3 here</w:t>
      </w:r>
    </w:p>
    <w:p>
      <w:pPr>
        <w:pStyle w:val="Default"/>
        <w:spacing w:before="0" w:after="240" w:line="240" w:lineRule="auto"/>
        <w:rPr>
          <w:rFonts w:ascii="Times Roman" w:cs="Times Roman" w:hAnsi="Times Roman" w:eastAsia="Times Roman"/>
          <w:i w:val="1"/>
          <w:iCs w:val="1"/>
        </w:rPr>
      </w:pPr>
      <w:r>
        <w:rPr>
          <w:rFonts w:ascii="Arial Unicode MS" w:hAnsi="Arial Unicode MS" w:hint="default"/>
          <w:rtl w:val="1"/>
          <w:lang w:val="ar-SA" w:bidi="ar-SA"/>
        </w:rPr>
        <w:t>“</w:t>
      </w:r>
      <w:r>
        <w:rPr>
          <w:rFonts w:ascii="Times Roman" w:hAnsi="Times Roman"/>
          <w:i w:val="1"/>
          <w:iCs w:val="1"/>
          <w:rtl w:val="0"/>
          <w:lang w:val="en-US"/>
        </w:rPr>
        <w:t>For me, the audio had to be removed completely before I could prioritise the visual. The audio was more important to my overall experience</w:t>
      </w:r>
      <w:r>
        <w:rPr>
          <w:rFonts w:ascii="Times Roman" w:hAnsi="Times Roman" w:hint="default"/>
          <w:i w:val="1"/>
          <w:iCs w:val="1"/>
          <w:rtl w:val="0"/>
          <w:lang w:val="fr-FR"/>
        </w:rPr>
        <w:t xml:space="preserve">” </w:t>
      </w:r>
      <w:r>
        <w:rPr>
          <w:rFonts w:ascii="Times Roman" w:hAnsi="Times Roman"/>
          <w:i w:val="1"/>
          <w:iCs w:val="1"/>
          <w:rtl w:val="0"/>
          <w:lang w:val="en-US"/>
        </w:rPr>
        <w:t>(Participant 2, end-of-session reflection).</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4.6 Intermedial interference mechanisms as cue conflict</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When interference was described as disruptive, it was typically framed as cue conflict where one modality implied temporal, structural, or causal relations that the other did not support.</w:t>
      </w:r>
    </w:p>
    <w:p>
      <w:pPr>
        <w:pStyle w:val="Default"/>
        <w:numPr>
          <w:ilvl w:val="0"/>
          <w:numId w:val="2"/>
        </w:numPr>
        <w:bidi w:val="0"/>
        <w:spacing w:before="0" w:after="240" w:line="240" w:lineRule="auto"/>
        <w:ind w:right="0"/>
        <w:jc w:val="left"/>
        <w:rPr>
          <w:rFonts w:ascii="Times Roman" w:hAnsi="Times Roman"/>
          <w:rtl w:val="0"/>
          <w:lang w:val="fr-FR"/>
        </w:rPr>
      </w:pPr>
      <w:r>
        <w:rPr>
          <w:rFonts w:ascii="Times Roman" w:hAnsi="Times Roman"/>
          <w:b w:val="1"/>
          <w:bCs w:val="1"/>
          <w:rtl w:val="0"/>
          <w:lang w:val="fr-FR"/>
        </w:rPr>
        <w:t>Duration persistence</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Length of light activity was misleading for tone length which was shorter and did not match</w:t>
      </w:r>
      <w:r>
        <w:rPr>
          <w:rFonts w:ascii="Times Roman" w:hAnsi="Times Roman" w:hint="default"/>
          <w:rtl w:val="0"/>
          <w:lang w:val="fr-FR"/>
        </w:rPr>
        <w:t xml:space="preserve">” </w:t>
      </w:r>
      <w:r>
        <w:rPr>
          <w:rFonts w:ascii="Times Roman" w:hAnsi="Times Roman"/>
          <w:rtl w:val="0"/>
          <w:lang w:val="en-US"/>
        </w:rPr>
        <w:t>(Participant 4, visual-only block, post-reveal). This weakens temporal correspondence and predictive power.</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Density correspondence</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A number of sparse visuals sounded as busy as a previously very active visual</w:t>
      </w:r>
      <w:r>
        <w:rPr>
          <w:rFonts w:ascii="Times Roman" w:hAnsi="Times Roman" w:hint="default"/>
          <w:rtl w:val="0"/>
          <w:lang w:val="fr-FR"/>
        </w:rPr>
        <w:t xml:space="preserve">” </w:t>
      </w:r>
      <w:r>
        <w:rPr>
          <w:rFonts w:ascii="Times Roman" w:hAnsi="Times Roman"/>
          <w:rtl w:val="0"/>
          <w:lang w:val="en-US"/>
        </w:rPr>
        <w:t>(Participant 9, visual-only block, post-reveal). This undermines causal confidence in cross-modal heuristics.</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Perceptual masking and auditability</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Different octaves of the same note starting at the same time sounded as one</w:t>
      </w:r>
      <w:r>
        <w:rPr>
          <w:rFonts w:ascii="Times Roman" w:hAnsi="Times Roman" w:hint="default"/>
          <w:rtl w:val="0"/>
          <w:lang w:val="fr-FR"/>
        </w:rPr>
        <w:t xml:space="preserve">” </w:t>
      </w:r>
      <w:r>
        <w:rPr>
          <w:rFonts w:ascii="Times Roman" w:hAnsi="Times Roman"/>
          <w:rtl w:val="0"/>
          <w:lang w:val="en-US"/>
        </w:rPr>
        <w:t>(Participant 9, visual-only block, post-reveal). When events are not audibly separable, cross-modal checking is weakened.</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Participants also reported productive interference when cues reinforced, reflected in Figure 6 by strong endorsement of B4 (constructive reinforcement) and comparatively lower endorsement of B5 (destructive contradiction) in the audiovisual condition.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Insert Video 4 here</w:t>
      </w:r>
    </w:p>
    <w:p>
      <w:pPr>
        <w:pStyle w:val="Default"/>
        <w:spacing w:before="0" w:after="240" w:line="240" w:lineRule="auto"/>
        <w:rPr>
          <w:rFonts w:ascii="Times Roman" w:cs="Times Roman" w:hAnsi="Times Roman" w:eastAsia="Times Roman"/>
          <w:i w:val="1"/>
          <w:iCs w:val="1"/>
        </w:rPr>
      </w:pPr>
      <w:r>
        <w:rPr>
          <w:rFonts w:ascii="Arial Unicode MS" w:hAnsi="Arial Unicode MS" w:hint="default"/>
          <w:rtl w:val="1"/>
          <w:lang w:val="ar-SA" w:bidi="ar-SA"/>
        </w:rPr>
        <w:t>“</w:t>
      </w:r>
      <w:r>
        <w:rPr>
          <w:rFonts w:ascii="Times Roman" w:hAnsi="Times Roman"/>
          <w:i w:val="1"/>
          <w:iCs w:val="1"/>
          <w:rtl w:val="0"/>
          <w:lang w:val="en-US"/>
        </w:rPr>
        <w:t>Length of light activity was misleading for tone length which was shorter and did not match</w:t>
      </w:r>
      <w:r>
        <w:rPr>
          <w:rFonts w:ascii="Times Roman" w:hAnsi="Times Roman" w:hint="default"/>
          <w:i w:val="1"/>
          <w:iCs w:val="1"/>
          <w:rtl w:val="0"/>
          <w:lang w:val="fr-FR"/>
        </w:rPr>
        <w:t xml:space="preserve">” </w:t>
      </w:r>
      <w:r>
        <w:rPr>
          <w:rFonts w:ascii="Times Roman" w:hAnsi="Times Roman"/>
          <w:i w:val="1"/>
          <w:iCs w:val="1"/>
          <w:rtl w:val="0"/>
          <w:lang w:val="en-US"/>
        </w:rPr>
        <w:t>(Participant 4, visual-only block, post-reveal).</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Insert Video 5 here</w:t>
      </w:r>
    </w:p>
    <w:p>
      <w:pPr>
        <w:pStyle w:val="Default"/>
        <w:spacing w:before="0" w:after="240" w:line="240" w:lineRule="auto"/>
        <w:rPr>
          <w:rFonts w:ascii="Times Roman" w:cs="Times Roman" w:hAnsi="Times Roman" w:eastAsia="Times Roman"/>
          <w:i w:val="1"/>
          <w:iCs w:val="1"/>
        </w:rPr>
      </w:pPr>
      <w:r>
        <w:rPr>
          <w:rFonts w:ascii="Times Roman" w:hAnsi="Times Roman"/>
          <w:i w:val="1"/>
          <w:iCs w:val="1"/>
          <w:rtl w:val="0"/>
          <w:lang w:val="en-US"/>
        </w:rPr>
        <w:t xml:space="preserve">Insert Video </w:t>
      </w:r>
      <w:r>
        <w:rPr>
          <w:rFonts w:ascii="Arial Unicode MS" w:hAnsi="Arial Unicode MS" w:hint="default"/>
          <w:rtl w:val="1"/>
          <w:lang w:val="ar-SA" w:bidi="ar-SA"/>
        </w:rPr>
        <w:t>“</w:t>
      </w:r>
      <w:r>
        <w:rPr>
          <w:rFonts w:ascii="Times Roman" w:hAnsi="Times Roman"/>
          <w:i w:val="1"/>
          <w:iCs w:val="1"/>
          <w:rtl w:val="0"/>
          <w:lang w:val="en-US"/>
        </w:rPr>
        <w:t>Different octaves of the same note starting at the same time sounded as one</w:t>
      </w:r>
      <w:r>
        <w:rPr>
          <w:rFonts w:ascii="Times Roman" w:hAnsi="Times Roman" w:hint="default"/>
          <w:i w:val="1"/>
          <w:iCs w:val="1"/>
          <w:rtl w:val="0"/>
          <w:lang w:val="fr-FR"/>
        </w:rPr>
        <w:t xml:space="preserve">” </w:t>
      </w:r>
      <w:r>
        <w:rPr>
          <w:rFonts w:ascii="Times Roman" w:hAnsi="Times Roman"/>
          <w:i w:val="1"/>
          <w:iCs w:val="1"/>
          <w:rtl w:val="0"/>
          <w:lang w:val="en-US"/>
        </w:rPr>
        <w:t>(Participant 9, visual-only block, post-reveal)</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4.7 Agency and co-creative negotiation</w:t>
      </w:r>
    </w:p>
    <w:p>
      <w:pPr>
        <w:pStyle w:val="Default"/>
        <w:spacing w:before="0" w:after="240" w:line="240" w:lineRule="auto"/>
        <w:rPr>
          <w:rFonts w:ascii="Times Roman" w:cs="Times Roman" w:hAnsi="Times Roman" w:eastAsia="Times Roman"/>
        </w:rPr>
      </w:pPr>
      <w:r>
        <w:rPr>
          <w:rFonts w:ascii="Times Roman" w:hAnsi="Times Roman"/>
          <w:rtl w:val="0"/>
          <w:lang w:val="en-US"/>
        </w:rPr>
        <w:t xml:space="preserve">Across conditions, participants framed interaction less as direct control and more as negotiated agency. Some described collaboration with the instrument: </w:t>
      </w:r>
      <w:r>
        <w:rPr>
          <w:rFonts w:ascii="Arial Unicode MS" w:hAnsi="Arial Unicode MS" w:hint="default"/>
          <w:rtl w:val="1"/>
          <w:lang w:val="ar-SA" w:bidi="ar-SA"/>
        </w:rPr>
        <w:t>“</w:t>
      </w:r>
      <w:r>
        <w:rPr>
          <w:rFonts w:ascii="Times Roman" w:hAnsi="Times Roman"/>
          <w:rtl w:val="0"/>
          <w:lang w:val="en-US"/>
        </w:rPr>
        <w:t>there something like a collaboration working with the instrument</w:t>
      </w:r>
      <w:r>
        <w:rPr>
          <w:rFonts w:ascii="Times Roman" w:hAnsi="Times Roman" w:hint="default"/>
          <w:rtl w:val="0"/>
          <w:lang w:val="fr-FR"/>
        </w:rPr>
        <w:t xml:space="preserve">” </w:t>
      </w:r>
      <w:r>
        <w:rPr>
          <w:rFonts w:ascii="Times Roman" w:hAnsi="Times Roman"/>
          <w:rtl w:val="0"/>
          <w:lang w:val="en-US"/>
        </w:rPr>
        <w:t xml:space="preserve">(Participant 8, audiovisual block, pre-reveal). Others framed the experience as discovering structure beyond their own intention: </w:t>
      </w:r>
      <w:r>
        <w:rPr>
          <w:rFonts w:ascii="Arial Unicode MS" w:hAnsi="Arial Unicode MS" w:hint="default"/>
          <w:rtl w:val="1"/>
          <w:lang w:val="ar-SA" w:bidi="ar-SA"/>
        </w:rPr>
        <w:t>“</w:t>
      </w:r>
      <w:r>
        <w:rPr>
          <w:rFonts w:ascii="Times Roman" w:hAnsi="Times Roman"/>
          <w:rtl w:val="0"/>
          <w:lang w:val="en-US"/>
        </w:rPr>
        <w:t>The reviewed videos were more satisfying than I might have imagined</w:t>
      </w:r>
      <w:r>
        <w:rPr>
          <w:rFonts w:ascii="Times Roman" w:hAnsi="Times Roman" w:hint="default"/>
          <w:rtl w:val="0"/>
          <w:lang w:val="fr-FR"/>
        </w:rPr>
        <w:t xml:space="preserve">… </w:t>
      </w:r>
      <w:r>
        <w:rPr>
          <w:rFonts w:ascii="Times Roman" w:hAnsi="Times Roman"/>
          <w:rtl w:val="0"/>
          <w:lang w:val="en-US"/>
        </w:rPr>
        <w:t>having played a part in constructing the light and sound felt like I had some agency and ability to control a somewhat autonomous system</w:t>
      </w:r>
      <w:r>
        <w:rPr>
          <w:rFonts w:ascii="Times Roman" w:hAnsi="Times Roman" w:hint="default"/>
          <w:rtl w:val="0"/>
          <w:lang w:val="fr-FR"/>
        </w:rPr>
        <w:t xml:space="preserve">” </w:t>
      </w:r>
      <w:r>
        <w:rPr>
          <w:rFonts w:ascii="Times Roman" w:hAnsi="Times Roman"/>
          <w:rtl w:val="0"/>
          <w:lang w:val="en-US"/>
        </w:rPr>
        <w:t>(Participant 3, end-of-session reflection).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These accounts align with Figure 5 where A5 (useful surprise) remains high across conditions, while A6 (frustrating unpredictability) is not uniformly dominant, indicating that emergence was often valued when it remained steerable.</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4.8 Parameter strategy and perceived leverage</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Across conditions, participants identified a stable core of influential controls and a modality-dependent shift. Rate was consistently nominated as influential, aligning with qualitative descriptions of shaping overall dynamism and arc structure. Scale was nominated more frequently when sound was available, consistent with participants treating harmonic admissibility as a primary steering dimension when auditory feedback is present.</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7 here. </w:t>
      </w:r>
    </w:p>
    <w:p>
      <w:pPr>
        <w:pStyle w:val="Default"/>
        <w:spacing w:before="0" w:after="240" w:line="240" w:lineRule="auto"/>
        <w:rPr>
          <w:rFonts w:ascii="Times Roman" w:cs="Times Roman" w:hAnsi="Times Roman" w:eastAsia="Times Roman"/>
          <w:i w:val="1"/>
          <w:iCs w:val="1"/>
          <w:lang w:val="en-US"/>
        </w:rPr>
      </w:pPr>
      <w:r>
        <w:rPr>
          <w:rFonts w:ascii="Times Roman" w:hAnsi="Times Roman"/>
          <w:i w:val="1"/>
          <w:iCs w:val="1"/>
          <w:rtl w:val="0"/>
          <w:lang w:val="en-US"/>
        </w:rPr>
        <w:t>Figure 7 - Stacked bar chart of parameter influence nominations by condition.</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4.9 Participant-led design requirements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Participant change requests converge on cue reliability and constraint transparency:</w:t>
      </w:r>
    </w:p>
    <w:p>
      <w:pPr>
        <w:pStyle w:val="Default"/>
        <w:numPr>
          <w:ilvl w:val="0"/>
          <w:numId w:val="2"/>
        </w:numPr>
        <w:bidi w:val="0"/>
        <w:spacing w:before="0" w:after="240" w:line="240" w:lineRule="auto"/>
        <w:ind w:right="0"/>
        <w:jc w:val="left"/>
        <w:rPr>
          <w:rFonts w:ascii="Times Roman" w:hAnsi="Times Roman"/>
          <w:rtl w:val="0"/>
          <w:lang w:val="es-ES_tradnl"/>
        </w:rPr>
      </w:pPr>
      <w:r>
        <w:rPr>
          <w:rFonts w:ascii="Times Roman" w:hAnsi="Times Roman"/>
          <w:b w:val="1"/>
          <w:bCs w:val="1"/>
          <w:rtl w:val="0"/>
          <w:lang w:val="es-ES_tradnl"/>
        </w:rPr>
        <w:t>Align temporal cues</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Incorporate ADSR envelopes into the audio and visuals</w:t>
      </w:r>
      <w:r>
        <w:rPr>
          <w:rFonts w:ascii="Times Roman" w:hAnsi="Times Roman" w:hint="default"/>
          <w:rtl w:val="0"/>
          <w:lang w:val="fr-FR"/>
        </w:rPr>
        <w:t xml:space="preserve">” </w:t>
      </w:r>
      <w:r>
        <w:rPr>
          <w:rFonts w:ascii="Times Roman" w:hAnsi="Times Roman"/>
          <w:rtl w:val="0"/>
          <w:lang w:val="en-US"/>
        </w:rPr>
        <w:t>(Participant 1, end-of-session reflection).</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Improve mapping legibility</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Seeing the colours of the notes, regardless of them being played may have helped build more harmonious sounds</w:t>
      </w:r>
      <w:r>
        <w:rPr>
          <w:rFonts w:ascii="Times Roman" w:hAnsi="Times Roman" w:hint="default"/>
          <w:rtl w:val="0"/>
          <w:lang w:val="fr-FR"/>
        </w:rPr>
        <w:t xml:space="preserve">” </w:t>
      </w:r>
      <w:r>
        <w:rPr>
          <w:rFonts w:ascii="Times Roman" w:hAnsi="Times Roman"/>
          <w:rtl w:val="0"/>
          <w:lang w:val="en-US"/>
        </w:rPr>
        <w:t>(Participant 3, end-of-session reflection).</w:t>
      </w:r>
    </w:p>
    <w:p>
      <w:pPr>
        <w:pStyle w:val="Default"/>
        <w:numPr>
          <w:ilvl w:val="0"/>
          <w:numId w:val="2"/>
        </w:numPr>
        <w:bidi w:val="0"/>
        <w:spacing w:before="0" w:after="240" w:line="240" w:lineRule="auto"/>
        <w:ind w:right="0"/>
        <w:jc w:val="left"/>
        <w:rPr>
          <w:rFonts w:ascii="Times Roman" w:hAnsi="Times Roman"/>
          <w:rtl w:val="0"/>
          <w:lang w:val="en-US"/>
        </w:rPr>
      </w:pPr>
      <w:r>
        <w:rPr>
          <w:rFonts w:ascii="Times Roman" w:hAnsi="Times Roman"/>
          <w:b w:val="1"/>
          <w:bCs w:val="1"/>
          <w:rtl w:val="0"/>
          <w:lang w:val="en-US"/>
        </w:rPr>
        <w:t>Reduce overload and support attention management</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Sound felt like a more dominant sensory driver and easier to get wrong</w:t>
      </w:r>
      <w:r>
        <w:rPr>
          <w:rFonts w:ascii="Times Roman" w:hAnsi="Times Roman" w:hint="default"/>
          <w:rtl w:val="0"/>
          <w:lang w:val="fr-FR"/>
        </w:rPr>
        <w:t xml:space="preserve">” </w:t>
      </w:r>
      <w:r>
        <w:rPr>
          <w:rFonts w:ascii="Times Roman" w:hAnsi="Times Roman"/>
          <w:rtl w:val="0"/>
          <w:lang w:val="en-US"/>
        </w:rPr>
        <w:t>(Participant 4, end-of-session reflection).</w:t>
      </w:r>
    </w:p>
    <w:p>
      <w:pPr>
        <w:pStyle w:val="Default"/>
        <w:numPr>
          <w:ilvl w:val="0"/>
          <w:numId w:val="2"/>
        </w:numPr>
        <w:bidi w:val="0"/>
        <w:spacing w:before="0" w:after="240" w:line="240" w:lineRule="auto"/>
        <w:ind w:right="0"/>
        <w:jc w:val="left"/>
        <w:rPr>
          <w:rFonts w:ascii="Times Roman" w:hAnsi="Times Roman"/>
          <w:rtl w:val="0"/>
          <w:lang w:val="it-IT"/>
        </w:rPr>
      </w:pPr>
      <w:r>
        <w:rPr>
          <w:rFonts w:ascii="Times Roman" w:hAnsi="Times Roman"/>
          <w:b w:val="1"/>
          <w:bCs w:val="1"/>
          <w:rtl w:val="0"/>
          <w:lang w:val="it-IT"/>
        </w:rPr>
        <w:t>Improve interface ergonomics</w:t>
      </w:r>
      <w:r>
        <w:rPr>
          <w:rFonts w:ascii="Times Roman" w:hAnsi="Times Roman"/>
          <w:rtl w:val="0"/>
          <w:lang w:val="fr-FR"/>
        </w:rPr>
        <w:t xml:space="preserve">: </w:t>
      </w:r>
      <w:r>
        <w:rPr>
          <w:rFonts w:ascii="Arial Unicode MS" w:hAnsi="Arial Unicode MS" w:hint="default"/>
          <w:rtl w:val="1"/>
          <w:lang w:val="ar-SA" w:bidi="ar-SA"/>
        </w:rPr>
        <w:t>“</w:t>
      </w:r>
      <w:r>
        <w:rPr>
          <w:rFonts w:ascii="Times Roman" w:hAnsi="Times Roman"/>
          <w:rtl w:val="0"/>
          <w:lang w:val="en-US"/>
        </w:rPr>
        <w:t>Put the interface on one page without scrolling</w:t>
      </w:r>
      <w:r>
        <w:rPr>
          <w:rFonts w:ascii="Times Roman" w:hAnsi="Times Roman" w:hint="default"/>
          <w:rtl w:val="0"/>
          <w:lang w:val="fr-FR"/>
        </w:rPr>
        <w:t xml:space="preserve">” </w:t>
      </w:r>
      <w:r>
        <w:rPr>
          <w:rFonts w:ascii="Times Roman" w:hAnsi="Times Roman"/>
          <w:rtl w:val="0"/>
          <w:lang w:val="en-US"/>
        </w:rPr>
        <w:t>(Participant 9, end-of-session reflection).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These requirements map directly onto the interference mechanisms above: where cue structure was reliable, participants reported reinforcement; where cues conflicted or masked one another, participants reported mismatch and reduced steerability.</w:t>
      </w:r>
    </w:p>
    <w:p>
      <w:pPr>
        <w:pStyle w:val="Default"/>
        <w:spacing w:before="0" w:after="240" w:line="240" w:lineRule="auto"/>
        <w:rPr>
          <w:rFonts w:ascii="Times Roman" w:cs="Times Roman" w:hAnsi="Times Roman" w:eastAsia="Times Roman"/>
        </w:rPr>
      </w:pPr>
      <w:r>
        <w:rPr>
          <w:rFonts w:ascii="Times Roman" w:hAnsi="Times Roman"/>
          <w:rtl w:val="0"/>
          <w:lang w:val="fr-FR"/>
        </w:rPr>
        <w:t xml:space="preserve">Insert Figure 8 here. </w:t>
      </w:r>
    </w:p>
    <w:p>
      <w:pPr>
        <w:pStyle w:val="Default"/>
        <w:spacing w:before="0" w:after="240" w:line="240" w:lineRule="auto"/>
        <w:rPr>
          <w:rFonts w:ascii="Times Roman" w:cs="Times Roman" w:hAnsi="Times Roman" w:eastAsia="Times Roman"/>
          <w:i w:val="1"/>
          <w:iCs w:val="1"/>
        </w:rPr>
      </w:pPr>
      <w:r>
        <w:rPr>
          <w:rFonts w:ascii="Times Roman" w:hAnsi="Times Roman"/>
          <w:i w:val="1"/>
          <w:iCs w:val="1"/>
          <w:rtl w:val="0"/>
          <w:lang w:val="en-US"/>
        </w:rPr>
        <w:t>Figure 8. Montage of v</w:t>
      </w:r>
      <w:r>
        <w:rPr>
          <w:rFonts w:ascii="Times Roman" w:hAnsi="Times Roman"/>
          <w:i w:val="1"/>
          <w:iCs w:val="1"/>
          <w:rtl w:val="0"/>
          <w:lang w:val="sv-SE"/>
        </w:rPr>
        <w:t xml:space="preserve">ideo-stills </w:t>
      </w:r>
      <w:r>
        <w:rPr>
          <w:rFonts w:ascii="Times Roman" w:hAnsi="Times Roman"/>
          <w:i w:val="1"/>
          <w:iCs w:val="1"/>
          <w:rtl w:val="0"/>
          <w:lang w:val="en-US"/>
        </w:rPr>
        <w:t>taken from participant outputs across conditions (A/B/C).</w:t>
      </w:r>
    </w:p>
    <w:p>
      <w:pPr>
        <w:pStyle w:val="Default"/>
        <w:spacing w:before="0" w:after="299" w:line="240" w:lineRule="auto"/>
        <w:rPr>
          <w:rFonts w:ascii="Times Roman" w:cs="Times Roman" w:hAnsi="Times Roman" w:eastAsia="Times Roman"/>
          <w:b w:val="1"/>
          <w:bCs w:val="1"/>
          <w:sz w:val="36"/>
          <w:szCs w:val="36"/>
          <w:lang w:val="en-US"/>
        </w:rPr>
      </w:pPr>
      <w:r>
        <w:rPr>
          <w:rFonts w:ascii="Times Roman" w:hAnsi="Times Roman"/>
          <w:b w:val="1"/>
          <w:bCs w:val="1"/>
          <w:sz w:val="36"/>
          <w:szCs w:val="36"/>
          <w:rtl w:val="0"/>
          <w:lang w:val="en-US"/>
        </w:rPr>
        <w:t>5 Discussion</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5.1 Media equality is not guaranteed by coupling</w:t>
      </w:r>
    </w:p>
    <w:p>
      <w:pPr>
        <w:pStyle w:val="Default"/>
        <w:spacing w:before="0" w:after="240" w:line="240" w:lineRule="auto"/>
        <w:rPr>
          <w:rFonts w:ascii="Times Roman" w:cs="Times Roman" w:hAnsi="Times Roman" w:eastAsia="Times Roman"/>
        </w:rPr>
      </w:pPr>
      <w:r>
        <w:rPr>
          <w:rFonts w:ascii="Times Roman" w:hAnsi="Times Roman"/>
          <w:rtl w:val="0"/>
          <w:lang w:val="en-US"/>
        </w:rPr>
        <w:t>The Cellular Au-Tonnetz represents sound and light as parallel projections of a shared evolving state. However, participant reports show that causal parity does not automatically yield perceptual or interpretive parity. Equality emerged as negotiated practice shaped by attentional dominance, cue reliability, and participants</w:t>
      </w:r>
      <w:r>
        <w:rPr>
          <w:rFonts w:ascii="Arial Unicode MS" w:hAnsi="Arial Unicode MS" w:hint="default"/>
          <w:rtl w:val="0"/>
          <w:lang w:val="fr-FR"/>
        </w:rPr>
        <w:t xml:space="preserve">’ </w:t>
      </w:r>
      <w:r>
        <w:rPr>
          <w:rFonts w:ascii="Times Roman" w:hAnsi="Times Roman"/>
          <w:rtl w:val="0"/>
          <w:lang w:val="en-US"/>
        </w:rPr>
        <w:t>evolving causal models. The strong preference for audiovisual access indicates that simultaneous access most often supports the full intention-monitoring-interpretation loop: participants can form intentions with reference to both media, test hypotheses during interaction, and refine causal inference in real time.</w:t>
      </w:r>
    </w:p>
    <w:p>
      <w:pPr>
        <w:pStyle w:val="Default"/>
        <w:spacing w:before="0" w:line="240" w:lineRule="auto"/>
        <w:rPr>
          <w:rFonts w:ascii="Times Roman" w:cs="Times Roman" w:hAnsi="Times Roman" w:eastAsia="Times Roman"/>
        </w:rPr>
      </w:pPr>
      <w:r>
        <w:rPr>
          <w:rFonts w:ascii="Times Roman" w:hAnsi="Times Roman"/>
          <w:rtl w:val="0"/>
          <w:lang w:val="en-US"/>
        </w:rPr>
        <w:t xml:space="preserve">With such coupled systems, modality constraint can be beneficial, not only degradative. Visual-only composition was described by a trained musician, as creatively liberating, because it suspends real-time harmonic self-monitoring and invites a more exploratory stance. Temporarily relinquishing one modality can reduce evaluative pressure and open alternative compositional strategies, which in turn may support later intermedial rebinding at reveal. Practically, this points to a design opportunity: intermedial instruments may benefit from explicit </w:t>
      </w:r>
      <w:r>
        <w:rPr>
          <w:rFonts w:ascii="Arial Unicode MS" w:hAnsi="Arial Unicode MS" w:hint="default"/>
          <w:rtl w:val="1"/>
          <w:lang w:val="ar-SA" w:bidi="ar-SA"/>
        </w:rPr>
        <w:t>“</w:t>
      </w:r>
      <w:r>
        <w:rPr>
          <w:rFonts w:ascii="Times Roman" w:hAnsi="Times Roman"/>
          <w:rtl w:val="0"/>
          <w:lang w:val="fr-FR"/>
        </w:rPr>
        <w:t>constraint modes</w:t>
      </w:r>
      <w:r>
        <w:rPr>
          <w:rFonts w:ascii="Times Roman" w:hAnsi="Times Roman" w:hint="default"/>
          <w:rtl w:val="0"/>
          <w:lang w:val="fr-FR"/>
        </w:rPr>
        <w:t xml:space="preserve">” </w:t>
      </w:r>
      <w:r>
        <w:rPr>
          <w:rFonts w:ascii="Times Roman" w:hAnsi="Times Roman"/>
          <w:rtl w:val="0"/>
          <w:lang w:val="en-US"/>
        </w:rPr>
        <w:t>that intentionally reweight attention and agency, allowing users to move between exploratory play and audiovisuallly accountable refinement rather than treating constraint purely as an experimental manipulation.</w:t>
      </w:r>
    </w:p>
    <w:p>
      <w:pPr>
        <w:pStyle w:val="Default"/>
        <w:spacing w:before="0" w:line="240" w:lineRule="auto"/>
        <w:rPr>
          <w:rFonts w:ascii="Times Roman" w:cs="Times Roman" w:hAnsi="Times Roman" w:eastAsia="Times Roman"/>
        </w:rPr>
      </w:pP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5.2 Interference as cue conflict and productive discontinuity</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 results support an interference account centred on cue structure:</w:t>
      </w:r>
    </w:p>
    <w:p>
      <w:pPr>
        <w:pStyle w:val="Default"/>
        <w:numPr>
          <w:ilvl w:val="0"/>
          <w:numId w:val="5"/>
        </w:numPr>
        <w:bidi w:val="0"/>
        <w:spacing w:before="0" w:after="240" w:line="240" w:lineRule="auto"/>
        <w:ind w:right="0"/>
        <w:jc w:val="left"/>
        <w:rPr>
          <w:rFonts w:ascii="Times Roman" w:hAnsi="Times Roman"/>
          <w:rtl w:val="0"/>
          <w:lang w:val="es-ES_tradnl"/>
        </w:rPr>
      </w:pPr>
      <w:r>
        <w:rPr>
          <w:rFonts w:ascii="Times Roman" w:hAnsi="Times Roman"/>
          <w:rtl w:val="0"/>
          <w:lang w:val="es-ES_tradnl"/>
        </w:rPr>
        <w:t>Temporal cue conflict (persistence versus articulation)</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Density cue conflict (visual occupation versus auditory busyness)</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Auditability limits (masking and indistinguishable events)</w:t>
      </w:r>
    </w:p>
    <w:p>
      <w:pPr>
        <w:pStyle w:val="Default"/>
        <w:numPr>
          <w:ilvl w:val="0"/>
          <w:numId w:val="5"/>
        </w:numPr>
        <w:bidi w:val="0"/>
        <w:spacing w:before="0" w:after="240" w:line="240" w:lineRule="auto"/>
        <w:ind w:right="0"/>
        <w:jc w:val="left"/>
        <w:rPr>
          <w:rFonts w:ascii="Times Roman" w:hAnsi="Times Roman"/>
          <w:rtl w:val="0"/>
          <w:lang w:val="fr-FR"/>
        </w:rPr>
      </w:pPr>
      <w:r>
        <w:rPr>
          <w:rStyle w:val="None A"/>
          <w:rFonts w:ascii="Times Roman" w:hAnsi="Times Roman"/>
          <w:rtl w:val="0"/>
          <w:lang w:val="fr-FR"/>
        </w:rPr>
        <w:t>Salience dominance (one modality monopolises attention)</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Rebinding (post-reveal reinterpretation that revalues mismatch)</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Mismatch was not uniformly negative. Post-reveal replay often revalued apparent mismatch as coherent structure, indicating that interference valence depends on whether divergence produces interpretive dead ends (loss of legibility) or rewarded rebinding (expanded causal model). For practice-based research, this supports treating the reveal as a deliberate compositional and evaluative mechanism.</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5.3 Design implications for state-space projection instruments</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Because interference manifested as cue reliability problems, design improvements can be framed as interventions on cue structure rather than superficial polish:</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Align temporal envelopes across modalities (for example, link light decay to note release).</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Increase auditory event discriminability (articulation, voicing, timbral differentiation) to reduce masking.</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Strengthen mapping legibility (colour fidelity, persistent reference cues, and clearly communicated constraints).</w:t>
      </w:r>
    </w:p>
    <w:p>
      <w:pPr>
        <w:pStyle w:val="Default"/>
        <w:numPr>
          <w:ilvl w:val="0"/>
          <w:numId w:val="5"/>
        </w:numPr>
        <w:bidi w:val="0"/>
        <w:spacing w:before="0" w:after="240" w:line="240" w:lineRule="auto"/>
        <w:ind w:right="0"/>
        <w:jc w:val="left"/>
        <w:rPr>
          <w:rFonts w:ascii="Times Roman" w:hAnsi="Times Roman"/>
          <w:rtl w:val="0"/>
          <w:lang w:val="en-US"/>
        </w:rPr>
      </w:pPr>
      <w:r>
        <w:rPr>
          <w:rFonts w:ascii="Times Roman" w:hAnsi="Times Roman"/>
          <w:rtl w:val="0"/>
          <w:lang w:val="en-US"/>
        </w:rPr>
        <w:t>Make constraint regimes transparent (loop semantics, reset affordances, and parameter scaling that matches perceptual intuition).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These priorities generalise beyond this case study because they target how performers construct and test causal models while composing.</w:t>
      </w:r>
    </w:p>
    <w:p>
      <w:pPr>
        <w:pStyle w:val="Default"/>
        <w:spacing w:before="0" w:after="281" w:line="240" w:lineRule="auto"/>
        <w:rPr>
          <w:rFonts w:ascii="Times Roman" w:cs="Times Roman" w:hAnsi="Times Roman" w:eastAsia="Times Roman"/>
          <w:b w:val="1"/>
          <w:bCs w:val="1"/>
          <w:sz w:val="28"/>
          <w:szCs w:val="28"/>
          <w:lang w:val="en-US"/>
        </w:rPr>
      </w:pPr>
      <w:r>
        <w:rPr>
          <w:rFonts w:ascii="Times Roman" w:hAnsi="Times Roman"/>
          <w:b w:val="1"/>
          <w:bCs w:val="1"/>
          <w:sz w:val="28"/>
          <w:szCs w:val="28"/>
          <w:rtl w:val="0"/>
          <w:lang w:val="en-US"/>
        </w:rPr>
        <w:t>5.4 Limits and scope</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The study is intentionally practice-proximate: convenience sampling, short sessions, a single synthesis configuration, and a constrained parameter set. Accordingly, the article does not claim population-level effects. Its contribution is methodological and conceptual: it shows that media equality and interference can be operationalised within realistic artistic development timelines using modality manipulation, reveal-based reflection, and traceable artefact capture. Future work can extend the method to other instruments, longer-form composition, and independent observer evaluation.</w:t>
      </w:r>
    </w:p>
    <w:p>
      <w:pPr>
        <w:pStyle w:val="Default"/>
        <w:spacing w:before="0" w:after="299" w:line="240" w:lineRule="auto"/>
        <w:rPr>
          <w:rFonts w:ascii="Times Roman" w:cs="Times Roman" w:hAnsi="Times Roman" w:eastAsia="Times Roman"/>
          <w:b w:val="1"/>
          <w:bCs w:val="1"/>
          <w:sz w:val="36"/>
          <w:szCs w:val="36"/>
          <w:lang w:val="it-IT"/>
        </w:rPr>
      </w:pPr>
      <w:r>
        <w:rPr>
          <w:rFonts w:ascii="Times Roman" w:hAnsi="Times Roman"/>
          <w:b w:val="1"/>
          <w:bCs w:val="1"/>
          <w:sz w:val="36"/>
          <w:szCs w:val="36"/>
          <w:rtl w:val="0"/>
          <w:lang w:val="it-IT"/>
        </w:rPr>
        <w:t>6 Conclusion</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This article operationalised media equality and intermedial interference in a practice-based evaluation of the Cellular Au-Tonnetz, a coupled generative instrument in which sound and LED activity are parallel projections of a shared evolving state-space. Audiovisual access was most often ranked best overall and most intermedial, while audio-only access most often produced the biggest mismatch.</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Across conditions, interference was experienced as both constructive and destructive. Destructive effects were commonly described as cue conflicts (temporal persistence, density correspondence, and perceptual masking), while constructive effects emerged when shared causal origin supported reinforcement and when post-reveal replay enabled rebinding and increased perceived coherence. A central implication is that causal coupling alone does not guarantee perceptual parity: co-equal media relations depend on cue reliability and interaction design that supports evolving causal understanding.</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More broadly, the study demonstrates a lightweight evaluation template for practice-based intermedial research. By linking structured reflection to reproducible artefacts (saved presets and recorded outputs), the method supports issue-driven analysis of how media relationships are composed and perceived in coupled generative systems.</w:t>
      </w:r>
    </w:p>
    <w:p>
      <w:pPr>
        <w:pStyle w:val="Default"/>
        <w:spacing w:before="0" w:line="240" w:lineRule="auto"/>
        <w:rPr>
          <w:rFonts w:ascii="Times Roman" w:cs="Times Roman" w:hAnsi="Times Roman" w:eastAsia="Times Roman"/>
          <w:outline w:val="0"/>
          <w:color w:val="808080"/>
          <w:u w:color="808080"/>
          <w14:textFill>
            <w14:solidFill>
              <w14:srgbClr w14:val="808080"/>
            </w14:solidFill>
          </w14:textFill>
        </w:rPr>
      </w:pPr>
    </w:p>
    <w:p>
      <w:pPr>
        <w:pStyle w:val="Default"/>
        <w:spacing w:before="0" w:after="299" w:line="240" w:lineRule="auto"/>
      </w:pPr>
      <w:r>
        <w:rPr>
          <w:rFonts w:ascii="Arial Unicode MS" w:cs="Arial Unicode MS" w:hAnsi="Arial Unicode MS" w:eastAsia="Arial Unicode MS"/>
          <w:b w:val="0"/>
          <w:bCs w:val="0"/>
          <w:i w:val="0"/>
          <w:iCs w:val="0"/>
          <w:sz w:val="36"/>
          <w:szCs w:val="36"/>
        </w:rPr>
        <w:br w:type="page"/>
      </w:r>
    </w:p>
    <w:p>
      <w:pPr>
        <w:pStyle w:val="Default"/>
        <w:spacing w:before="0" w:after="299" w:line="240" w:lineRule="auto"/>
        <w:rPr>
          <w:rFonts w:ascii="Times Roman" w:cs="Times Roman" w:hAnsi="Times Roman" w:eastAsia="Times Roman"/>
          <w:b w:val="1"/>
          <w:bCs w:val="1"/>
          <w:sz w:val="36"/>
          <w:szCs w:val="36"/>
          <w:lang w:val="en-US"/>
        </w:rPr>
      </w:pPr>
      <w:r>
        <w:rPr>
          <w:rFonts w:ascii="Times Roman" w:hAnsi="Times Roman"/>
          <w:b w:val="1"/>
          <w:bCs w:val="1"/>
          <w:sz w:val="36"/>
          <w:szCs w:val="36"/>
          <w:rtl w:val="0"/>
          <w:lang w:val="en-US"/>
        </w:rPr>
        <w:t xml:space="preserve">Supplementary Materials </w:t>
      </w:r>
    </w:p>
    <w:p>
      <w:pPr>
        <w:pStyle w:val="Default"/>
        <w:spacing w:before="0" w:after="240" w:line="240" w:lineRule="auto"/>
        <w:rPr>
          <w:rFonts w:ascii="Times Roman" w:cs="Times Roman" w:hAnsi="Times Roman" w:eastAsia="Times Roman"/>
          <w:lang w:val="en-US"/>
        </w:rPr>
      </w:pPr>
      <w:r>
        <w:rPr>
          <w:rFonts w:ascii="Times Roman" w:hAnsi="Times Roman"/>
          <w:rtl w:val="0"/>
          <w:lang w:val="en-US"/>
        </w:rPr>
        <w:t xml:space="preserve">All 32 videos, parameter dataset, and survey results, can be found here: </w:t>
      </w:r>
    </w:p>
    <w:p>
      <w:pPr>
        <w:pStyle w:val="Default"/>
        <w:spacing w:before="0" w:after="240" w:line="240" w:lineRule="auto"/>
        <w:rPr>
          <w:rStyle w:val="None"/>
          <w:rFonts w:ascii="Times Roman" w:cs="Times Roman" w:hAnsi="Times Roman" w:eastAsia="Times Roman"/>
          <w:lang w:val="en-US"/>
        </w:rPr>
      </w:pPr>
      <w:r>
        <w:rPr>
          <w:rStyle w:val="Hyperlink.0"/>
          <w:rFonts w:ascii="Times Roman" w:cs="Times Roman" w:hAnsi="Times Roman" w:eastAsia="Times Roman"/>
          <w:u w:val="single"/>
          <w:lang w:val="en-US"/>
        </w:rPr>
        <w:fldChar w:fldCharType="begin" w:fldLock="0"/>
      </w:r>
      <w:r>
        <w:rPr>
          <w:rStyle w:val="Hyperlink.0"/>
          <w:rFonts w:ascii="Times Roman" w:cs="Times Roman" w:hAnsi="Times Roman" w:eastAsia="Times Roman"/>
          <w:u w:val="single"/>
          <w:lang w:val="en-US"/>
        </w:rPr>
        <w:instrText xml:space="preserve"> HYPERLINK "https://github.com/td0034/OrganisedSound/"</w:instrText>
      </w:r>
      <w:r>
        <w:rPr>
          <w:rStyle w:val="Hyperlink.0"/>
          <w:rFonts w:ascii="Times Roman" w:cs="Times Roman" w:hAnsi="Times Roman" w:eastAsia="Times Roman"/>
          <w:u w:val="single"/>
          <w:lang w:val="en-US"/>
        </w:rPr>
        <w:fldChar w:fldCharType="separate" w:fldLock="0"/>
      </w:r>
      <w:r>
        <w:rPr>
          <w:rStyle w:val="Hyperlink.0"/>
          <w:rFonts w:ascii="Times Roman" w:hAnsi="Times Roman"/>
          <w:u w:val="single"/>
          <w:rtl w:val="0"/>
          <w:lang w:val="en-US"/>
        </w:rPr>
        <w:t>https://github.com/td0034/OrganisedSound/</w:t>
      </w:r>
      <w:r>
        <w:rPr>
          <w:lang w:val="en-US"/>
        </w:rPr>
        <w:fldChar w:fldCharType="end" w:fldLock="0"/>
      </w:r>
    </w:p>
    <w:p>
      <w:pPr>
        <w:pStyle w:val="Default"/>
        <w:spacing w:before="0" w:after="299" w:line="240" w:lineRule="auto"/>
        <w:rPr>
          <w:rStyle w:val="None"/>
          <w:rFonts w:ascii="Times Roman" w:cs="Times Roman" w:hAnsi="Times Roman" w:eastAsia="Times Roman"/>
          <w:b w:val="1"/>
          <w:bCs w:val="1"/>
          <w:sz w:val="36"/>
          <w:szCs w:val="36"/>
          <w:lang w:val="en-US"/>
        </w:rPr>
      </w:pPr>
      <w:r>
        <w:rPr>
          <w:rStyle w:val="None"/>
          <w:rFonts w:ascii="Times Roman" w:hAnsi="Times Roman"/>
          <w:b w:val="1"/>
          <w:bCs w:val="1"/>
          <w:sz w:val="36"/>
          <w:szCs w:val="36"/>
          <w:rtl w:val="0"/>
          <w:lang w:val="en-US"/>
        </w:rPr>
        <w:t>Acknowledgements</w:t>
      </w:r>
    </w:p>
    <w:p>
      <w:pPr>
        <w:pStyle w:val="Default"/>
        <w:spacing w:before="0" w:after="240" w:line="240" w:lineRule="auto"/>
        <w:rPr>
          <w:rStyle w:val="None"/>
          <w:rFonts w:ascii="Times Roman" w:cs="Times Roman" w:hAnsi="Times Roman" w:eastAsia="Times Roman"/>
          <w:lang w:val="en-US"/>
        </w:rPr>
      </w:pPr>
      <w:r>
        <w:rPr>
          <w:rStyle w:val="None"/>
          <w:rFonts w:ascii="Times Roman" w:hAnsi="Times Roman"/>
          <w:rtl w:val="0"/>
          <w:lang w:val="en-US"/>
        </w:rPr>
        <w:t>I thank the participants who gave their time to this study, Simon Jones and Sabine Hauert for encouragement to conduct the evaluation, and Rosa Beesley for ongoing support.</w:t>
      </w:r>
    </w:p>
    <w:p>
      <w:pPr>
        <w:pStyle w:val="Default"/>
        <w:spacing w:before="0" w:after="240" w:line="240" w:lineRule="auto"/>
        <w:rPr>
          <w:rStyle w:val="None"/>
          <w:rFonts w:ascii="Times Roman" w:cs="Times Roman" w:hAnsi="Times Roman" w:eastAsia="Times Roman"/>
          <w:lang w:val="en-US"/>
        </w:rPr>
      </w:pPr>
      <w:r>
        <w:rPr>
          <w:rStyle w:val="None"/>
          <w:rFonts w:ascii="Times Roman" w:hAnsi="Times Roman"/>
          <w:rtl w:val="0"/>
          <w:lang w:val="en-US"/>
        </w:rPr>
        <w:t>The author used ChatGPT (OpenAI) to assist with drafting, language editing, proofing, survey web development, and Python scripting for results analysis. All outputs were reviewed and edited by the author, who takes full responsibility for the final manuscript and materials.</w:t>
      </w:r>
    </w:p>
    <w:p>
      <w:pPr>
        <w:pStyle w:val="Default"/>
        <w:spacing w:before="0" w:line="240" w:lineRule="auto"/>
        <w:rPr>
          <w:rStyle w:val="None"/>
          <w:rFonts w:ascii="Times Roman" w:cs="Times Roman" w:hAnsi="Times Roman" w:eastAsia="Times Roman"/>
          <w:outline w:val="0"/>
          <w:color w:val="808080"/>
          <w:u w:color="808080"/>
          <w14:textFill>
            <w14:solidFill>
              <w14:srgbClr w14:val="808080"/>
            </w14:solidFill>
          </w14:textFill>
        </w:rPr>
      </w:pPr>
    </w:p>
    <w:p>
      <w:pPr>
        <w:pStyle w:val="Default"/>
        <w:spacing w:before="0" w:after="299" w:line="240" w:lineRule="auto"/>
      </w:pPr>
      <w:r>
        <w:rPr>
          <w:rStyle w:val="None"/>
          <w:rFonts w:ascii="Arial Unicode MS" w:cs="Arial Unicode MS" w:hAnsi="Arial Unicode MS" w:eastAsia="Arial Unicode MS"/>
          <w:b w:val="0"/>
          <w:bCs w:val="0"/>
          <w:i w:val="0"/>
          <w:iCs w:val="0"/>
          <w:sz w:val="36"/>
          <w:szCs w:val="36"/>
        </w:rPr>
        <w:br w:type="page"/>
      </w:r>
    </w:p>
    <w:p>
      <w:pPr>
        <w:pStyle w:val="Default"/>
        <w:spacing w:before="0" w:after="299" w:line="240" w:lineRule="auto"/>
        <w:rPr>
          <w:rStyle w:val="None"/>
          <w:rFonts w:ascii="Times Roman" w:cs="Times Roman" w:hAnsi="Times Roman" w:eastAsia="Times Roman"/>
          <w:b w:val="1"/>
          <w:bCs w:val="1"/>
          <w:sz w:val="36"/>
          <w:szCs w:val="36"/>
        </w:rPr>
      </w:pPr>
      <w:r>
        <w:rPr>
          <w:rStyle w:val="None"/>
          <w:rFonts w:ascii="Times Roman" w:hAnsi="Times Roman"/>
          <w:b w:val="1"/>
          <w:bCs w:val="1"/>
          <w:sz w:val="36"/>
          <w:szCs w:val="36"/>
          <w:rtl w:val="0"/>
          <w:lang w:val="fr-FR"/>
        </w:rPr>
        <w:t>References</w:t>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Besada, J. L., Bisesi, E., Guichaoua, C. and Andreatta, M. 2024. The Tonnetz at First Sight: Cognitive Issues of Human-Computer Interaction with Pitch Spaces. </w:t>
      </w:r>
      <w:r>
        <w:rPr>
          <w:rStyle w:val="None"/>
          <w:rFonts w:ascii="Times Roman" w:hAnsi="Times Roman"/>
          <w:i w:val="1"/>
          <w:iCs w:val="1"/>
          <w:rtl w:val="0"/>
          <w:lang w:val="en-US"/>
        </w:rPr>
        <w:t>Music and Science</w:t>
      </w:r>
      <w:r>
        <w:rPr>
          <w:rStyle w:val="None"/>
          <w:rFonts w:ascii="Times Roman" w:hAnsi="Times Roman"/>
          <w:rtl w:val="0"/>
          <w:lang w:val="fr-FR"/>
        </w:rPr>
        <w:t xml:space="preserve"> 7: 20592043241246515.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"https://doi.org/10.1177/20592043241246515"</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https://doi.org/10.1177/20592043241246515</w:t>
      </w:r>
      <w:r>
        <w:rPr/>
        <w:fldChar w:fldCharType="end" w:fldLock="0"/>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Bolter, J. D. and Grusin, R. 1999. </w:t>
      </w:r>
      <w:r>
        <w:rPr>
          <w:rStyle w:val="None"/>
          <w:rFonts w:ascii="Times Roman" w:hAnsi="Times Roman"/>
          <w:i w:val="1"/>
          <w:iCs w:val="1"/>
          <w:rtl w:val="0"/>
          <w:lang w:val="en-US"/>
        </w:rPr>
        <w:t>Remediation: Understanding New Media</w:t>
      </w:r>
      <w:r>
        <w:rPr>
          <w:rStyle w:val="None"/>
          <w:rFonts w:ascii="Times Roman" w:hAnsi="Times Roman"/>
          <w:rtl w:val="0"/>
          <w:lang w:val="en-US"/>
        </w:rPr>
        <w:t>. Cambridge, MA: MIT Press.</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it-IT"/>
        </w:rPr>
        <w:t xml:space="preserve">Chiaramonte, A. 2024. </w:t>
      </w:r>
      <w:r>
        <w:rPr>
          <w:rStyle w:val="None"/>
          <w:rFonts w:ascii="Times Roman" w:hAnsi="Times Roman"/>
          <w:i w:val="1"/>
          <w:iCs w:val="1"/>
          <w:rtl w:val="0"/>
          <w:lang w:val="en-US"/>
        </w:rPr>
        <w:t>Intermedial Interference in Electroacoustic Audiovisual Composition: An Investigation into Combining, Integrating, and Fusing Sound and the Moving Image. A Portfolio of Audiovisual Compositions</w:t>
      </w:r>
      <w:r>
        <w:rPr>
          <w:rStyle w:val="None"/>
          <w:rFonts w:ascii="Times Roman" w:hAnsi="Times Roman"/>
          <w:rtl w:val="0"/>
          <w:lang w:val="en-US"/>
        </w:rPr>
        <w:t>. PhD thesis. Bournemouth University.</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it-IT"/>
        </w:rPr>
        <w:t xml:space="preserve">Chion, M. 1994. </w:t>
      </w:r>
      <w:r>
        <w:rPr>
          <w:rStyle w:val="None"/>
          <w:rFonts w:ascii="Times Roman" w:hAnsi="Times Roman"/>
          <w:i w:val="1"/>
          <w:iCs w:val="1"/>
          <w:rtl w:val="0"/>
          <w:lang w:val="en-US"/>
        </w:rPr>
        <w:t>Audio-Vision: Sound on Screen</w:t>
      </w:r>
      <w:r>
        <w:rPr>
          <w:rStyle w:val="None"/>
          <w:rFonts w:ascii="Times Roman" w:hAnsi="Times Roman"/>
          <w:rtl w:val="0"/>
          <w:lang w:val="en-US"/>
        </w:rPr>
        <w:t>. New York: Columbia University Press.</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Cohn, R. 1997. Neo-Riemannian Operations, Parsimonious Trichords, and Their Tonnetz Representations. </w:t>
      </w:r>
      <w:r>
        <w:rPr>
          <w:rStyle w:val="None"/>
          <w:rFonts w:ascii="Times Roman" w:hAnsi="Times Roman"/>
          <w:i w:val="1"/>
          <w:iCs w:val="1"/>
          <w:rtl w:val="0"/>
          <w:lang w:val="en-US"/>
        </w:rPr>
        <w:t>Journal of Music Theory</w:t>
      </w:r>
      <w:r>
        <w:rPr>
          <w:rStyle w:val="None"/>
          <w:rFonts w:ascii="Times Roman" w:hAnsi="Times Roman"/>
          <w:rtl w:val="0"/>
          <w:lang w:val="fr-FR"/>
        </w:rPr>
        <w:t xml:space="preserve"> 41(1): 1-66.</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nl-NL"/>
        </w:rPr>
        <w:t xml:space="preserve">Cook, N. 1998. </w:t>
      </w:r>
      <w:r>
        <w:rPr>
          <w:rStyle w:val="None"/>
          <w:rFonts w:ascii="Times Roman" w:hAnsi="Times Roman"/>
          <w:i w:val="1"/>
          <w:iCs w:val="1"/>
          <w:rtl w:val="0"/>
          <w:lang w:val="en-US"/>
        </w:rPr>
        <w:t>Analysing Musical Multimedia</w:t>
      </w:r>
      <w:r>
        <w:rPr>
          <w:rStyle w:val="None"/>
          <w:rFonts w:ascii="Times Roman" w:hAnsi="Times Roman"/>
          <w:rtl w:val="0"/>
          <w:lang w:val="it-IT"/>
        </w:rPr>
        <w:t>. Oxford: Clarendon Press.</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Didiot-Cook, T. 2025. Cellular Au-Tonnetz: A Unified Audio-Visual MIDI Generator Using Tonnetz, Cellular Automata, and IoT. In P. Machado, C. Johnson and I. Santos (eds.) </w:t>
      </w:r>
      <w:r>
        <w:rPr>
          <w:rStyle w:val="None"/>
          <w:rFonts w:ascii="Times Roman" w:hAnsi="Times Roman"/>
          <w:i w:val="1"/>
          <w:iCs w:val="1"/>
          <w:rtl w:val="0"/>
          <w:lang w:val="en-US"/>
        </w:rPr>
        <w:t>Artificial Intelligence in Music, Sound, Art and Design. EvoMUSART 2025</w:t>
      </w:r>
      <w:r>
        <w:rPr>
          <w:rStyle w:val="None"/>
          <w:rFonts w:ascii="Times Roman" w:hAnsi="Times Roman"/>
          <w:rtl w:val="0"/>
          <w:lang w:val="en-US"/>
        </w:rPr>
        <w:t xml:space="preserve">. Lecture Notes in Computer Science 15611. Cham: Springer, 51-65.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"https://doi.org/10.1007/978-3-031-90167-6_4"</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https://doi.org/10.1007/978-3-031-90167-6_4</w:t>
      </w:r>
      <w:r>
        <w:rPr/>
        <w:fldChar w:fldCharType="end" w:fldLock="0"/>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Douthett, J. and Steinbach, P. 1998. Parsimonious Graphs: A Study in Parsimony, Contextual Transformations, and Modes of Limited Transposition. </w:t>
      </w:r>
      <w:r>
        <w:rPr>
          <w:rStyle w:val="None"/>
          <w:rFonts w:ascii="Times Roman" w:hAnsi="Times Roman"/>
          <w:i w:val="1"/>
          <w:iCs w:val="1"/>
          <w:rtl w:val="0"/>
          <w:lang w:val="en-US"/>
        </w:rPr>
        <w:t>Journal of Music Theory</w:t>
      </w:r>
      <w:r>
        <w:rPr>
          <w:rStyle w:val="None"/>
          <w:rFonts w:ascii="Times Roman" w:hAnsi="Times Roman"/>
          <w:rtl w:val="0"/>
          <w:lang w:val="fr-FR"/>
        </w:rPr>
        <w:t xml:space="preserve"> 42(2): 241-263.</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fr-FR"/>
        </w:rPr>
        <w:t>Ellestr</w:t>
      </w:r>
      <w:r>
        <w:rPr>
          <w:rStyle w:val="None"/>
          <w:rFonts w:ascii="Times Roman" w:hAnsi="Times Roman" w:hint="default"/>
          <w:rtl w:val="0"/>
          <w:lang w:val="sv-SE"/>
        </w:rPr>
        <w:t>ö</w:t>
      </w:r>
      <w:r>
        <w:rPr>
          <w:rStyle w:val="None"/>
          <w:rFonts w:ascii="Times Roman" w:hAnsi="Times Roman"/>
          <w:rtl w:val="0"/>
          <w:lang w:val="en-US"/>
        </w:rPr>
        <w:t>m, L. 2010. The Modalities of Media: A Model for Understanding Intermedial Relations. In L. Ellestr</w:t>
      </w:r>
      <w:r>
        <w:rPr>
          <w:rStyle w:val="None"/>
          <w:rFonts w:ascii="Times Roman" w:hAnsi="Times Roman" w:hint="default"/>
          <w:rtl w:val="0"/>
          <w:lang w:val="sv-SE"/>
        </w:rPr>
        <w:t>ö</w:t>
      </w:r>
      <w:r>
        <w:rPr>
          <w:rStyle w:val="None"/>
          <w:rFonts w:ascii="Times Roman" w:hAnsi="Times Roman"/>
          <w:rtl w:val="0"/>
          <w:lang w:val="it-IT"/>
        </w:rPr>
        <w:t xml:space="preserve">m (ed.) </w:t>
      </w:r>
      <w:r>
        <w:rPr>
          <w:rStyle w:val="None"/>
          <w:rFonts w:ascii="Times Roman" w:hAnsi="Times Roman"/>
          <w:i w:val="1"/>
          <w:iCs w:val="1"/>
          <w:rtl w:val="0"/>
          <w:lang w:val="en-US"/>
        </w:rPr>
        <w:t>Media Borders, Multimodality and Intermediality</w:t>
      </w:r>
      <w:r>
        <w:rPr>
          <w:rStyle w:val="None"/>
          <w:rFonts w:ascii="Times Roman" w:hAnsi="Times Roman"/>
          <w:rtl w:val="0"/>
          <w:lang w:val="it-IT"/>
        </w:rPr>
        <w:t xml:space="preserve">. London: Palgrave Macmillan, 11-48.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"https://doi.org/10.1057/9780230275201_2"</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https://doi.org/10.1057/9780230275201_2</w:t>
      </w:r>
      <w:r>
        <w:rPr/>
        <w:fldChar w:fldCharType="end" w:fldLock="0"/>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Miranda, E. R. 2007. Cellular Automata Music: From Sound Synthesis to Musical Forms. In E. R. Miranda (ed.) </w:t>
      </w:r>
      <w:r>
        <w:rPr>
          <w:rStyle w:val="None"/>
          <w:rFonts w:ascii="Times Roman" w:hAnsi="Times Roman"/>
          <w:i w:val="1"/>
          <w:iCs w:val="1"/>
          <w:rtl w:val="0"/>
          <w:lang w:val="en-US"/>
        </w:rPr>
        <w:t>Evolutionary Computer Music</w:t>
      </w:r>
      <w:r>
        <w:rPr>
          <w:rStyle w:val="None"/>
          <w:rFonts w:ascii="Times Roman" w:hAnsi="Times Roman"/>
          <w:rtl w:val="0"/>
          <w:lang w:val="da-DK"/>
        </w:rPr>
        <w:t xml:space="preserve">. London: Springer, 170-193.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"https://doi.org/10.1007/978-1-84628-600-1_8"</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https://doi.org/10.1007/978-1-84628-600-1_8</w:t>
      </w:r>
      <w:r>
        <w:rPr/>
        <w:fldChar w:fldCharType="end" w:fldLock="0"/>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fr-FR"/>
        </w:rPr>
        <w:t>O</w:t>
      </w:r>
      <w:r>
        <w:rPr>
          <w:rStyle w:val="None"/>
          <w:rFonts w:ascii="Arial Unicode MS" w:hAnsi="Arial Unicode MS" w:hint="default"/>
          <w:rtl w:val="0"/>
          <w:lang w:val="fr-FR"/>
        </w:rPr>
        <w:t>’</w:t>
      </w:r>
      <w:r>
        <w:rPr>
          <w:rStyle w:val="None"/>
          <w:rFonts w:ascii="Times Roman" w:hAnsi="Times Roman"/>
          <w:rtl w:val="0"/>
          <w:lang w:val="en-US"/>
        </w:rPr>
        <w:t xml:space="preserve">Modhrain, S. 2011. A framework for the evaluation of digital musical instruments. </w:t>
      </w:r>
      <w:r>
        <w:rPr>
          <w:rStyle w:val="None"/>
          <w:rFonts w:ascii="Times Roman" w:hAnsi="Times Roman"/>
          <w:i w:val="1"/>
          <w:iCs w:val="1"/>
          <w:rtl w:val="0"/>
          <w:lang w:val="en-US"/>
        </w:rPr>
        <w:t>Computer Music Journal</w:t>
      </w:r>
      <w:r>
        <w:rPr>
          <w:rStyle w:val="None"/>
          <w:rFonts w:ascii="Times Roman" w:hAnsi="Times Roman"/>
          <w:rtl w:val="0"/>
          <w:lang w:val="fr-FR"/>
        </w:rPr>
        <w:t xml:space="preserve"> 35(1): 28-42.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"https://doi.org/10.1162/COMJ_a_00038"</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https://doi.org/10.1162/COMJ_a_00038</w:t>
      </w:r>
      <w:r>
        <w:rPr/>
        <w:fldChar w:fldCharType="end" w:fldLock="0"/>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Organised Sound. 2026. Call: Electroacoustic Audiovisual Composition and Intermediality: Reconceptualising media relationships. 15 January. Cambridge University Press.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"http://www.cambridge.org/core/journals/organised-sound/announcements/call-for-papers/call-electroacoustic-audiovisual-composition-and-intermediality-reconceptualising-media-relationships"</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www.cambridge.org/core/journals/organised-sound/announcements/call-for-papers/call-electroacoustic-audiovisual-composition-and-intermediality-reconceptualising-media-relationships</w:t>
      </w:r>
      <w:r>
        <w:rPr/>
        <w:fldChar w:fldCharType="end" w:fldLock="0"/>
      </w:r>
      <w:r>
        <w:rPr>
          <w:rStyle w:val="None"/>
          <w:rFonts w:ascii="Times Roman" w:hAnsi="Times Roman"/>
          <w:rtl w:val="0"/>
          <w:lang w:val="en-US"/>
        </w:rPr>
        <w:t xml:space="preserve"> (accessed 5</w:t>
      </w:r>
      <w:r>
        <w:rPr>
          <w:rStyle w:val="None"/>
          <w:rFonts w:ascii="Times Roman" w:hAnsi="Times Roman"/>
          <w:rtl w:val="0"/>
          <w:lang w:val="fr-FR"/>
        </w:rPr>
        <w:t xml:space="preserve"> </w:t>
      </w:r>
      <w:r>
        <w:rPr>
          <w:rStyle w:val="None"/>
          <w:rFonts w:ascii="Times Roman" w:hAnsi="Times Roman"/>
          <w:rtl w:val="0"/>
          <w:lang w:val="en-US"/>
        </w:rPr>
        <w:t>January</w:t>
      </w:r>
      <w:r>
        <w:rPr>
          <w:rStyle w:val="None"/>
          <w:rFonts w:ascii="Times Roman" w:hAnsi="Times Roman"/>
          <w:rtl w:val="0"/>
          <w:lang w:val="fr-FR"/>
        </w:rPr>
        <w:t xml:space="preserve"> 202</w:t>
      </w:r>
      <w:r>
        <w:rPr>
          <w:rStyle w:val="None"/>
          <w:rFonts w:ascii="Times Roman" w:hAnsi="Times Roman"/>
          <w:rtl w:val="0"/>
          <w:lang w:val="en-US"/>
        </w:rPr>
        <w:t>6</w:t>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rPr>
          <w:rStyle w:val="None"/>
          <w:rFonts w:ascii="Times Roman" w:cs="Times Roman" w:hAnsi="Times Roman" w:eastAsia="Times Roman"/>
        </w:rPr>
      </w:pPr>
      <w:r>
        <w:rPr>
          <w:rStyle w:val="None"/>
          <w:rFonts w:ascii="Times Roman" w:hAnsi="Times Roman"/>
          <w:rtl w:val="0"/>
          <w:lang w:val="en-US"/>
        </w:rPr>
        <w:t xml:space="preserve">Orio, N. and Wanderley, M. M. 2002. Evaluation of input devices for musical expression: borrowing tools from HCI. </w:t>
      </w:r>
      <w:r>
        <w:rPr>
          <w:rStyle w:val="None"/>
          <w:rFonts w:ascii="Times Roman" w:hAnsi="Times Roman"/>
          <w:i w:val="1"/>
          <w:iCs w:val="1"/>
          <w:rtl w:val="0"/>
          <w:lang w:val="en-US"/>
        </w:rPr>
        <w:t>Computer Music Journal</w:t>
      </w:r>
      <w:r>
        <w:rPr>
          <w:rStyle w:val="None"/>
          <w:rFonts w:ascii="Times Roman" w:hAnsi="Times Roman"/>
          <w:rtl w:val="0"/>
          <w:lang w:val="fr-FR"/>
        </w:rPr>
        <w:t xml:space="preserve"> 26(3): 62-76.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"https://doi.org/10.1162/014892602320582981"</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https://doi.org/10.1162/014892602320582981</w:t>
      </w:r>
      <w:r>
        <w:rPr/>
        <w:fldChar w:fldCharType="end" w:fldLock="0"/>
      </w:r>
      <w:r>
        <w:rPr>
          <w:rStyle w:val="None"/>
          <w:rFonts w:ascii="Times Roman" w:hAnsi="Times Roman"/>
          <w:rtl w:val="0"/>
          <w:lang w:val="fr-FR"/>
        </w:rPr>
        <w:t>.</w:t>
      </w:r>
    </w:p>
    <w:p>
      <w:pPr>
        <w:pStyle w:val="Default"/>
        <w:spacing w:before="0" w:after="240" w:line="240" w:lineRule="auto"/>
        <w:rPr>
          <w:rStyle w:val="None"/>
          <w:rFonts w:ascii="Times Roman" w:cs="Times Roman" w:hAnsi="Times Roman" w:eastAsia="Times Roman"/>
          <w:lang w:val="fr-FR"/>
        </w:rPr>
      </w:pPr>
      <w:r>
        <w:rPr>
          <w:rStyle w:val="None"/>
          <w:rFonts w:ascii="Times Roman" w:cs="Times Roman" w:hAnsi="Times Roman" w:eastAsia="Times Roman"/>
          <w:lang w:val="fr-FR"/>
        </w:rPr>
        <w:br w:type="textWrapping"/>
      </w:r>
      <w:r>
        <w:rPr>
          <w:rStyle w:val="None"/>
          <w:rFonts w:ascii="Times Roman" w:hAnsi="Times Roman"/>
          <w:rtl w:val="0"/>
          <w:lang w:val="en-US"/>
        </w:rPr>
        <w:t xml:space="preserve">Rajewsky, I. O. 2005. Intermediality, Intertextuality, and Remediation: A Literary Perspective on Intermediality. </w:t>
      </w:r>
      <w:r>
        <w:rPr>
          <w:rStyle w:val="None"/>
          <w:rFonts w:ascii="Times Roman" w:hAnsi="Times Roman"/>
          <w:i w:val="1"/>
          <w:iCs w:val="1"/>
          <w:rtl w:val="0"/>
          <w:lang w:val="fr-FR"/>
        </w:rPr>
        <w:t>Interm</w:t>
      </w:r>
      <w:r>
        <w:rPr>
          <w:rStyle w:val="None"/>
          <w:rFonts w:ascii="Times Roman" w:hAnsi="Times Roman" w:hint="default"/>
          <w:i w:val="1"/>
          <w:iCs w:val="1"/>
          <w:rtl w:val="0"/>
          <w:lang w:val="fr-FR"/>
        </w:rPr>
        <w:t>é</w:t>
      </w:r>
      <w:r>
        <w:rPr>
          <w:rStyle w:val="None"/>
          <w:rFonts w:ascii="Times Roman" w:hAnsi="Times Roman"/>
          <w:i w:val="1"/>
          <w:iCs w:val="1"/>
          <w:rtl w:val="0"/>
          <w:lang w:val="it-IT"/>
        </w:rPr>
        <w:t>dialit</w:t>
      </w:r>
      <w:r>
        <w:rPr>
          <w:rStyle w:val="None"/>
          <w:rFonts w:ascii="Times Roman" w:hAnsi="Times Roman" w:hint="default"/>
          <w:i w:val="1"/>
          <w:iCs w:val="1"/>
          <w:rtl w:val="0"/>
          <w:lang w:val="fr-FR"/>
        </w:rPr>
        <w:t>é</w:t>
      </w:r>
      <w:r>
        <w:rPr>
          <w:rStyle w:val="None"/>
          <w:rFonts w:ascii="Times Roman" w:hAnsi="Times Roman"/>
          <w:i w:val="1"/>
          <w:iCs w:val="1"/>
          <w:rtl w:val="0"/>
          <w:lang w:val="fr-FR"/>
        </w:rPr>
        <w:t>s</w:t>
      </w:r>
      <w:r>
        <w:rPr>
          <w:rStyle w:val="None"/>
          <w:rFonts w:ascii="Times Roman" w:hAnsi="Times Roman"/>
          <w:rtl w:val="0"/>
          <w:lang w:val="fr-FR"/>
        </w:rPr>
        <w:t xml:space="preserve"> 6: 43-64.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"https://doi.org/10.7202/1005505ar"</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https://doi.org/10.7202/1005505ar</w:t>
      </w:r>
      <w:r>
        <w:rPr/>
        <w:fldChar w:fldCharType="end" w:fldLock="0"/>
      </w:r>
      <w:r>
        <w:rPr>
          <w:rStyle w:val="None"/>
          <w:rFonts w:ascii="Times Roman" w:hAnsi="Times Roman"/>
          <w:rtl w:val="0"/>
          <w:lang w:val="fr-FR"/>
        </w:rPr>
        <w:t>.</w:t>
      </w:r>
      <w:r>
        <w:rPr>
          <w:rStyle w:val="None"/>
          <w:rFonts w:ascii="Times Roman" w:cs="Times Roman" w:hAnsi="Times Roman" w:eastAsia="Times Roman"/>
          <w:lang w:val="fr-FR"/>
        </w:rPr>
        <w:br w:type="textWrapping"/>
      </w:r>
    </w:p>
    <w:p>
      <w:pPr>
        <w:pStyle w:val="Default"/>
        <w:spacing w:before="0" w:after="240" w:line="240" w:lineRule="auto"/>
      </w:pPr>
      <w:r>
        <w:rPr>
          <w:rStyle w:val="None"/>
          <w:rFonts w:ascii="Times Roman" w:hAnsi="Times Roman"/>
          <w:rtl w:val="0"/>
          <w:lang w:val="it-IT"/>
        </w:rPr>
        <w:t xml:space="preserve">Spence, C. 2011. Crossmodal correspondences: A tutorial review. </w:t>
      </w:r>
      <w:r>
        <w:rPr>
          <w:rStyle w:val="None"/>
          <w:rFonts w:ascii="Times Roman" w:hAnsi="Times Roman"/>
          <w:i w:val="1"/>
          <w:iCs w:val="1"/>
          <w:rtl w:val="0"/>
          <w:lang w:val="en-US"/>
        </w:rPr>
        <w:t>Attention, Perception, and Psychophysics</w:t>
      </w:r>
      <w:r>
        <w:rPr>
          <w:rStyle w:val="None"/>
          <w:rFonts w:ascii="Times Roman" w:hAnsi="Times Roman"/>
          <w:rtl w:val="0"/>
          <w:lang w:val="fr-FR"/>
        </w:rPr>
        <w:t xml:space="preserve"> 73: 971-995. </w: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begin" w:fldLock="0"/>
      </w:r>
      <w:r>
        <w:rPr>
          <w:rStyle w:val="Hyperlink.1"/>
          <w:rFonts w:ascii="Times Roman" w:cs="Times Roman" w:hAnsi="Times Roman" w:eastAsia="Times Roman"/>
          <w:outline w:val="0"/>
          <w:color w:val="0000ee"/>
          <w:u w:val="single" w:color="0000ee"/>
          <w:lang w:val="en-US"/>
          <w14:textFill>
            <w14:solidFill>
              <w14:srgbClr w14:val="0000EE"/>
            </w14:solidFill>
          </w14:textFill>
        </w:rPr>
        <w:instrText xml:space="preserve"> HYPERLINK "https://doi.org/10.3758/s13414-010-0073-7"</w:instrText>
      </w:r>
      <w:r>
        <w:rPr>
          <w:rStyle w:val="Hyperlink.1"/>
          <w:rFonts w:ascii="Times Roman" w:cs="Times Roman" w:hAnsi="Times Roman" w:eastAsia="Times Roman"/>
          <w:outline w:val="0"/>
          <w:color w:val="0000ee"/>
          <w:u w:val="single" w:color="0000ee"/>
          <w:lang w:val="en-US"/>
          <w14:textFill>
            <w14:solidFill>
              <w14:srgbClr w14:val="0000EE"/>
            </w14:solidFill>
          </w14:textFill>
        </w:rPr>
        <w:fldChar w:fldCharType="separate" w:fldLock="0"/>
      </w:r>
      <w:r>
        <w:rPr>
          <w:rStyle w:val="Hyperlink.1"/>
          <w:rFonts w:ascii="Times Roman" w:hAnsi="Times Roman"/>
          <w:outline w:val="0"/>
          <w:color w:val="0000ee"/>
          <w:u w:val="single" w:color="0000ee"/>
          <w:rtl w:val="0"/>
          <w:lang w:val="en-US"/>
          <w14:textFill>
            <w14:solidFill>
              <w14:srgbClr w14:val="0000EE"/>
            </w14:solidFill>
          </w14:textFill>
        </w:rPr>
        <w:t>https://doi.org/10.3758/s13414-010-0073-7</w:t>
      </w:r>
      <w:r>
        <w:rPr/>
        <w:fldChar w:fldCharType="end" w:fldLock="0"/>
      </w:r>
      <w:r>
        <w:rPr>
          <w:rStyle w:val="None"/>
          <w:rFonts w:ascii="Times Roman" w:hAnsi="Times Roman"/>
          <w:rtl w:val="0"/>
          <w:lang w:val="fr-FR"/>
        </w:rPr>
        <w:t>.</w:t>
      </w:r>
    </w:p>
    <w:sectPr>
      <w:headerReference w:type="default" r:id="rId4"/>
      <w:footerReference w:type="default" r:id="rId5"/>
      <w:pgSz w:w="11900" w:h="16840"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7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1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3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60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82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204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26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480" w:hanging="500"/>
      </w:pPr>
      <w:rPr>
        <w:rFonts w:ascii="Times Roman" w:cs="Times Roman" w:hAnsi="Times Roman" w:eastAsia="Times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Numbered"/>
  </w:abstractNum>
  <w:abstractNum w:abstractNumId="3">
    <w:multiLevelType w:val="hybridMultilevel"/>
    <w:styleLink w:val="Numbered"/>
    <w:lvl w:ilvl="0">
      <w:start w:val="1"/>
      <w:numFmt w:val="decimal"/>
      <w:suff w:val="tab"/>
      <w:lvlText w:val="%1."/>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0"/>
    <w:lvlOverride w:ilvl="0">
      <w:lvl w:ilvl="0">
        <w:start w:val="1"/>
        <w:numFmt w:val="bullet"/>
        <w:suff w:val="tab"/>
        <w:lvlText w:val="•"/>
        <w:lvlJc w:val="left"/>
        <w:pPr>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9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1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3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60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8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204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26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48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 w:type="numbering" w:styleId="Numbered">
    <w:name w:val="Numbered"/>
    <w:pPr>
      <w:numPr>
        <w:numId w:val="3"/>
      </w:numPr>
    </w:pPr>
  </w:style>
  <w:style w:type="character" w:styleId="None A">
    <w:name w:val="None A"/>
  </w:style>
  <w:style w:type="character" w:styleId="None">
    <w:name w:val="None"/>
  </w:style>
  <w:style w:type="character" w:styleId="Hyperlink.0">
    <w:name w:val="Hyperlink.0"/>
    <w:basedOn w:val="None"/>
    <w:next w:val="Hyperlink.0"/>
    <w:rPr>
      <w:rFonts w:ascii="Times Roman" w:cs="Times Roman" w:hAnsi="Times Roman" w:eastAsia="Times Roman"/>
      <w:u w:val="single"/>
      <w:lang w:val="en-US"/>
    </w:rPr>
  </w:style>
  <w:style w:type="character" w:styleId="Hyperlink.1">
    <w:name w:val="Hyperlink.1"/>
    <w:basedOn w:val="None"/>
    <w:next w:val="Hyperlink.1"/>
    <w:rPr>
      <w:rFonts w:ascii="Times Roman" w:cs="Times Roman" w:hAnsi="Times Roman" w:eastAsia="Times Roman"/>
      <w:outline w:val="0"/>
      <w:color w:val="0000ee"/>
      <w:u w:val="single" w:color="0000ee"/>
      <w:lang w:val="en-US"/>
      <w14:textFill>
        <w14:solidFill>
          <w14:srgbClr w14:val="0000EE"/>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A7A7A7"/>
      </a:dk2>
      <a:lt2>
        <a:srgbClr val="535353"/>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50800" tIns="50800" rIns="50800" bIns="50800"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