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D4B6E4">
      <w:pPr>
        <w:spacing w:line="480" w:lineRule="exact"/>
        <w:ind w:firstLine="0" w:firstLineChars="0"/>
        <w:rPr>
          <w:b/>
          <w:bCs/>
          <w:kern w:val="2"/>
        </w:rPr>
      </w:pPr>
      <w:bookmarkStart w:id="0" w:name="_Toc487102575"/>
      <w:r>
        <w:rPr>
          <w:b/>
          <w:bCs/>
          <w:kern w:val="2"/>
        </w:rPr>
        <w:t>中图分类号：</w:t>
      </w:r>
      <w:r>
        <w:rPr>
          <w:rFonts w:hint="eastAsia"/>
          <w:b/>
          <w:bCs/>
          <w:kern w:val="2"/>
          <w:lang w:val="en-US" w:eastAsia="zh-CN"/>
        </w:rPr>
        <w:t xml:space="preserve">TP181       </w:t>
      </w:r>
      <w:r>
        <w:rPr>
          <w:b/>
          <w:bCs/>
          <w:kern w:val="2"/>
        </w:rPr>
        <w:t xml:space="preserve">                </w:t>
      </w:r>
      <w:r>
        <w:rPr>
          <w:rFonts w:hint="eastAsia"/>
          <w:b/>
          <w:bCs/>
          <w:kern w:val="2"/>
        </w:rPr>
        <w:t xml:space="preserve">                                          </w:t>
      </w:r>
      <w:r>
        <w:rPr>
          <w:b/>
          <w:bCs/>
          <w:kern w:val="2"/>
        </w:rPr>
        <w:t>学校代码：</w:t>
      </w:r>
      <w:bookmarkEnd w:id="0"/>
      <w:r>
        <w:rPr>
          <w:b/>
          <w:bCs/>
          <w:kern w:val="2"/>
        </w:rPr>
        <w:t>10621</w:t>
      </w:r>
    </w:p>
    <w:p w14:paraId="4CCBBFDA">
      <w:pPr>
        <w:spacing w:line="480" w:lineRule="exact"/>
        <w:ind w:firstLine="0" w:firstLineChars="0"/>
        <w:rPr>
          <w:kern w:val="2"/>
          <w:sz w:val="18"/>
        </w:rPr>
      </w:pPr>
      <w:r>
        <w:rPr>
          <w:b/>
          <w:bCs/>
          <w:kern w:val="2"/>
        </w:rPr>
        <w:t>UDC分类号：</w:t>
      </w:r>
      <w:r>
        <w:rPr>
          <w:rFonts w:hint="eastAsia"/>
          <w:b/>
          <w:bCs/>
          <w:kern w:val="2"/>
          <w:lang w:val="en-US" w:eastAsia="zh-CN"/>
        </w:rPr>
        <w:t>621.822</w:t>
      </w:r>
      <w:r>
        <w:rPr>
          <w:b/>
          <w:bCs/>
          <w:kern w:val="2"/>
        </w:rPr>
        <w:t xml:space="preserve">           </w:t>
      </w:r>
      <w:bookmarkStart w:id="202" w:name="_GoBack"/>
      <w:bookmarkEnd w:id="202"/>
      <w:r>
        <w:rPr>
          <w:b/>
          <w:bCs/>
          <w:kern w:val="2"/>
        </w:rPr>
        <w:t xml:space="preserve">         </w:t>
      </w:r>
      <w:r>
        <w:rPr>
          <w:rFonts w:hint="eastAsia"/>
          <w:b/>
          <w:bCs/>
          <w:kern w:val="2"/>
        </w:rPr>
        <w:t xml:space="preserve">                                          </w:t>
      </w:r>
      <w:r>
        <w:rPr>
          <w:b/>
          <w:bCs/>
          <w:kern w:val="2"/>
        </w:rPr>
        <w:t>密级：公开</w:t>
      </w:r>
    </w:p>
    <w:p w14:paraId="0361F51A">
      <w:pPr>
        <w:spacing w:line="480" w:lineRule="exact"/>
        <w:ind w:firstLine="0" w:firstLineChars="0"/>
        <w:jc w:val="center"/>
        <w:rPr>
          <w:rFonts w:eastAsia="黑体"/>
          <w:spacing w:val="140"/>
          <w:kern w:val="2"/>
          <w:sz w:val="44"/>
        </w:rPr>
      </w:pPr>
    </w:p>
    <w:p w14:paraId="3B075FF3">
      <w:pPr>
        <w:spacing w:line="240" w:lineRule="auto"/>
        <w:ind w:firstLine="0" w:firstLineChars="0"/>
        <w:jc w:val="center"/>
        <w:rPr>
          <w:rFonts w:eastAsia="黑体"/>
          <w:b/>
          <w:spacing w:val="140"/>
          <w:kern w:val="2"/>
          <w:sz w:val="44"/>
        </w:rPr>
      </w:pPr>
      <w:r>
        <w:rPr>
          <w:rFonts w:eastAsia="黑体"/>
          <w:b/>
          <w:spacing w:val="140"/>
          <w:kern w:val="2"/>
          <w:sz w:val="44"/>
        </w:rPr>
        <w:t>成都信息工程大学</w:t>
      </w:r>
    </w:p>
    <w:p w14:paraId="10F73589">
      <w:pPr>
        <w:spacing w:line="240" w:lineRule="auto"/>
        <w:ind w:firstLine="0" w:firstLineChars="0"/>
        <w:jc w:val="center"/>
        <w:rPr>
          <w:rFonts w:eastAsia="黑体"/>
          <w:b/>
          <w:spacing w:val="140"/>
          <w:kern w:val="2"/>
          <w:sz w:val="44"/>
        </w:rPr>
      </w:pPr>
      <w:r>
        <w:rPr>
          <w:rFonts w:eastAsia="黑体"/>
          <w:b/>
          <w:spacing w:val="140"/>
          <w:kern w:val="2"/>
          <w:sz w:val="44"/>
        </w:rPr>
        <w:t>学士学位论文</w:t>
      </w:r>
    </w:p>
    <w:p w14:paraId="50EFCA5F">
      <w:pPr>
        <w:spacing w:line="240" w:lineRule="auto"/>
        <w:ind w:firstLine="0" w:firstLineChars="0"/>
        <w:jc w:val="center"/>
        <w:rPr>
          <w:rFonts w:eastAsia="黑体"/>
          <w:spacing w:val="140"/>
          <w:kern w:val="2"/>
          <w:sz w:val="44"/>
        </w:rPr>
      </w:pPr>
    </w:p>
    <w:p w14:paraId="7FA92DBE">
      <w:pPr>
        <w:spacing w:line="240" w:lineRule="auto"/>
        <w:ind w:firstLine="0" w:firstLineChars="0"/>
        <w:rPr>
          <w:b/>
          <w:bCs/>
          <w:kern w:val="2"/>
          <w:sz w:val="32"/>
          <w:szCs w:val="32"/>
        </w:rPr>
      </w:pPr>
    </w:p>
    <w:p w14:paraId="3776E1D9">
      <w:pPr>
        <w:spacing w:line="240" w:lineRule="auto"/>
        <w:ind w:firstLine="0" w:firstLineChars="0"/>
        <w:jc w:val="center"/>
        <w:rPr>
          <w:b/>
          <w:bCs/>
          <w:kern w:val="2"/>
          <w:sz w:val="32"/>
        </w:rPr>
      </w:pPr>
      <w:r>
        <w:rPr>
          <w:b/>
          <w:bCs/>
          <w:kern w:val="2"/>
          <w:sz w:val="32"/>
        </w:rPr>
        <w:t>基于SE-ResNet的滚动轴承剩余寿命预测</w:t>
      </w:r>
    </w:p>
    <w:p w14:paraId="62F21A83">
      <w:pPr>
        <w:spacing w:line="240" w:lineRule="auto"/>
        <w:ind w:firstLine="0" w:firstLineChars="0"/>
        <w:jc w:val="center"/>
        <w:rPr>
          <w:b/>
          <w:bCs/>
          <w:kern w:val="2"/>
          <w:sz w:val="32"/>
        </w:rPr>
      </w:pPr>
      <w:r>
        <w:rPr>
          <w:b/>
          <w:bCs/>
          <w:kern w:val="2"/>
          <w:sz w:val="32"/>
        </w:rPr>
        <w:t>——XJTU-SY数据集的多工况验证</w:t>
      </w:r>
    </w:p>
    <w:p w14:paraId="3DB652F6">
      <w:pPr>
        <w:spacing w:line="240" w:lineRule="auto"/>
        <w:ind w:firstLine="0" w:firstLineChars="0"/>
        <w:jc w:val="center"/>
        <w:rPr>
          <w:b/>
          <w:bCs/>
          <w:kern w:val="2"/>
          <w:sz w:val="32"/>
        </w:rPr>
      </w:pPr>
      <w:r>
        <w:rPr>
          <w:b/>
          <w:bCs/>
          <w:kern w:val="2"/>
          <w:sz w:val="32"/>
        </w:rPr>
        <w:t>RUL Prediction of Rolling Bearings Based on SE-ResNet</w:t>
      </w:r>
    </w:p>
    <w:p w14:paraId="01EBFD62">
      <w:pPr>
        <w:spacing w:line="240" w:lineRule="auto"/>
        <w:ind w:firstLine="0" w:firstLineChars="0"/>
        <w:jc w:val="center"/>
        <w:rPr>
          <w:b/>
          <w:bCs/>
          <w:kern w:val="2"/>
          <w:sz w:val="32"/>
        </w:rPr>
      </w:pPr>
      <w:r>
        <w:rPr>
          <w:b/>
          <w:bCs/>
          <w:kern w:val="2"/>
          <w:sz w:val="32"/>
        </w:rPr>
        <w:t xml:space="preserve"> — Multi-Operating Condition Validation </w:t>
      </w:r>
    </w:p>
    <w:p w14:paraId="2D26B2AE">
      <w:pPr>
        <w:spacing w:line="240" w:lineRule="auto"/>
        <w:ind w:firstLine="0" w:firstLineChars="0"/>
        <w:jc w:val="center"/>
        <w:rPr>
          <w:b/>
          <w:bCs/>
          <w:kern w:val="2"/>
          <w:sz w:val="32"/>
        </w:rPr>
      </w:pPr>
      <w:r>
        <w:rPr>
          <w:b/>
          <w:bCs/>
          <w:kern w:val="2"/>
          <w:sz w:val="32"/>
        </w:rPr>
        <w:t>on XJTU-SY Dataset</w:t>
      </w:r>
    </w:p>
    <w:p w14:paraId="1055BCE5">
      <w:pPr>
        <w:spacing w:line="240" w:lineRule="auto"/>
        <w:ind w:firstLine="0" w:firstLineChars="0"/>
        <w:jc w:val="center"/>
        <w:rPr>
          <w:b/>
          <w:bCs/>
          <w:kern w:val="2"/>
          <w:sz w:val="32"/>
        </w:rPr>
      </w:pPr>
    </w:p>
    <w:tbl>
      <w:tblPr>
        <w:tblStyle w:val="21"/>
        <w:tblW w:w="0" w:type="auto"/>
        <w:jc w:val="center"/>
        <w:tblLayout w:type="fixed"/>
        <w:tblCellMar>
          <w:top w:w="0" w:type="dxa"/>
          <w:left w:w="108" w:type="dxa"/>
          <w:bottom w:w="0" w:type="dxa"/>
          <w:right w:w="108" w:type="dxa"/>
        </w:tblCellMar>
      </w:tblPr>
      <w:tblGrid>
        <w:gridCol w:w="2002"/>
        <w:gridCol w:w="3609"/>
      </w:tblGrid>
      <w:tr w14:paraId="6A47D208">
        <w:trPr>
          <w:trHeight w:val="630" w:hRule="atLeast"/>
          <w:jc w:val="center"/>
        </w:trPr>
        <w:tc>
          <w:tcPr>
            <w:tcW w:w="2002" w:type="dxa"/>
            <w:vAlign w:val="center"/>
          </w:tcPr>
          <w:p w14:paraId="19E1148E">
            <w:pPr>
              <w:ind w:firstLine="0" w:firstLineChars="0"/>
              <w:jc w:val="distribute"/>
              <w:rPr>
                <w:rFonts w:eastAsia="仿宋_GB2312"/>
                <w:kern w:val="2"/>
                <w:sz w:val="28"/>
                <w:szCs w:val="28"/>
              </w:rPr>
            </w:pPr>
            <w:r>
              <w:rPr>
                <w:rFonts w:eastAsia="仿宋_GB2312"/>
                <w:kern w:val="2"/>
                <w:sz w:val="28"/>
                <w:szCs w:val="28"/>
              </w:rPr>
              <w:t>姓名</w:t>
            </w:r>
          </w:p>
        </w:tc>
        <w:tc>
          <w:tcPr>
            <w:tcW w:w="3609" w:type="dxa"/>
            <w:tcBorders>
              <w:bottom w:val="single" w:color="auto" w:sz="4" w:space="0"/>
            </w:tcBorders>
            <w:vAlign w:val="center"/>
          </w:tcPr>
          <w:p w14:paraId="7DBDB3EE">
            <w:pPr>
              <w:ind w:firstLine="140" w:firstLineChars="50"/>
              <w:jc w:val="center"/>
              <w:rPr>
                <w:rFonts w:eastAsia="仿宋_GB2312"/>
                <w:kern w:val="2"/>
                <w:sz w:val="28"/>
                <w:szCs w:val="28"/>
              </w:rPr>
            </w:pPr>
            <w:r>
              <w:rPr>
                <w:rFonts w:eastAsia="仿宋_GB2312"/>
                <w:kern w:val="2"/>
                <w:sz w:val="28"/>
                <w:szCs w:val="28"/>
              </w:rPr>
              <w:t>滕</w:t>
            </w:r>
            <w:r>
              <w:rPr>
                <w:rFonts w:eastAsia="微软雅黑"/>
                <w:kern w:val="2"/>
                <w:sz w:val="28"/>
                <w:szCs w:val="28"/>
              </w:rPr>
              <w:t>燈</w:t>
            </w:r>
          </w:p>
        </w:tc>
      </w:tr>
      <w:tr w14:paraId="3CC5EDBF">
        <w:tblPrEx>
          <w:tblCellMar>
            <w:top w:w="0" w:type="dxa"/>
            <w:left w:w="108" w:type="dxa"/>
            <w:bottom w:w="0" w:type="dxa"/>
            <w:right w:w="108" w:type="dxa"/>
          </w:tblCellMar>
        </w:tblPrEx>
        <w:trPr>
          <w:trHeight w:val="630" w:hRule="atLeast"/>
          <w:jc w:val="center"/>
        </w:trPr>
        <w:tc>
          <w:tcPr>
            <w:tcW w:w="2002" w:type="dxa"/>
            <w:vAlign w:val="center"/>
          </w:tcPr>
          <w:p w14:paraId="2F498D17">
            <w:pPr>
              <w:ind w:firstLine="0" w:firstLineChars="0"/>
              <w:jc w:val="distribute"/>
              <w:rPr>
                <w:rFonts w:eastAsia="仿宋_GB2312"/>
                <w:kern w:val="2"/>
                <w:sz w:val="28"/>
                <w:szCs w:val="28"/>
              </w:rPr>
            </w:pPr>
            <w:r>
              <w:rPr>
                <w:rFonts w:eastAsia="仿宋_GB2312"/>
                <w:kern w:val="2"/>
                <w:sz w:val="28"/>
                <w:szCs w:val="28"/>
              </w:rPr>
              <w:t>学号</w:t>
            </w:r>
          </w:p>
        </w:tc>
        <w:tc>
          <w:tcPr>
            <w:tcW w:w="3609" w:type="dxa"/>
            <w:tcBorders>
              <w:top w:val="single" w:color="auto" w:sz="4" w:space="0"/>
              <w:bottom w:val="single" w:color="auto" w:sz="4" w:space="0"/>
            </w:tcBorders>
            <w:vAlign w:val="center"/>
          </w:tcPr>
          <w:p w14:paraId="420111B3">
            <w:pPr>
              <w:ind w:firstLine="0" w:firstLineChars="0"/>
              <w:jc w:val="center"/>
              <w:rPr>
                <w:rFonts w:eastAsia="仿宋_GB2312"/>
                <w:kern w:val="2"/>
                <w:sz w:val="28"/>
                <w:szCs w:val="28"/>
              </w:rPr>
            </w:pPr>
            <w:r>
              <w:rPr>
                <w:rFonts w:eastAsia="仿宋_GB2312"/>
                <w:kern w:val="2"/>
                <w:sz w:val="28"/>
                <w:szCs w:val="28"/>
              </w:rPr>
              <w:t>20222</w:t>
            </w:r>
            <w:r>
              <w:rPr>
                <w:rFonts w:hint="eastAsia" w:eastAsia="仿宋_GB2312"/>
                <w:kern w:val="2"/>
                <w:sz w:val="28"/>
                <w:szCs w:val="28"/>
                <w:lang w:val="en-US" w:eastAsia="zh-CN"/>
              </w:rPr>
              <w:t>0</w:t>
            </w:r>
            <w:r>
              <w:rPr>
                <w:rFonts w:eastAsia="仿宋_GB2312"/>
                <w:kern w:val="2"/>
                <w:sz w:val="28"/>
                <w:szCs w:val="28"/>
              </w:rPr>
              <w:t>1071</w:t>
            </w:r>
          </w:p>
        </w:tc>
      </w:tr>
      <w:tr w14:paraId="4408FC7E">
        <w:tblPrEx>
          <w:tblCellMar>
            <w:top w:w="0" w:type="dxa"/>
            <w:left w:w="108" w:type="dxa"/>
            <w:bottom w:w="0" w:type="dxa"/>
            <w:right w:w="108" w:type="dxa"/>
          </w:tblCellMar>
        </w:tblPrEx>
        <w:trPr>
          <w:trHeight w:val="630" w:hRule="atLeast"/>
          <w:jc w:val="center"/>
        </w:trPr>
        <w:tc>
          <w:tcPr>
            <w:tcW w:w="2002" w:type="dxa"/>
            <w:vAlign w:val="center"/>
          </w:tcPr>
          <w:p w14:paraId="20543B92">
            <w:pPr>
              <w:ind w:firstLine="0" w:firstLineChars="0"/>
              <w:jc w:val="distribute"/>
              <w:rPr>
                <w:rFonts w:eastAsia="仿宋_GB2312"/>
                <w:kern w:val="2"/>
                <w:sz w:val="28"/>
                <w:szCs w:val="28"/>
              </w:rPr>
            </w:pPr>
            <w:r>
              <w:rPr>
                <w:rFonts w:eastAsia="仿宋_GB2312"/>
                <w:kern w:val="2"/>
                <w:sz w:val="28"/>
                <w:szCs w:val="28"/>
              </w:rPr>
              <w:t>学院</w:t>
            </w:r>
          </w:p>
        </w:tc>
        <w:tc>
          <w:tcPr>
            <w:tcW w:w="3609" w:type="dxa"/>
            <w:tcBorders>
              <w:top w:val="single" w:color="auto" w:sz="4" w:space="0"/>
              <w:bottom w:val="single" w:color="auto" w:sz="4" w:space="0"/>
            </w:tcBorders>
            <w:vAlign w:val="center"/>
          </w:tcPr>
          <w:p w14:paraId="57E68B44">
            <w:pPr>
              <w:ind w:firstLine="0" w:firstLineChars="0"/>
              <w:jc w:val="center"/>
              <w:rPr>
                <w:rFonts w:eastAsia="仿宋_GB2312"/>
                <w:kern w:val="2"/>
                <w:sz w:val="28"/>
                <w:szCs w:val="28"/>
              </w:rPr>
            </w:pPr>
            <w:r>
              <w:rPr>
                <w:rFonts w:eastAsia="仿宋_GB2312"/>
                <w:kern w:val="2"/>
                <w:sz w:val="28"/>
                <w:szCs w:val="28"/>
              </w:rPr>
              <w:t>统计学院</w:t>
            </w:r>
          </w:p>
        </w:tc>
      </w:tr>
      <w:tr w14:paraId="4D9CEBA5">
        <w:tblPrEx>
          <w:tblCellMar>
            <w:top w:w="0" w:type="dxa"/>
            <w:left w:w="108" w:type="dxa"/>
            <w:bottom w:w="0" w:type="dxa"/>
            <w:right w:w="108" w:type="dxa"/>
          </w:tblCellMar>
        </w:tblPrEx>
        <w:trPr>
          <w:trHeight w:val="630" w:hRule="atLeast"/>
          <w:jc w:val="center"/>
        </w:trPr>
        <w:tc>
          <w:tcPr>
            <w:tcW w:w="2002" w:type="dxa"/>
            <w:vAlign w:val="center"/>
          </w:tcPr>
          <w:p w14:paraId="6B4B75A4">
            <w:pPr>
              <w:ind w:firstLine="0" w:firstLineChars="0"/>
              <w:jc w:val="distribute"/>
              <w:rPr>
                <w:rFonts w:eastAsia="仿宋_GB2312"/>
                <w:kern w:val="2"/>
                <w:sz w:val="28"/>
                <w:szCs w:val="28"/>
              </w:rPr>
            </w:pPr>
            <w:r>
              <w:rPr>
                <w:rFonts w:eastAsia="仿宋_GB2312"/>
                <w:kern w:val="2"/>
                <w:sz w:val="28"/>
                <w:szCs w:val="28"/>
              </w:rPr>
              <w:t>专业</w:t>
            </w:r>
          </w:p>
        </w:tc>
        <w:tc>
          <w:tcPr>
            <w:tcW w:w="3609" w:type="dxa"/>
            <w:tcBorders>
              <w:top w:val="single" w:color="auto" w:sz="4" w:space="0"/>
              <w:bottom w:val="single" w:color="auto" w:sz="4" w:space="0"/>
            </w:tcBorders>
            <w:vAlign w:val="center"/>
          </w:tcPr>
          <w:p w14:paraId="240F0AEF">
            <w:pPr>
              <w:ind w:firstLine="140" w:firstLineChars="50"/>
              <w:jc w:val="center"/>
              <w:rPr>
                <w:rFonts w:eastAsia="仿宋_GB2312"/>
                <w:kern w:val="2"/>
                <w:sz w:val="28"/>
                <w:szCs w:val="28"/>
              </w:rPr>
            </w:pPr>
            <w:r>
              <w:rPr>
                <w:rFonts w:eastAsia="仿宋_GB2312"/>
                <w:kern w:val="2"/>
                <w:sz w:val="28"/>
                <w:szCs w:val="28"/>
              </w:rPr>
              <w:t>统计学</w:t>
            </w:r>
          </w:p>
        </w:tc>
      </w:tr>
      <w:tr w14:paraId="3F980EE2">
        <w:tblPrEx>
          <w:tblCellMar>
            <w:top w:w="0" w:type="dxa"/>
            <w:left w:w="108" w:type="dxa"/>
            <w:bottom w:w="0" w:type="dxa"/>
            <w:right w:w="108" w:type="dxa"/>
          </w:tblCellMar>
        </w:tblPrEx>
        <w:trPr>
          <w:trHeight w:val="630" w:hRule="atLeast"/>
          <w:jc w:val="center"/>
        </w:trPr>
        <w:tc>
          <w:tcPr>
            <w:tcW w:w="2002" w:type="dxa"/>
            <w:vAlign w:val="center"/>
          </w:tcPr>
          <w:p w14:paraId="3B46B314">
            <w:pPr>
              <w:ind w:firstLine="0" w:firstLineChars="0"/>
              <w:jc w:val="distribute"/>
              <w:rPr>
                <w:rFonts w:eastAsia="仿宋_GB2312"/>
                <w:kern w:val="2"/>
                <w:sz w:val="28"/>
                <w:szCs w:val="28"/>
              </w:rPr>
            </w:pPr>
            <w:r>
              <w:rPr>
                <w:rFonts w:eastAsia="仿宋_GB2312"/>
                <w:kern w:val="2"/>
                <w:sz w:val="28"/>
                <w:szCs w:val="28"/>
              </w:rPr>
              <w:t>研究方向</w:t>
            </w:r>
          </w:p>
        </w:tc>
        <w:tc>
          <w:tcPr>
            <w:tcW w:w="3609" w:type="dxa"/>
            <w:tcBorders>
              <w:top w:val="single" w:color="auto" w:sz="4" w:space="0"/>
              <w:bottom w:val="single" w:color="auto" w:sz="4" w:space="0"/>
            </w:tcBorders>
            <w:vAlign w:val="center"/>
          </w:tcPr>
          <w:p w14:paraId="3515E34B">
            <w:pPr>
              <w:ind w:firstLine="0" w:firstLineChars="0"/>
              <w:jc w:val="center"/>
              <w:rPr>
                <w:rFonts w:eastAsia="仿宋_GB2312"/>
                <w:kern w:val="2"/>
                <w:sz w:val="28"/>
                <w:szCs w:val="28"/>
              </w:rPr>
            </w:pPr>
            <w:r>
              <w:rPr>
                <w:rFonts w:eastAsia="仿宋_GB2312"/>
                <w:kern w:val="2"/>
                <w:sz w:val="28"/>
                <w:szCs w:val="28"/>
              </w:rPr>
              <w:t>机器学习</w:t>
            </w:r>
          </w:p>
        </w:tc>
      </w:tr>
      <w:tr w14:paraId="4FD76329">
        <w:tblPrEx>
          <w:tblCellMar>
            <w:top w:w="0" w:type="dxa"/>
            <w:left w:w="108" w:type="dxa"/>
            <w:bottom w:w="0" w:type="dxa"/>
            <w:right w:w="108" w:type="dxa"/>
          </w:tblCellMar>
        </w:tblPrEx>
        <w:trPr>
          <w:trHeight w:val="630" w:hRule="atLeast"/>
          <w:jc w:val="center"/>
        </w:trPr>
        <w:tc>
          <w:tcPr>
            <w:tcW w:w="2002" w:type="dxa"/>
            <w:vAlign w:val="center"/>
          </w:tcPr>
          <w:p w14:paraId="45717DFA">
            <w:pPr>
              <w:ind w:firstLine="0" w:firstLineChars="0"/>
              <w:jc w:val="distribute"/>
              <w:rPr>
                <w:rFonts w:eastAsia="仿宋_GB2312"/>
                <w:kern w:val="2"/>
                <w:sz w:val="28"/>
                <w:szCs w:val="28"/>
              </w:rPr>
            </w:pPr>
            <w:r>
              <w:rPr>
                <w:rFonts w:eastAsia="仿宋_GB2312"/>
                <w:kern w:val="2"/>
                <w:sz w:val="28"/>
                <w:szCs w:val="28"/>
              </w:rPr>
              <w:t>指导教师</w:t>
            </w:r>
          </w:p>
        </w:tc>
        <w:tc>
          <w:tcPr>
            <w:tcW w:w="3609" w:type="dxa"/>
            <w:tcBorders>
              <w:top w:val="single" w:color="auto" w:sz="4" w:space="0"/>
              <w:bottom w:val="single" w:color="auto" w:sz="4" w:space="0"/>
            </w:tcBorders>
            <w:vAlign w:val="center"/>
          </w:tcPr>
          <w:p w14:paraId="3740BF9D">
            <w:pPr>
              <w:ind w:firstLine="0" w:firstLineChars="0"/>
              <w:jc w:val="center"/>
              <w:rPr>
                <w:rFonts w:eastAsia="仿宋_GB2312"/>
                <w:color w:val="C0C0C0"/>
                <w:kern w:val="2"/>
                <w:sz w:val="28"/>
                <w:szCs w:val="28"/>
              </w:rPr>
            </w:pPr>
            <w:r>
              <w:rPr>
                <w:rFonts w:eastAsia="仿宋_GB2312"/>
                <w:kern w:val="2"/>
                <w:sz w:val="28"/>
                <w:szCs w:val="28"/>
              </w:rPr>
              <w:t>刘锦扬</w:t>
            </w:r>
            <w:r>
              <w:rPr>
                <w:rFonts w:eastAsia="仿宋_GB2312"/>
                <w:color w:val="C0C0C0"/>
                <w:kern w:val="2"/>
                <w:sz w:val="28"/>
                <w:szCs w:val="28"/>
              </w:rPr>
              <w:t xml:space="preserve">    </w:t>
            </w:r>
            <w:r>
              <w:rPr>
                <w:rFonts w:eastAsia="仿宋_GB2312"/>
                <w:kern w:val="2"/>
                <w:sz w:val="28"/>
                <w:szCs w:val="28"/>
              </w:rPr>
              <w:t>讲师</w:t>
            </w:r>
          </w:p>
        </w:tc>
      </w:tr>
      <w:tr w14:paraId="1667FBFA">
        <w:tblPrEx>
          <w:tblCellMar>
            <w:top w:w="0" w:type="dxa"/>
            <w:left w:w="108" w:type="dxa"/>
            <w:bottom w:w="0" w:type="dxa"/>
            <w:right w:w="108" w:type="dxa"/>
          </w:tblCellMar>
        </w:tblPrEx>
        <w:trPr>
          <w:trHeight w:val="630" w:hRule="atLeast"/>
          <w:jc w:val="center"/>
        </w:trPr>
        <w:tc>
          <w:tcPr>
            <w:tcW w:w="2002" w:type="dxa"/>
            <w:vAlign w:val="center"/>
          </w:tcPr>
          <w:p w14:paraId="65AAE6C6">
            <w:pPr>
              <w:ind w:firstLine="0" w:firstLineChars="0"/>
              <w:jc w:val="distribute"/>
              <w:rPr>
                <w:rFonts w:eastAsia="仿宋_GB2312"/>
                <w:kern w:val="2"/>
                <w:sz w:val="28"/>
                <w:szCs w:val="28"/>
              </w:rPr>
            </w:pPr>
            <w:r>
              <w:rPr>
                <w:rFonts w:eastAsia="仿宋_GB2312"/>
                <w:kern w:val="2"/>
                <w:sz w:val="28"/>
                <w:szCs w:val="28"/>
              </w:rPr>
              <w:t>辅助指导教师</w:t>
            </w:r>
          </w:p>
        </w:tc>
        <w:tc>
          <w:tcPr>
            <w:tcW w:w="3609" w:type="dxa"/>
            <w:tcBorders>
              <w:top w:val="single" w:color="auto" w:sz="4" w:space="0"/>
              <w:bottom w:val="single" w:color="auto" w:sz="4" w:space="0"/>
            </w:tcBorders>
            <w:vAlign w:val="center"/>
          </w:tcPr>
          <w:p w14:paraId="1DCD0CEC">
            <w:pPr>
              <w:ind w:firstLine="0" w:firstLineChars="0"/>
              <w:jc w:val="center"/>
              <w:rPr>
                <w:rFonts w:eastAsia="仿宋_GB2312"/>
                <w:color w:val="C0C0C0"/>
                <w:kern w:val="2"/>
                <w:sz w:val="28"/>
                <w:szCs w:val="28"/>
              </w:rPr>
            </w:pPr>
          </w:p>
        </w:tc>
      </w:tr>
      <w:tr w14:paraId="5FA7C318">
        <w:tblPrEx>
          <w:tblCellMar>
            <w:top w:w="0" w:type="dxa"/>
            <w:left w:w="108" w:type="dxa"/>
            <w:bottom w:w="0" w:type="dxa"/>
            <w:right w:w="108" w:type="dxa"/>
          </w:tblCellMar>
        </w:tblPrEx>
        <w:trPr>
          <w:trHeight w:val="630" w:hRule="atLeast"/>
          <w:jc w:val="center"/>
        </w:trPr>
        <w:tc>
          <w:tcPr>
            <w:tcW w:w="2002" w:type="dxa"/>
            <w:vAlign w:val="center"/>
          </w:tcPr>
          <w:p w14:paraId="7A1D8873">
            <w:pPr>
              <w:ind w:firstLine="0" w:firstLineChars="0"/>
              <w:jc w:val="distribute"/>
              <w:rPr>
                <w:rFonts w:eastAsia="仿宋_GB2312"/>
                <w:kern w:val="2"/>
                <w:sz w:val="28"/>
                <w:szCs w:val="28"/>
              </w:rPr>
            </w:pPr>
            <w:r>
              <w:rPr>
                <w:rFonts w:eastAsia="仿宋_GB2312"/>
                <w:kern w:val="2"/>
                <w:sz w:val="28"/>
                <w:szCs w:val="28"/>
              </w:rPr>
              <w:t>论文提交日期</w:t>
            </w:r>
          </w:p>
        </w:tc>
        <w:tc>
          <w:tcPr>
            <w:tcW w:w="3609" w:type="dxa"/>
            <w:tcBorders>
              <w:top w:val="single" w:color="auto" w:sz="4" w:space="0"/>
              <w:bottom w:val="single" w:color="auto" w:sz="4" w:space="0"/>
            </w:tcBorders>
            <w:vAlign w:val="center"/>
          </w:tcPr>
          <w:p w14:paraId="30C8FD0F">
            <w:pPr>
              <w:ind w:firstLine="0" w:firstLineChars="0"/>
              <w:jc w:val="center"/>
              <w:rPr>
                <w:rFonts w:eastAsia="仿宋_GB2312"/>
                <w:kern w:val="2"/>
                <w:sz w:val="28"/>
                <w:szCs w:val="28"/>
              </w:rPr>
            </w:pPr>
            <w:r>
              <w:rPr>
                <w:rFonts w:eastAsia="仿宋_GB2312"/>
                <w:b/>
                <w:bCs/>
                <w:kern w:val="2"/>
                <w:sz w:val="28"/>
                <w:szCs w:val="28"/>
              </w:rPr>
              <w:t>2026</w:t>
            </w:r>
            <w:r>
              <w:rPr>
                <w:rFonts w:eastAsia="仿宋_GB2312"/>
                <w:kern w:val="2"/>
                <w:sz w:val="28"/>
                <w:szCs w:val="28"/>
              </w:rPr>
              <w:t>年</w:t>
            </w:r>
            <w:r>
              <w:rPr>
                <w:rFonts w:eastAsia="仿宋_GB2312"/>
                <w:b/>
                <w:bCs/>
                <w:kern w:val="2"/>
                <w:sz w:val="28"/>
                <w:szCs w:val="28"/>
              </w:rPr>
              <w:t>5</w:t>
            </w:r>
            <w:r>
              <w:rPr>
                <w:rFonts w:eastAsia="仿宋_GB2312"/>
                <w:kern w:val="2"/>
                <w:sz w:val="28"/>
                <w:szCs w:val="28"/>
              </w:rPr>
              <w:t>月</w:t>
            </w:r>
          </w:p>
        </w:tc>
      </w:tr>
    </w:tbl>
    <w:p w14:paraId="079045ED">
      <w:pPr>
        <w:ind w:firstLine="923"/>
        <w:rPr>
          <w:b/>
          <w:spacing w:val="140"/>
          <w:sz w:val="32"/>
          <w:szCs w:val="32"/>
        </w:rPr>
        <w:sectPr>
          <w:headerReference r:id="rId7" w:type="first"/>
          <w:footerReference r:id="rId10" w:type="first"/>
          <w:headerReference r:id="rId5" w:type="default"/>
          <w:footerReference r:id="rId8" w:type="default"/>
          <w:headerReference r:id="rId6" w:type="even"/>
          <w:footerReference r:id="rId9" w:type="even"/>
          <w:pgSz w:w="11906" w:h="16838"/>
          <w:pgMar w:top="1418" w:right="1701" w:bottom="1418" w:left="1701" w:header="851" w:footer="992" w:gutter="0"/>
          <w:pgBorders>
            <w:top w:val="none" w:sz="0" w:space="0"/>
            <w:left w:val="none" w:sz="0" w:space="0"/>
            <w:bottom w:val="none" w:sz="0" w:space="0"/>
            <w:right w:val="none" w:sz="0" w:space="0"/>
          </w:pgBorders>
          <w:pgNumType w:start="1"/>
          <w:cols w:space="720" w:num="1"/>
          <w:docGrid w:type="lines" w:linePitch="312" w:charSpace="0"/>
        </w:sectPr>
      </w:pPr>
    </w:p>
    <w:p w14:paraId="681D93BC">
      <w:pPr>
        <w:snapToGrid w:val="0"/>
        <w:spacing w:line="360" w:lineRule="auto"/>
        <w:ind w:left="-204" w:leftChars="-85" w:right="24" w:rightChars="10"/>
        <w:jc w:val="center"/>
        <w:rPr>
          <w:b/>
          <w:kern w:val="2"/>
          <w:sz w:val="32"/>
          <w:szCs w:val="32"/>
        </w:rPr>
      </w:pPr>
      <w:r>
        <w:rPr>
          <w:b/>
          <w:kern w:val="2"/>
          <w:sz w:val="32"/>
          <w:szCs w:val="32"/>
        </w:rPr>
        <w:t>成都信息工程大学</w:t>
      </w:r>
    </w:p>
    <w:p w14:paraId="33D03764">
      <w:pPr>
        <w:snapToGrid w:val="0"/>
        <w:spacing w:line="360" w:lineRule="auto"/>
        <w:ind w:left="-204" w:leftChars="-85" w:right="24" w:rightChars="10"/>
        <w:jc w:val="center"/>
        <w:rPr>
          <w:b/>
          <w:kern w:val="2"/>
          <w:sz w:val="32"/>
          <w:szCs w:val="32"/>
        </w:rPr>
      </w:pPr>
      <w:r>
        <w:rPr>
          <w:b/>
          <w:kern w:val="2"/>
          <w:sz w:val="32"/>
          <w:szCs w:val="32"/>
        </w:rPr>
        <w:t>学士学位论文原创性声明</w:t>
      </w:r>
    </w:p>
    <w:p w14:paraId="46440FB5">
      <w:pPr>
        <w:ind w:firstLine="480"/>
        <w:rPr>
          <w:kern w:val="2"/>
        </w:rPr>
      </w:pPr>
      <w:r>
        <w:rPr>
          <w:kern w:val="2"/>
        </w:rPr>
        <w:t>本人郑重声明：所呈交的学位论文《基于SE-ResNet的滚动轴承剩余寿命预测——XJTU-SY数据集的多工况验证》，是本人在指导教师刘锦扬指导下，进行研究工作所取得的成果。除文中已经注明引用的内容外，本学位论文的研究成果不包含任何他人创作的、已公开发表或者没有公开发表的作品的内容。对本论文所涉及的研究工作做出贡献的其他个人和集体，均已在文中以明确方式标明。本学位论文原创性声明的法律责任由本人承担。</w:t>
      </w:r>
    </w:p>
    <w:p w14:paraId="2E5BB27A">
      <w:pPr>
        <w:spacing w:before="120" w:beforeLines="50" w:after="120" w:afterLines="50"/>
        <w:ind w:firstLine="480"/>
        <w:rPr>
          <w:kern w:val="2"/>
        </w:rPr>
      </w:pPr>
      <w:r>
        <w:rPr>
          <w:kern w:val="2"/>
        </w:rPr>
        <w:t>论文作者签名：                                年    月    日</w:t>
      </w:r>
    </w:p>
    <w:p w14:paraId="00B3CD79">
      <w:pPr>
        <w:spacing w:before="120" w:beforeLines="50" w:after="120" w:afterLines="50"/>
        <w:ind w:firstLine="480"/>
        <w:rPr>
          <w:kern w:val="2"/>
        </w:rPr>
      </w:pPr>
      <w:r>
        <w:rPr>
          <w:kern w:val="2"/>
        </w:rPr>
        <mc:AlternateContent>
          <mc:Choice Requires="wps">
            <w:drawing>
              <wp:anchor distT="0" distB="0" distL="114300" distR="114300" simplePos="0" relativeHeight="251663360" behindDoc="0" locked="0" layoutInCell="1" allowOverlap="1">
                <wp:simplePos x="0" y="0"/>
                <wp:positionH relativeFrom="column">
                  <wp:posOffset>-228600</wp:posOffset>
                </wp:positionH>
                <wp:positionV relativeFrom="paragraph">
                  <wp:posOffset>313690</wp:posOffset>
                </wp:positionV>
                <wp:extent cx="6134100" cy="0"/>
                <wp:effectExtent l="0" t="4445" r="0" b="5080"/>
                <wp:wrapNone/>
                <wp:docPr id="16" name="直线 113"/>
                <wp:cNvGraphicFramePr/>
                <a:graphic xmlns:a="http://schemas.openxmlformats.org/drawingml/2006/main">
                  <a:graphicData uri="http://schemas.microsoft.com/office/word/2010/wordprocessingShape">
                    <wps:wsp>
                      <wps:cNvCnPr/>
                      <wps:spPr>
                        <a:xfrm>
                          <a:off x="0" y="0"/>
                          <a:ext cx="6134100" cy="0"/>
                        </a:xfrm>
                        <a:prstGeom prst="line">
                          <a:avLst/>
                        </a:prstGeom>
                        <a:ln w="9525" cap="flat" cmpd="sng">
                          <a:solidFill>
                            <a:srgbClr val="000000"/>
                          </a:solidFill>
                          <a:prstDash val="dash"/>
                          <a:headEnd type="none" w="med" len="med"/>
                          <a:tailEnd type="none" w="med" len="med"/>
                        </a:ln>
                      </wps:spPr>
                      <wps:bodyPr/>
                    </wps:wsp>
                  </a:graphicData>
                </a:graphic>
              </wp:anchor>
            </w:drawing>
          </mc:Choice>
          <mc:Fallback>
            <w:pict>
              <v:line id="直线 113" o:spid="_x0000_s1026" o:spt="20" style="position:absolute;left:0pt;margin-left:-18pt;margin-top:24.7pt;height:0pt;width:483pt;z-index:251663360;mso-width-relative:page;mso-height-relative:page;" filled="f" stroked="t" coordsize="21600,21600" o:gfxdata="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f0n612AAAAAkB&#10;AAAPAAAAAAAAAAEAIAAAACIAAABkcnMvZG93bnJldi54bWxQSwECFAAUAAAACACHTuJAUmnw8+IB&#10;AADRAwAADgAAAAAAAAABACAAAAAnAQAAZHJzL2Uyb0RvYy54bWxQSwUGAAAAAAYABgBZAQAAewUA&#10;AAAA&#10;">
                <v:fill on="f" focussize="0,0"/>
                <v:stroke color="#000000" joinstyle="round" dashstyle="dash"/>
                <v:imagedata o:title=""/>
                <o:lock v:ext="edit" aspectratio="f"/>
              </v:line>
            </w:pict>
          </mc:Fallback>
        </mc:AlternateContent>
      </w:r>
      <w:r>
        <w:rPr>
          <w:kern w:val="2"/>
        </w:rPr>
        <w:t>指导教师签名：                                年    月    日</w:t>
      </w:r>
    </w:p>
    <w:p w14:paraId="371FB884">
      <w:pPr>
        <w:snapToGrid w:val="0"/>
        <w:spacing w:line="360" w:lineRule="auto"/>
        <w:ind w:left="-204" w:leftChars="-85" w:right="24" w:rightChars="10"/>
        <w:jc w:val="center"/>
        <w:rPr>
          <w:b/>
          <w:kern w:val="2"/>
          <w:sz w:val="32"/>
          <w:szCs w:val="32"/>
        </w:rPr>
      </w:pPr>
      <w:r>
        <w:rPr>
          <w:b/>
          <w:kern w:val="2"/>
          <w:sz w:val="32"/>
          <w:szCs w:val="32"/>
        </w:rPr>
        <w:t>成都信息工程大学</w:t>
      </w:r>
    </w:p>
    <w:p w14:paraId="0B64B652">
      <w:pPr>
        <w:snapToGrid w:val="0"/>
        <w:spacing w:line="360" w:lineRule="auto"/>
        <w:ind w:left="-204" w:leftChars="-85" w:right="24" w:rightChars="10"/>
        <w:jc w:val="center"/>
        <w:rPr>
          <w:b/>
          <w:kern w:val="2"/>
          <w:sz w:val="32"/>
          <w:szCs w:val="32"/>
        </w:rPr>
      </w:pPr>
      <w:r>
        <w:rPr>
          <w:b/>
          <w:kern w:val="2"/>
          <w:sz w:val="32"/>
          <w:szCs w:val="32"/>
        </w:rPr>
        <w:t>学士学位论文版权使用授权书</w:t>
      </w:r>
    </w:p>
    <w:p w14:paraId="7F200474">
      <w:pPr>
        <w:ind w:firstLine="480"/>
        <w:rPr>
          <w:kern w:val="2"/>
        </w:rPr>
      </w:pPr>
      <w:r>
        <w:rPr>
          <w:kern w:val="2"/>
        </w:rPr>
        <w:t>本人完全了解成都信息工程大学关于收集、保存、使用学位论文的规定，同意如下各项内容：按照学校要求提交学位论文的印刷本和电子版本；学校有权保存学位论文的印刷本和电子版，并采用影印、缩印、扫描、数字化或其它手段保存论文；学校有权提供目录检索以及提供本学位论文全文或者部分的阅览服务；学校有权按有关规定向国家有关部门或者机构送交论文的复印件和电子版；学校可以复制、赠送和交换学位论文；学校可以公布学位论文的全部或部分内容。（保密学位论文在解密后遵守此规定）</w:t>
      </w:r>
    </w:p>
    <w:p w14:paraId="60FCFB10">
      <w:pPr>
        <w:ind w:firstLine="480"/>
        <w:rPr>
          <w:kern w:val="2"/>
        </w:rPr>
      </w:pPr>
      <w:r>
        <w:rPr>
          <w:kern w:val="2"/>
        </w:rPr>
        <w:t>除非另有科研合同和其他法律文书的制约，本论文的科研成果属于成都信息工程大学。</w:t>
      </w:r>
    </w:p>
    <w:p w14:paraId="6DF9FFA2">
      <w:pPr>
        <w:spacing w:before="120" w:beforeLines="50" w:after="120" w:afterLines="50"/>
        <w:ind w:firstLine="480"/>
        <w:rPr>
          <w:kern w:val="2"/>
        </w:rPr>
      </w:pPr>
      <w:r>
        <w:rPr>
          <w:kern w:val="2"/>
        </w:rPr>
        <w:t>论文作者签名：                                年    月    日</w:t>
      </w:r>
    </w:p>
    <w:p w14:paraId="2A8374E5">
      <w:pPr>
        <w:spacing w:before="120" w:beforeLines="50" w:after="120" w:afterLines="50"/>
        <w:ind w:firstLine="0" w:firstLineChars="0"/>
        <w:rPr>
          <w:kern w:val="2"/>
        </w:rPr>
      </w:pPr>
      <w:r>
        <w:rPr>
          <w:kern w:val="2"/>
        </w:rPr>
        <w:t>本学位论文密级属于        级，保密期限为     年，解密后适用本授权书。</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1"/>
        <w:gridCol w:w="1617"/>
        <w:gridCol w:w="1260"/>
        <w:gridCol w:w="1620"/>
        <w:gridCol w:w="1709"/>
        <w:gridCol w:w="1891"/>
      </w:tblGrid>
      <w:tr w14:paraId="765EC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7" w:hRule="atLeast"/>
          <w:jc w:val="center"/>
        </w:trPr>
        <w:tc>
          <w:tcPr>
            <w:tcW w:w="1221" w:type="dxa"/>
            <w:vAlign w:val="center"/>
          </w:tcPr>
          <w:p w14:paraId="6494075E">
            <w:pPr>
              <w:ind w:firstLine="0" w:firstLineChars="0"/>
              <w:jc w:val="center"/>
              <w:rPr>
                <w:kern w:val="2"/>
              </w:rPr>
            </w:pPr>
            <w:r>
              <w:rPr>
                <w:kern w:val="2"/>
              </w:rPr>
              <w:t>密  级</w:t>
            </w:r>
          </w:p>
        </w:tc>
        <w:tc>
          <w:tcPr>
            <w:tcW w:w="1617" w:type="dxa"/>
            <w:vAlign w:val="center"/>
          </w:tcPr>
          <w:p w14:paraId="3E655A27">
            <w:pPr>
              <w:ind w:firstLine="480"/>
              <w:jc w:val="center"/>
              <w:rPr>
                <w:kern w:val="2"/>
              </w:rPr>
            </w:pPr>
          </w:p>
        </w:tc>
        <w:tc>
          <w:tcPr>
            <w:tcW w:w="1260" w:type="dxa"/>
            <w:vAlign w:val="center"/>
          </w:tcPr>
          <w:p w14:paraId="3F15FD9A">
            <w:pPr>
              <w:ind w:firstLine="0" w:firstLineChars="0"/>
              <w:jc w:val="center"/>
              <w:rPr>
                <w:kern w:val="2"/>
              </w:rPr>
            </w:pPr>
            <w:r>
              <w:rPr>
                <w:kern w:val="2"/>
              </w:rPr>
              <w:t>解密时间</w:t>
            </w:r>
          </w:p>
        </w:tc>
        <w:tc>
          <w:tcPr>
            <w:tcW w:w="5220" w:type="dxa"/>
            <w:gridSpan w:val="3"/>
            <w:vAlign w:val="center"/>
          </w:tcPr>
          <w:p w14:paraId="6579B59A">
            <w:pPr>
              <w:ind w:firstLine="480"/>
              <w:jc w:val="center"/>
              <w:rPr>
                <w:kern w:val="2"/>
              </w:rPr>
            </w:pPr>
            <w:r>
              <w:rPr>
                <w:kern w:val="2"/>
              </w:rPr>
              <w:t>年   月   日</w:t>
            </w:r>
          </w:p>
        </w:tc>
      </w:tr>
      <w:tr w14:paraId="51FF1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1" w:hRule="atLeast"/>
          <w:jc w:val="center"/>
        </w:trPr>
        <w:tc>
          <w:tcPr>
            <w:tcW w:w="1221" w:type="dxa"/>
            <w:vAlign w:val="center"/>
          </w:tcPr>
          <w:p w14:paraId="7F4DE640">
            <w:pPr>
              <w:ind w:firstLine="0" w:firstLineChars="0"/>
              <w:jc w:val="center"/>
              <w:rPr>
                <w:kern w:val="2"/>
              </w:rPr>
            </w:pPr>
            <w:r>
              <w:rPr>
                <w:kern w:val="2"/>
              </w:rPr>
              <w:t>学位论文作者签名</w:t>
            </w:r>
          </w:p>
        </w:tc>
        <w:tc>
          <w:tcPr>
            <w:tcW w:w="1617" w:type="dxa"/>
            <w:vAlign w:val="center"/>
          </w:tcPr>
          <w:p w14:paraId="5B04B39C">
            <w:pPr>
              <w:ind w:firstLine="0" w:firstLineChars="0"/>
              <w:rPr>
                <w:kern w:val="2"/>
              </w:rPr>
            </w:pPr>
          </w:p>
          <w:p w14:paraId="1D34B89A">
            <w:pPr>
              <w:ind w:firstLine="360" w:firstLineChars="150"/>
              <w:rPr>
                <w:kern w:val="2"/>
              </w:rPr>
            </w:pPr>
            <w:r>
              <w:rPr>
                <w:kern w:val="2"/>
              </w:rPr>
              <w:t>年 月 日</w:t>
            </w:r>
          </w:p>
        </w:tc>
        <w:tc>
          <w:tcPr>
            <w:tcW w:w="1260" w:type="dxa"/>
            <w:vAlign w:val="center"/>
          </w:tcPr>
          <w:p w14:paraId="71B71184">
            <w:pPr>
              <w:ind w:firstLine="0" w:firstLineChars="0"/>
              <w:jc w:val="center"/>
              <w:rPr>
                <w:kern w:val="2"/>
              </w:rPr>
            </w:pPr>
            <w:r>
              <w:rPr>
                <w:kern w:val="2"/>
              </w:rPr>
              <w:t>指导教师签名</w:t>
            </w:r>
          </w:p>
        </w:tc>
        <w:tc>
          <w:tcPr>
            <w:tcW w:w="1620" w:type="dxa"/>
            <w:vAlign w:val="center"/>
          </w:tcPr>
          <w:p w14:paraId="32713161">
            <w:pPr>
              <w:ind w:firstLine="0" w:firstLineChars="0"/>
              <w:rPr>
                <w:kern w:val="2"/>
              </w:rPr>
            </w:pPr>
          </w:p>
          <w:p w14:paraId="0F2C616B">
            <w:pPr>
              <w:ind w:firstLine="360" w:firstLineChars="150"/>
              <w:rPr>
                <w:kern w:val="2"/>
              </w:rPr>
            </w:pPr>
            <w:r>
              <w:rPr>
                <w:kern w:val="2"/>
              </w:rPr>
              <w:t>年 月 日</w:t>
            </w:r>
          </w:p>
        </w:tc>
        <w:tc>
          <w:tcPr>
            <w:tcW w:w="1709" w:type="dxa"/>
            <w:vAlign w:val="center"/>
          </w:tcPr>
          <w:p w14:paraId="2A09A9DA">
            <w:pPr>
              <w:ind w:firstLine="0" w:firstLineChars="0"/>
              <w:jc w:val="center"/>
              <w:rPr>
                <w:kern w:val="2"/>
              </w:rPr>
            </w:pPr>
            <w:r>
              <w:rPr>
                <w:kern w:val="2"/>
              </w:rPr>
              <w:t>学校保密办公室审核情况</w:t>
            </w:r>
          </w:p>
        </w:tc>
        <w:tc>
          <w:tcPr>
            <w:tcW w:w="1891" w:type="dxa"/>
            <w:vAlign w:val="center"/>
          </w:tcPr>
          <w:p w14:paraId="5810D069">
            <w:pPr>
              <w:ind w:firstLine="0" w:firstLineChars="0"/>
              <w:rPr>
                <w:kern w:val="2"/>
              </w:rPr>
            </w:pPr>
          </w:p>
          <w:p w14:paraId="449BB7EB">
            <w:pPr>
              <w:ind w:firstLine="600" w:firstLineChars="250"/>
              <w:rPr>
                <w:kern w:val="2"/>
              </w:rPr>
            </w:pPr>
            <w:r>
              <w:rPr>
                <w:kern w:val="2"/>
              </w:rPr>
              <w:t>年 月 日</w:t>
            </w:r>
          </w:p>
          <w:p w14:paraId="2CB6026A">
            <w:pPr>
              <w:ind w:firstLine="600" w:firstLineChars="250"/>
              <w:rPr>
                <w:kern w:val="2"/>
              </w:rPr>
            </w:pPr>
            <w:r>
              <w:rPr>
                <w:kern w:val="2"/>
              </w:rPr>
              <w:t>（公章）</w:t>
            </w:r>
          </w:p>
        </w:tc>
      </w:tr>
    </w:tbl>
    <w:p w14:paraId="6FE237BF">
      <w:pPr>
        <w:spacing w:line="480" w:lineRule="exact"/>
        <w:ind w:right="140" w:firstLine="0" w:firstLineChars="0"/>
        <w:jc w:val="left"/>
        <w:rPr>
          <w:rFonts w:eastAsia="仿宋_GB2312"/>
          <w:kern w:val="2"/>
          <w:sz w:val="21"/>
          <w:szCs w:val="21"/>
        </w:rPr>
      </w:pPr>
      <w:r>
        <w:rPr>
          <w:rFonts w:eastAsia="仿宋_GB2312"/>
          <w:kern w:val="2"/>
          <w:sz w:val="21"/>
          <w:szCs w:val="21"/>
        </w:rPr>
        <w:t>注：答辩通过后，最终版论文中，均须附由作者本人签名的原创声明及使用授权书。</w:t>
      </w:r>
    </w:p>
    <w:p w14:paraId="25AA37F4">
      <w:pPr>
        <w:spacing w:line="480" w:lineRule="exact"/>
        <w:ind w:right="140" w:firstLine="0" w:firstLineChars="0"/>
        <w:jc w:val="left"/>
        <w:rPr>
          <w:rFonts w:eastAsia="仿宋_GB2312"/>
          <w:kern w:val="2"/>
          <w:sz w:val="21"/>
          <w:szCs w:val="21"/>
        </w:rPr>
      </w:pPr>
      <w:r>
        <w:rPr>
          <w:rFonts w:eastAsia="仿宋_GB2312"/>
          <w:kern w:val="2"/>
          <w:sz w:val="21"/>
          <w:szCs w:val="21"/>
        </w:rPr>
        <w:br w:type="page"/>
      </w:r>
    </w:p>
    <w:p w14:paraId="088AD0BA">
      <w:pPr>
        <w:ind w:firstLine="0" w:firstLineChars="0"/>
        <w:rPr>
          <w:b/>
          <w:spacing w:val="140"/>
          <w:sz w:val="32"/>
          <w:szCs w:val="32"/>
        </w:rPr>
        <w:sectPr>
          <w:headerReference r:id="rId13" w:type="first"/>
          <w:footerReference r:id="rId16" w:type="first"/>
          <w:headerReference r:id="rId11" w:type="default"/>
          <w:footerReference r:id="rId14" w:type="default"/>
          <w:headerReference r:id="rId12" w:type="even"/>
          <w:footerReference r:id="rId15" w:type="even"/>
          <w:pgSz w:w="11906" w:h="16838"/>
          <w:pgMar w:top="1440" w:right="1797" w:bottom="1440" w:left="1797" w:header="709" w:footer="709" w:gutter="0"/>
          <w:pgBorders>
            <w:top w:val="none" w:sz="0" w:space="0"/>
            <w:left w:val="none" w:sz="0" w:space="0"/>
            <w:bottom w:val="none" w:sz="0" w:space="0"/>
            <w:right w:val="none" w:sz="0" w:space="0"/>
          </w:pgBorders>
          <w:pgNumType w:fmt="lowerRoman" w:start="1"/>
          <w:cols w:space="0" w:num="1"/>
          <w:docGrid w:linePitch="312" w:charSpace="0"/>
        </w:sectPr>
      </w:pPr>
    </w:p>
    <w:p w14:paraId="0C3CA00F">
      <w:pPr>
        <w:spacing w:before="120" w:beforeLines="50" w:after="120" w:afterLines="50"/>
        <w:ind w:firstLine="0" w:firstLineChars="0"/>
        <w:jc w:val="center"/>
        <w:rPr>
          <w:b/>
          <w:bCs/>
          <w:sz w:val="32"/>
          <w:szCs w:val="32"/>
        </w:rPr>
      </w:pPr>
      <w:r>
        <w:rPr>
          <w:b/>
          <w:bCs/>
          <w:sz w:val="32"/>
          <w:szCs w:val="32"/>
        </w:rPr>
        <w:t>摘 要</w:t>
      </w:r>
    </w:p>
    <w:p w14:paraId="56BD7E28">
      <w:pPr>
        <w:bidi w:val="0"/>
        <w:rPr>
          <w:rFonts w:hint="eastAsia"/>
        </w:rPr>
      </w:pPr>
      <w:r>
        <w:rPr>
          <w:rFonts w:hint="eastAsia"/>
        </w:rPr>
        <w:t>滚动轴承是旋转机械的关键部件，对它</w:t>
      </w:r>
      <w:r>
        <w:rPr>
          <w:rFonts w:hint="eastAsia"/>
          <w:lang w:val="en-US" w:eastAsia="zh-CN"/>
        </w:rPr>
        <w:t>的</w:t>
      </w:r>
      <w:r>
        <w:rPr>
          <w:rFonts w:hint="eastAsia"/>
        </w:rPr>
        <w:t>剩余使用寿命(RUL)做出正确预测对于保证设备的安全运行来说</w:t>
      </w:r>
      <w:r>
        <w:rPr>
          <w:rFonts w:hint="eastAsia"/>
          <w:lang w:val="en-US" w:eastAsia="zh-CN"/>
        </w:rPr>
        <w:t>至关</w:t>
      </w:r>
      <w:r>
        <w:rPr>
          <w:rFonts w:hint="eastAsia"/>
        </w:rPr>
        <w:t>重要。但是在实际的工业生产环境中，由于工况的不断变化，会造成振动信号特征分布的漂移，从而使得单工况训练得到的模型在跨工况的情况下性能急剧下降。为了克服以上问题，本文以XJTU-SY数据集为例，提出了用SE-ResNet加双向门控循环单元（BiGRU）来做跨工况RUL预测的一种方法。</w:t>
      </w:r>
    </w:p>
    <w:p w14:paraId="5547BA72">
      <w:pPr>
        <w:bidi w:val="0"/>
        <w:rPr>
          <w:rFonts w:hint="eastAsia"/>
        </w:rPr>
      </w:pPr>
      <w:r>
        <w:rPr>
          <w:rFonts w:hint="eastAsia"/>
        </w:rPr>
        <w:t>首先用小波降噪、FFT频域转换和多域特征提取来得到140维融合特征向量，然后用mRMR选择出140维融合特征向量中包含的前80%寿命不变、后20%寿命线性递减的分段线性RUL标签，使标签分布与工况解耦，再用全局Z-Score标准化和滑动窗口将多工况数据对齐。第二部分用SE-ResNet和BiGRU端到端的方式建立模型，用一维残差卷积提取退化特征，用BiGRU双向时序建模全局依赖。最后用多核最大均值差异（MK-MMD）域适应正则项和后处理缩放校正来改善深层特征空间对齐源域和目标域的分布，减少系统性偏差。</w:t>
      </w:r>
    </w:p>
    <w:p w14:paraId="38229277">
      <w:pPr>
        <w:bidi w:val="0"/>
        <w:rPr>
          <w:rFonts w:hint="eastAsia"/>
        </w:rPr>
      </w:pPr>
      <w:r>
        <w:rPr>
          <w:rFonts w:hint="eastAsia"/>
        </w:rPr>
        <w:t>实验结果表明，在单工况下模型的平均RMSE为25.49 min，平均PHM评分是0.9724；跨工况9组迁移任务经过域适应和校正之后，平均NRMSE只有19.82%，所有的PHM评分都大于0.94。消融实验证实SE模块使误差降低67.7%，BiGRU较单向GRU精度提升62.6%，SE‑ResNet特征提取使跨域NRMSE下降68.6%。本文的方法大大提高了变工况下RUL预测的泛化能力，给滚动轴承智能运维提供了一种有效的解决办法。</w:t>
      </w:r>
    </w:p>
    <w:p w14:paraId="733A9229">
      <w:pPr>
        <w:bidi w:val="0"/>
        <w:ind w:left="0" w:leftChars="0" w:firstLine="0" w:firstLineChars="0"/>
        <w:rPr>
          <w:rFonts w:hint="eastAsia"/>
        </w:rPr>
      </w:pPr>
      <w:r>
        <w:rPr>
          <w:b/>
          <w:bCs/>
        </w:rPr>
        <w:t>关键词：</w:t>
      </w:r>
      <w:r>
        <w:rPr>
          <w:rFonts w:hint="eastAsia"/>
        </w:rPr>
        <w:t>跨工况剩余寿命预测；滚动轴承；SE注意力残差网络；双向门控循环单元</w:t>
      </w:r>
    </w:p>
    <w:p w14:paraId="72017757">
      <w:pPr>
        <w:bidi w:val="0"/>
        <w:ind w:left="0" w:leftChars="0" w:firstLine="0" w:firstLineChars="0"/>
        <w:rPr>
          <w:rFonts w:hint="eastAsia"/>
        </w:rPr>
      </w:pPr>
    </w:p>
    <w:p w14:paraId="52923D72">
      <w:pPr>
        <w:bidi w:val="0"/>
        <w:ind w:left="0" w:leftChars="0" w:firstLine="0" w:firstLineChars="0"/>
        <w:rPr>
          <w:rFonts w:hint="eastAsia"/>
        </w:rPr>
        <w:sectPr>
          <w:headerReference r:id="rId17" w:type="default"/>
          <w:footerReference r:id="rId18" w:type="default"/>
          <w:pgSz w:w="11906" w:h="16838"/>
          <w:pgMar w:top="1440" w:right="1797" w:bottom="1440" w:left="1797" w:header="709" w:footer="709" w:gutter="0"/>
          <w:pgBorders>
            <w:top w:val="none" w:sz="0" w:space="0"/>
            <w:left w:val="none" w:sz="0" w:space="0"/>
            <w:bottom w:val="none" w:sz="0" w:space="0"/>
            <w:right w:val="none" w:sz="0" w:space="0"/>
          </w:pgBorders>
          <w:pgNumType w:fmt="lowerRoman"/>
          <w:cols w:space="0" w:num="1"/>
          <w:docGrid w:linePitch="360" w:charSpace="0"/>
        </w:sectPr>
      </w:pPr>
    </w:p>
    <w:p w14:paraId="659BC813">
      <w:pPr>
        <w:spacing w:before="120" w:beforeLines="50" w:after="120" w:afterLines="50"/>
        <w:ind w:firstLine="0" w:firstLineChars="0"/>
        <w:jc w:val="center"/>
        <w:rPr>
          <w:rFonts w:hint="eastAsia"/>
          <w:lang w:val="en-US" w:eastAsia="zh-CN"/>
        </w:rPr>
      </w:pPr>
      <w:r>
        <w:rPr>
          <w:rFonts w:eastAsia="黑体"/>
          <w:b/>
          <w:sz w:val="28"/>
          <w:szCs w:val="28"/>
        </w:rPr>
        <w:t>Abstract</w:t>
      </w:r>
    </w:p>
    <w:p w14:paraId="16F5BB3A">
      <w:pPr>
        <w:bidi w:val="0"/>
        <w:rPr>
          <w:rFonts w:hint="eastAsia"/>
          <w:lang w:val="en-US" w:eastAsia="zh-CN"/>
        </w:rPr>
      </w:pPr>
      <w:r>
        <w:rPr>
          <w:rFonts w:hint="eastAsia"/>
          <w:lang w:val="en-US" w:eastAsia="zh-CN"/>
        </w:rPr>
        <w:t xml:space="preserve">Rolling bearings are critical components of rotating machinery, and accurately predicting their remaining useful life (RUL) is crucial for ensuring safe operation of equipment. However, in practical industrial environments, continuous changes in operating conditions can cause shifts in vibration signal feature distributions, leading to a sharp decline in the performance of models trained under single conditions when applied across different conditions. To address these issues, this paper uses the XJTU-SY dataset as an example and proposes a method for cross-condition RUL prediction using SE-ResNet combined with bidirectional gated recurrent units (BiGRU). </w:t>
      </w:r>
    </w:p>
    <w:p w14:paraId="5DEADADA">
      <w:pPr>
        <w:bidi w:val="0"/>
        <w:rPr>
          <w:rFonts w:hint="eastAsia"/>
          <w:lang w:val="en-US" w:eastAsia="zh-CN"/>
        </w:rPr>
      </w:pPr>
      <w:r>
        <w:rPr>
          <w:rFonts w:hint="eastAsia"/>
          <w:lang w:val="en-US" w:eastAsia="zh-CN"/>
        </w:rPr>
        <w:t xml:space="preserve">First, wavelet denoising, FFT frequency-domain transformation, and multi-domain feature extraction are used to obtain a 140-dimensional fused feature vector. Then, mRMR is applied to select the top 80% of features with the RUL remaining unchanged and the remaining 20% with linearly decreasing RUL, creating piecewise linear RUL labels decoupled from operating conditions. Global Z-Score normalisation and sliding windows are used to align multi-condition data. In the second stage, a model is built end-to-end with SE-ResNet and BiGRU, extracting degradation features with one-dimensional residual convolutions and modelling global dependencies with BiGRU bidirectional temporal modelling. Finally, multi-kernel maximum mean discrepancy (MK-MMD) domain adaptation regularisation and post-processing scaling correction are used to improve deep feature space alignment between source and target domains, reducing systematic bias. </w:t>
      </w:r>
    </w:p>
    <w:p w14:paraId="38FAB1EA">
      <w:pPr>
        <w:bidi w:val="0"/>
        <w:rPr>
          <w:rFonts w:hint="eastAsia"/>
          <w:lang w:val="en-US" w:eastAsia="zh-CN"/>
        </w:rPr>
      </w:pPr>
      <w:r>
        <w:rPr>
          <w:rFonts w:hint="eastAsia"/>
          <w:lang w:val="en-US" w:eastAsia="zh-CN"/>
        </w:rPr>
        <w:t>Experimental results show that under single conditions, the model has an average RMSE of 25.49 min and an average PHM score of 0.9724. Across nine cross-condition transfer tasks, after domain adaptation and correction, the average NRMSE is only 19.82%, with all PHM scores exceeding 0.94. Ablation experiments confirm that the SE module reduces error by 67.7%, BiGRU improves accuracy by 62.6% compared to unidirectional GRU, and SE‑ResNet feature extraction decreases cross-domain NRMSE by 68.6%. The proposed method significantly enhances the generalisation capability of RUL prediction under variable conditions, providing an effective solution for intelligent maintenance of rolling bearings.</w:t>
      </w:r>
    </w:p>
    <w:p w14:paraId="76764469">
      <w:pPr>
        <w:bidi w:val="0"/>
        <w:rPr>
          <w:rFonts w:hint="eastAsia"/>
          <w:lang w:val="en-US" w:eastAsia="zh-CN"/>
        </w:rPr>
      </w:pPr>
    </w:p>
    <w:p w14:paraId="6C96D310">
      <w:pPr>
        <w:ind w:firstLine="0" w:firstLineChars="0"/>
      </w:pPr>
      <w:r>
        <w:rPr>
          <w:b/>
          <w:bCs/>
        </w:rPr>
        <w:t>Keywords:</w:t>
      </w:r>
      <w:r>
        <w:t xml:space="preserve"> </w:t>
      </w:r>
      <w:r>
        <w:rPr>
          <w:rFonts w:hint="eastAsia"/>
        </w:rPr>
        <w:t>Remaining useful life prediction under varying conditions; rolling bearings; SE attention residual network; bidirectional gated recurrent unit</w:t>
      </w:r>
    </w:p>
    <w:p w14:paraId="46693895">
      <w:r>
        <w:br w:type="page"/>
      </w:r>
    </w:p>
    <w:sdt>
      <w:sdtPr>
        <w:rPr>
          <w:rFonts w:hint="eastAsia" w:ascii="宋体" w:hAnsi="宋体" w:eastAsia="宋体" w:cs="宋体"/>
          <w:b/>
          <w:bCs/>
          <w:sz w:val="32"/>
          <w:szCs w:val="32"/>
          <w:lang w:val="en-US" w:eastAsia="zh-CN"/>
        </w:rPr>
        <w:id w:val="147469004"/>
        <w15:color w:val="DBDBDB"/>
        <w:docPartObj>
          <w:docPartGallery w:val="Table of Contents"/>
          <w:docPartUnique/>
        </w:docPartObj>
      </w:sdtPr>
      <w:sdtEndPr>
        <w:rPr>
          <w:rFonts w:hint="eastAsia" w:ascii="宋体" w:hAnsi="宋体" w:eastAsia="宋体" w:cs="宋体"/>
          <w:b/>
          <w:bCs/>
          <w:sz w:val="32"/>
          <w:szCs w:val="32"/>
          <w:lang w:val="en-US" w:eastAsia="zh-CN"/>
        </w:rPr>
      </w:sdtEndPr>
      <w:sdtContent>
        <w:p w14:paraId="4501FCF1">
          <w:pPr>
            <w:spacing w:before="120" w:beforeLines="50" w:after="120" w:afterLines="50"/>
            <w:ind w:firstLine="420"/>
            <w:jc w:val="center"/>
            <w:rPr>
              <w:rFonts w:hint="eastAsia" w:ascii="宋体" w:hAnsi="宋体" w:eastAsia="宋体" w:cs="宋体"/>
              <w:b/>
              <w:bCs/>
              <w:sz w:val="32"/>
              <w:szCs w:val="32"/>
            </w:rPr>
          </w:pPr>
          <w:r>
            <w:rPr>
              <w:rFonts w:hint="eastAsia" w:ascii="宋体" w:hAnsi="宋体" w:eastAsia="宋体" w:cs="宋体"/>
              <w:b/>
              <w:bCs/>
              <w:sz w:val="32"/>
              <w:szCs w:val="32"/>
            </w:rPr>
            <w:t>目</w:t>
          </w:r>
          <w:r>
            <w:rPr>
              <w:rFonts w:hint="eastAsia" w:ascii="宋体" w:hAnsi="宋体" w:eastAsia="宋体" w:cs="宋体"/>
              <w:b/>
              <w:bCs/>
              <w:sz w:val="32"/>
              <w:szCs w:val="32"/>
              <w:lang w:val="en-US" w:eastAsia="zh-CN"/>
            </w:rPr>
            <w:t xml:space="preserve"> </w:t>
          </w:r>
          <w:r>
            <w:rPr>
              <w:rFonts w:hint="eastAsia" w:ascii="宋体" w:hAnsi="宋体" w:eastAsia="宋体" w:cs="宋体"/>
              <w:b/>
              <w:bCs/>
              <w:sz w:val="32"/>
              <w:szCs w:val="32"/>
            </w:rPr>
            <w:t>录</w:t>
          </w:r>
        </w:p>
        <w:p w14:paraId="5F565DA8">
          <w:pPr>
            <w:pStyle w:val="29"/>
            <w:spacing w:line="400" w:lineRule="exact"/>
            <w:ind w:firstLine="480"/>
            <w:jc w:val="right"/>
            <w:rPr>
              <w:b/>
              <w:bCs/>
              <w:sz w:val="21"/>
            </w:rPr>
          </w:pPr>
          <w:r>
            <w:rPr>
              <w:b w:val="0"/>
              <w:bCs/>
              <w:sz w:val="24"/>
            </w:rPr>
            <w:t>论文总页数：</w:t>
          </w:r>
          <w:r>
            <w:rPr>
              <w:rFonts w:hint="eastAsia"/>
              <w:b w:val="0"/>
              <w:bCs/>
              <w:sz w:val="24"/>
              <w:lang w:val="en-US" w:eastAsia="zh-CN"/>
            </w:rPr>
            <w:t>53</w:t>
          </w:r>
          <w:r>
            <w:rPr>
              <w:b w:val="0"/>
              <w:bCs/>
              <w:sz w:val="24"/>
            </w:rPr>
            <w:t>页</w:t>
          </w:r>
        </w:p>
        <w:p w14:paraId="31429752">
          <w:pPr>
            <w:pStyle w:val="14"/>
            <w:keepNext w:val="0"/>
            <w:keepLines w:val="0"/>
            <w:pageBreakBefore w:val="0"/>
            <w:widowControl w:val="0"/>
            <w:tabs>
              <w:tab w:val="right" w:leader="dot" w:pos="8306"/>
            </w:tabs>
            <w:kinsoku/>
            <w:wordWrap w:val="0"/>
            <w:overflowPunct/>
            <w:topLinePunct/>
            <w:autoSpaceDE/>
            <w:autoSpaceDN/>
            <w:bidi w:val="0"/>
            <w:adjustRightInd/>
            <w:snapToGrid w:val="0"/>
            <w:ind w:firstLine="0" w:firstLineChars="0"/>
            <w:textAlignment w:val="auto"/>
          </w:pPr>
          <w:r>
            <w:fldChar w:fldCharType="begin"/>
          </w:r>
          <w:r>
            <w:instrText xml:space="preserve">TOC \o "1-3" \h \u </w:instrText>
          </w:r>
          <w:r>
            <w:fldChar w:fldCharType="separate"/>
          </w:r>
          <w:r>
            <w:fldChar w:fldCharType="begin"/>
          </w:r>
          <w:r>
            <w:instrText xml:space="preserve"> HYPERLINK \l _Toc29833 </w:instrText>
          </w:r>
          <w:r>
            <w:fldChar w:fldCharType="separate"/>
          </w:r>
          <w:r>
            <w:rPr>
              <w:rFonts w:hint="eastAsia" w:ascii="Times New Roman" w:hAnsi="Times New Roman"/>
            </w:rPr>
            <w:t xml:space="preserve">第一章 </w:t>
          </w:r>
          <w:r>
            <w:rPr>
              <w:rFonts w:ascii="Times New Roman" w:hAnsi="Times New Roman"/>
            </w:rPr>
            <w:t>绪论</w:t>
          </w:r>
          <w:r>
            <w:tab/>
          </w:r>
          <w:r>
            <w:fldChar w:fldCharType="begin"/>
          </w:r>
          <w:r>
            <w:instrText xml:space="preserve"> PAGEREF _Toc29833 \h </w:instrText>
          </w:r>
          <w:r>
            <w:fldChar w:fldCharType="separate"/>
          </w:r>
          <w:r>
            <w:t>1</w:t>
          </w:r>
          <w:r>
            <w:fldChar w:fldCharType="end"/>
          </w:r>
          <w:r>
            <w:fldChar w:fldCharType="end"/>
          </w:r>
        </w:p>
        <w:p w14:paraId="60EBBCD8">
          <w:pPr>
            <w:pStyle w:val="17"/>
            <w:keepNext w:val="0"/>
            <w:keepLines w:val="0"/>
            <w:pageBreakBefore w:val="0"/>
            <w:widowControl w:val="0"/>
            <w:tabs>
              <w:tab w:val="right" w:leader="dot" w:pos="8306"/>
            </w:tabs>
            <w:kinsoku/>
            <w:wordWrap w:val="0"/>
            <w:overflowPunct/>
            <w:topLinePunct/>
            <w:autoSpaceDE/>
            <w:autoSpaceDN/>
            <w:bidi w:val="0"/>
            <w:adjustRightInd/>
            <w:snapToGrid w:val="0"/>
            <w:ind w:left="480" w:firstLine="0" w:firstLineChars="0"/>
            <w:jc w:val="both"/>
            <w:textAlignment w:val="auto"/>
          </w:pPr>
          <w:r>
            <w:fldChar w:fldCharType="begin"/>
          </w:r>
          <w:r>
            <w:instrText xml:space="preserve"> HYPERLINK \l _Toc32696 </w:instrText>
          </w:r>
          <w:r>
            <w:fldChar w:fldCharType="separate"/>
          </w:r>
          <w:r>
            <w:t>1.1 研究背景与意义</w:t>
          </w:r>
          <w:r>
            <w:tab/>
          </w:r>
          <w:r>
            <w:fldChar w:fldCharType="begin"/>
          </w:r>
          <w:r>
            <w:instrText xml:space="preserve"> PAGEREF _Toc32696 \h </w:instrText>
          </w:r>
          <w:r>
            <w:fldChar w:fldCharType="separate"/>
          </w:r>
          <w:r>
            <w:t>1</w:t>
          </w:r>
          <w:r>
            <w:fldChar w:fldCharType="end"/>
          </w:r>
          <w:r>
            <w:fldChar w:fldCharType="end"/>
          </w:r>
        </w:p>
        <w:p w14:paraId="1235D18E">
          <w:pPr>
            <w:pStyle w:val="10"/>
            <w:keepNext w:val="0"/>
            <w:keepLines w:val="0"/>
            <w:pageBreakBefore w:val="0"/>
            <w:widowControl w:val="0"/>
            <w:tabs>
              <w:tab w:val="right" w:leader="dot" w:pos="8306"/>
            </w:tabs>
            <w:kinsoku/>
            <w:wordWrap w:val="0"/>
            <w:overflowPunct/>
            <w:topLinePunct/>
            <w:autoSpaceDE/>
            <w:autoSpaceDN/>
            <w:bidi w:val="0"/>
            <w:adjustRightInd/>
            <w:snapToGrid w:val="0"/>
            <w:ind w:left="960" w:firstLine="0" w:firstLineChars="0"/>
            <w:jc w:val="both"/>
            <w:textAlignment w:val="auto"/>
          </w:pPr>
          <w:r>
            <w:fldChar w:fldCharType="begin"/>
          </w:r>
          <w:r>
            <w:instrText xml:space="preserve"> HYPERLINK \l _Toc16360 </w:instrText>
          </w:r>
          <w:r>
            <w:fldChar w:fldCharType="separate"/>
          </w:r>
          <w:r>
            <w:t>1.1.1 研究背景</w:t>
          </w:r>
          <w:r>
            <w:tab/>
          </w:r>
          <w:r>
            <w:fldChar w:fldCharType="begin"/>
          </w:r>
          <w:r>
            <w:instrText xml:space="preserve"> PAGEREF _Toc16360 \h </w:instrText>
          </w:r>
          <w:r>
            <w:fldChar w:fldCharType="separate"/>
          </w:r>
          <w:r>
            <w:t>1</w:t>
          </w:r>
          <w:r>
            <w:fldChar w:fldCharType="end"/>
          </w:r>
          <w:r>
            <w:fldChar w:fldCharType="end"/>
          </w:r>
        </w:p>
        <w:p w14:paraId="782FC51E">
          <w:pPr>
            <w:pStyle w:val="10"/>
            <w:keepNext w:val="0"/>
            <w:keepLines w:val="0"/>
            <w:pageBreakBefore w:val="0"/>
            <w:widowControl w:val="0"/>
            <w:tabs>
              <w:tab w:val="right" w:leader="dot" w:pos="8306"/>
            </w:tabs>
            <w:kinsoku/>
            <w:wordWrap w:val="0"/>
            <w:overflowPunct/>
            <w:topLinePunct/>
            <w:autoSpaceDE/>
            <w:autoSpaceDN/>
            <w:bidi w:val="0"/>
            <w:adjustRightInd/>
            <w:snapToGrid w:val="0"/>
            <w:ind w:left="960" w:firstLine="0" w:firstLineChars="0"/>
            <w:jc w:val="both"/>
            <w:textAlignment w:val="auto"/>
          </w:pPr>
          <w:r>
            <w:fldChar w:fldCharType="begin"/>
          </w:r>
          <w:r>
            <w:instrText xml:space="preserve"> HYPERLINK \l _Toc25681 </w:instrText>
          </w:r>
          <w:r>
            <w:fldChar w:fldCharType="separate"/>
          </w:r>
          <w:r>
            <w:t>1.1.2 研究意义</w:t>
          </w:r>
          <w:r>
            <w:tab/>
          </w:r>
          <w:r>
            <w:fldChar w:fldCharType="begin"/>
          </w:r>
          <w:r>
            <w:instrText xml:space="preserve"> PAGEREF _Toc25681 \h </w:instrText>
          </w:r>
          <w:r>
            <w:fldChar w:fldCharType="separate"/>
          </w:r>
          <w:r>
            <w:t>2</w:t>
          </w:r>
          <w:r>
            <w:fldChar w:fldCharType="end"/>
          </w:r>
          <w:r>
            <w:fldChar w:fldCharType="end"/>
          </w:r>
        </w:p>
        <w:p w14:paraId="7E8A78EB">
          <w:pPr>
            <w:pStyle w:val="17"/>
            <w:keepNext w:val="0"/>
            <w:keepLines w:val="0"/>
            <w:pageBreakBefore w:val="0"/>
            <w:widowControl w:val="0"/>
            <w:tabs>
              <w:tab w:val="right" w:leader="dot" w:pos="8306"/>
            </w:tabs>
            <w:kinsoku/>
            <w:wordWrap w:val="0"/>
            <w:overflowPunct/>
            <w:topLinePunct/>
            <w:autoSpaceDE/>
            <w:autoSpaceDN/>
            <w:bidi w:val="0"/>
            <w:adjustRightInd/>
            <w:snapToGrid w:val="0"/>
            <w:ind w:left="480" w:firstLine="0" w:firstLineChars="0"/>
            <w:jc w:val="both"/>
            <w:textAlignment w:val="auto"/>
          </w:pPr>
          <w:r>
            <w:fldChar w:fldCharType="begin"/>
          </w:r>
          <w:r>
            <w:instrText xml:space="preserve"> HYPERLINK \l _Toc27034 </w:instrText>
          </w:r>
          <w:r>
            <w:fldChar w:fldCharType="separate"/>
          </w:r>
          <w:r>
            <w:t>1.2 国内外研究现状</w:t>
          </w:r>
          <w:r>
            <w:tab/>
          </w:r>
          <w:r>
            <w:fldChar w:fldCharType="begin"/>
          </w:r>
          <w:r>
            <w:instrText xml:space="preserve"> PAGEREF _Toc27034 \h </w:instrText>
          </w:r>
          <w:r>
            <w:fldChar w:fldCharType="separate"/>
          </w:r>
          <w:r>
            <w:t>3</w:t>
          </w:r>
          <w:r>
            <w:fldChar w:fldCharType="end"/>
          </w:r>
          <w:r>
            <w:fldChar w:fldCharType="end"/>
          </w:r>
        </w:p>
        <w:p w14:paraId="781E0556">
          <w:pPr>
            <w:pStyle w:val="10"/>
            <w:keepNext w:val="0"/>
            <w:keepLines w:val="0"/>
            <w:pageBreakBefore w:val="0"/>
            <w:widowControl w:val="0"/>
            <w:tabs>
              <w:tab w:val="right" w:leader="dot" w:pos="8306"/>
            </w:tabs>
            <w:kinsoku/>
            <w:wordWrap w:val="0"/>
            <w:overflowPunct/>
            <w:topLinePunct/>
            <w:autoSpaceDE/>
            <w:autoSpaceDN/>
            <w:bidi w:val="0"/>
            <w:adjustRightInd/>
            <w:snapToGrid w:val="0"/>
            <w:ind w:left="960" w:firstLine="0" w:firstLineChars="0"/>
            <w:jc w:val="both"/>
            <w:textAlignment w:val="auto"/>
          </w:pPr>
          <w:r>
            <w:fldChar w:fldCharType="begin"/>
          </w:r>
          <w:r>
            <w:instrText xml:space="preserve"> HYPERLINK \l _Toc24036 </w:instrText>
          </w:r>
          <w:r>
            <w:fldChar w:fldCharType="separate"/>
          </w:r>
          <w:r>
            <w:t>1.2.1 国外研究现状</w:t>
          </w:r>
          <w:r>
            <w:tab/>
          </w:r>
          <w:r>
            <w:fldChar w:fldCharType="begin"/>
          </w:r>
          <w:r>
            <w:instrText xml:space="preserve"> PAGEREF _Toc24036 \h </w:instrText>
          </w:r>
          <w:r>
            <w:fldChar w:fldCharType="separate"/>
          </w:r>
          <w:r>
            <w:t>3</w:t>
          </w:r>
          <w:r>
            <w:fldChar w:fldCharType="end"/>
          </w:r>
          <w:r>
            <w:fldChar w:fldCharType="end"/>
          </w:r>
        </w:p>
        <w:p w14:paraId="77AE01F0">
          <w:pPr>
            <w:pStyle w:val="10"/>
            <w:keepNext w:val="0"/>
            <w:keepLines w:val="0"/>
            <w:pageBreakBefore w:val="0"/>
            <w:widowControl w:val="0"/>
            <w:tabs>
              <w:tab w:val="right" w:leader="dot" w:pos="8306"/>
            </w:tabs>
            <w:kinsoku/>
            <w:wordWrap w:val="0"/>
            <w:overflowPunct/>
            <w:topLinePunct/>
            <w:autoSpaceDE/>
            <w:autoSpaceDN/>
            <w:bidi w:val="0"/>
            <w:adjustRightInd/>
            <w:snapToGrid w:val="0"/>
            <w:ind w:left="960" w:firstLine="0" w:firstLineChars="0"/>
            <w:jc w:val="both"/>
            <w:textAlignment w:val="auto"/>
          </w:pPr>
          <w:r>
            <w:fldChar w:fldCharType="begin"/>
          </w:r>
          <w:r>
            <w:instrText xml:space="preserve"> HYPERLINK \l _Toc11873 </w:instrText>
          </w:r>
          <w:r>
            <w:fldChar w:fldCharType="separate"/>
          </w:r>
          <w:r>
            <w:t>1.2.2 国内研究现状</w:t>
          </w:r>
          <w:r>
            <w:tab/>
          </w:r>
          <w:r>
            <w:fldChar w:fldCharType="begin"/>
          </w:r>
          <w:r>
            <w:instrText xml:space="preserve"> PAGEREF _Toc11873 \h </w:instrText>
          </w:r>
          <w:r>
            <w:fldChar w:fldCharType="separate"/>
          </w:r>
          <w:r>
            <w:t>6</w:t>
          </w:r>
          <w:r>
            <w:fldChar w:fldCharType="end"/>
          </w:r>
          <w:r>
            <w:fldChar w:fldCharType="end"/>
          </w:r>
        </w:p>
        <w:p w14:paraId="0E38EADD">
          <w:pPr>
            <w:pStyle w:val="10"/>
            <w:keepNext w:val="0"/>
            <w:keepLines w:val="0"/>
            <w:pageBreakBefore w:val="0"/>
            <w:widowControl w:val="0"/>
            <w:tabs>
              <w:tab w:val="right" w:leader="dot" w:pos="8306"/>
            </w:tabs>
            <w:kinsoku/>
            <w:wordWrap w:val="0"/>
            <w:overflowPunct/>
            <w:topLinePunct/>
            <w:autoSpaceDE/>
            <w:autoSpaceDN/>
            <w:bidi w:val="0"/>
            <w:adjustRightInd/>
            <w:snapToGrid w:val="0"/>
            <w:ind w:left="960" w:firstLine="0" w:firstLineChars="0"/>
            <w:jc w:val="both"/>
            <w:textAlignment w:val="auto"/>
          </w:pPr>
          <w:r>
            <w:fldChar w:fldCharType="begin"/>
          </w:r>
          <w:r>
            <w:instrText xml:space="preserve"> HYPERLINK \l _Toc5382 </w:instrText>
          </w:r>
          <w:r>
            <w:fldChar w:fldCharType="separate"/>
          </w:r>
          <w:r>
            <w:t>1.2.3 研究现状总结与核心问题提炼</w:t>
          </w:r>
          <w:r>
            <w:tab/>
          </w:r>
          <w:r>
            <w:fldChar w:fldCharType="begin"/>
          </w:r>
          <w:r>
            <w:instrText xml:space="preserve"> PAGEREF _Toc5382 \h </w:instrText>
          </w:r>
          <w:r>
            <w:fldChar w:fldCharType="separate"/>
          </w:r>
          <w:r>
            <w:t>7</w:t>
          </w:r>
          <w:r>
            <w:fldChar w:fldCharType="end"/>
          </w:r>
          <w:r>
            <w:fldChar w:fldCharType="end"/>
          </w:r>
        </w:p>
        <w:p w14:paraId="78D65E48">
          <w:pPr>
            <w:pStyle w:val="17"/>
            <w:keepNext w:val="0"/>
            <w:keepLines w:val="0"/>
            <w:pageBreakBefore w:val="0"/>
            <w:widowControl w:val="0"/>
            <w:tabs>
              <w:tab w:val="right" w:leader="dot" w:pos="8306"/>
            </w:tabs>
            <w:kinsoku/>
            <w:wordWrap w:val="0"/>
            <w:overflowPunct/>
            <w:topLinePunct/>
            <w:autoSpaceDE/>
            <w:autoSpaceDN/>
            <w:bidi w:val="0"/>
            <w:adjustRightInd/>
            <w:snapToGrid w:val="0"/>
            <w:ind w:left="480" w:firstLine="0" w:firstLineChars="0"/>
            <w:jc w:val="both"/>
            <w:textAlignment w:val="auto"/>
          </w:pPr>
          <w:r>
            <w:fldChar w:fldCharType="begin"/>
          </w:r>
          <w:r>
            <w:instrText xml:space="preserve"> HYPERLINK \l _Toc15365 </w:instrText>
          </w:r>
          <w:r>
            <w:fldChar w:fldCharType="separate"/>
          </w:r>
          <w:r>
            <w:t>1.3 技术路线</w:t>
          </w:r>
          <w:r>
            <w:tab/>
          </w:r>
          <w:r>
            <w:fldChar w:fldCharType="begin"/>
          </w:r>
          <w:r>
            <w:instrText xml:space="preserve"> PAGEREF _Toc15365 \h </w:instrText>
          </w:r>
          <w:r>
            <w:fldChar w:fldCharType="separate"/>
          </w:r>
          <w:r>
            <w:t>9</w:t>
          </w:r>
          <w:r>
            <w:fldChar w:fldCharType="end"/>
          </w:r>
          <w:r>
            <w:fldChar w:fldCharType="end"/>
          </w:r>
        </w:p>
        <w:p w14:paraId="57AEF472">
          <w:pPr>
            <w:pStyle w:val="17"/>
            <w:keepNext w:val="0"/>
            <w:keepLines w:val="0"/>
            <w:pageBreakBefore w:val="0"/>
            <w:widowControl w:val="0"/>
            <w:tabs>
              <w:tab w:val="right" w:leader="dot" w:pos="8306"/>
            </w:tabs>
            <w:kinsoku/>
            <w:wordWrap w:val="0"/>
            <w:overflowPunct/>
            <w:topLinePunct/>
            <w:autoSpaceDE/>
            <w:autoSpaceDN/>
            <w:bidi w:val="0"/>
            <w:adjustRightInd/>
            <w:snapToGrid w:val="0"/>
            <w:ind w:left="480" w:firstLine="0" w:firstLineChars="0"/>
            <w:jc w:val="both"/>
            <w:textAlignment w:val="auto"/>
          </w:pPr>
          <w:r>
            <w:fldChar w:fldCharType="begin"/>
          </w:r>
          <w:r>
            <w:instrText xml:space="preserve"> HYPERLINK \l _Toc28210 </w:instrText>
          </w:r>
          <w:r>
            <w:fldChar w:fldCharType="separate"/>
          </w:r>
          <w:r>
            <w:t>1.</w:t>
          </w:r>
          <w:r>
            <w:rPr>
              <w:rFonts w:hint="eastAsia"/>
              <w:lang w:val="en-US" w:eastAsia="zh-CN"/>
            </w:rPr>
            <w:t>4</w:t>
          </w:r>
          <w:r>
            <w:t xml:space="preserve"> 可能的创新点</w:t>
          </w:r>
          <w:r>
            <w:tab/>
          </w:r>
          <w:r>
            <w:fldChar w:fldCharType="begin"/>
          </w:r>
          <w:r>
            <w:instrText xml:space="preserve"> PAGEREF _Toc28210 \h </w:instrText>
          </w:r>
          <w:r>
            <w:fldChar w:fldCharType="separate"/>
          </w:r>
          <w:r>
            <w:t>10</w:t>
          </w:r>
          <w:r>
            <w:fldChar w:fldCharType="end"/>
          </w:r>
          <w:r>
            <w:fldChar w:fldCharType="end"/>
          </w:r>
        </w:p>
        <w:p w14:paraId="202E16E7">
          <w:pPr>
            <w:pStyle w:val="14"/>
            <w:keepNext w:val="0"/>
            <w:keepLines w:val="0"/>
            <w:pageBreakBefore w:val="0"/>
            <w:widowControl w:val="0"/>
            <w:tabs>
              <w:tab w:val="right" w:leader="dot" w:pos="8306"/>
            </w:tabs>
            <w:kinsoku/>
            <w:wordWrap w:val="0"/>
            <w:overflowPunct/>
            <w:topLinePunct/>
            <w:autoSpaceDE/>
            <w:autoSpaceDN/>
            <w:bidi w:val="0"/>
            <w:adjustRightInd/>
            <w:snapToGrid w:val="0"/>
            <w:ind w:firstLine="0" w:firstLineChars="0"/>
            <w:textAlignment w:val="auto"/>
          </w:pPr>
          <w:r>
            <w:fldChar w:fldCharType="begin"/>
          </w:r>
          <w:r>
            <w:instrText xml:space="preserve"> HYPERLINK \l _Toc31328 </w:instrText>
          </w:r>
          <w:r>
            <w:fldChar w:fldCharType="separate"/>
          </w:r>
          <w:r>
            <w:rPr>
              <w:rFonts w:hint="eastAsia" w:ascii="Times New Roman" w:hAnsi="Times New Roman"/>
            </w:rPr>
            <w:t xml:space="preserve">第二章 </w:t>
          </w:r>
          <w:r>
            <w:rPr>
              <w:rFonts w:ascii="Times New Roman" w:hAnsi="Times New Roman"/>
            </w:rPr>
            <w:t>滚动轴承退化机理、多工况信号特征与理论基础</w:t>
          </w:r>
          <w:r>
            <w:tab/>
          </w:r>
          <w:r>
            <w:fldChar w:fldCharType="begin"/>
          </w:r>
          <w:r>
            <w:instrText xml:space="preserve"> PAGEREF _Toc31328 \h </w:instrText>
          </w:r>
          <w:r>
            <w:fldChar w:fldCharType="separate"/>
          </w:r>
          <w:r>
            <w:t>12</w:t>
          </w:r>
          <w:r>
            <w:fldChar w:fldCharType="end"/>
          </w:r>
          <w:r>
            <w:fldChar w:fldCharType="end"/>
          </w:r>
        </w:p>
        <w:p w14:paraId="0A5C7285">
          <w:pPr>
            <w:pStyle w:val="17"/>
            <w:keepNext w:val="0"/>
            <w:keepLines w:val="0"/>
            <w:pageBreakBefore w:val="0"/>
            <w:widowControl w:val="0"/>
            <w:tabs>
              <w:tab w:val="right" w:leader="dot" w:pos="8306"/>
            </w:tabs>
            <w:kinsoku/>
            <w:wordWrap w:val="0"/>
            <w:overflowPunct/>
            <w:topLinePunct/>
            <w:autoSpaceDE/>
            <w:autoSpaceDN/>
            <w:bidi w:val="0"/>
            <w:adjustRightInd/>
            <w:snapToGrid w:val="0"/>
            <w:ind w:left="480" w:firstLine="0" w:firstLineChars="0"/>
            <w:jc w:val="both"/>
            <w:textAlignment w:val="auto"/>
          </w:pPr>
          <w:r>
            <w:fldChar w:fldCharType="begin"/>
          </w:r>
          <w:r>
            <w:instrText xml:space="preserve"> HYPERLINK \l _Toc25889 </w:instrText>
          </w:r>
          <w:r>
            <w:fldChar w:fldCharType="separate"/>
          </w:r>
          <w:r>
            <w:t>2.1 滚动轴承退化机理与 RUL 预测基本原理</w:t>
          </w:r>
          <w:r>
            <w:tab/>
          </w:r>
          <w:r>
            <w:fldChar w:fldCharType="begin"/>
          </w:r>
          <w:r>
            <w:instrText xml:space="preserve"> PAGEREF _Toc25889 \h </w:instrText>
          </w:r>
          <w:r>
            <w:fldChar w:fldCharType="separate"/>
          </w:r>
          <w:r>
            <w:t>12</w:t>
          </w:r>
          <w:r>
            <w:fldChar w:fldCharType="end"/>
          </w:r>
          <w:r>
            <w:fldChar w:fldCharType="end"/>
          </w:r>
        </w:p>
        <w:p w14:paraId="1FC45A76">
          <w:pPr>
            <w:pStyle w:val="10"/>
            <w:keepNext w:val="0"/>
            <w:keepLines w:val="0"/>
            <w:pageBreakBefore w:val="0"/>
            <w:widowControl w:val="0"/>
            <w:tabs>
              <w:tab w:val="right" w:leader="dot" w:pos="8306"/>
            </w:tabs>
            <w:kinsoku/>
            <w:wordWrap w:val="0"/>
            <w:overflowPunct/>
            <w:topLinePunct/>
            <w:autoSpaceDE/>
            <w:autoSpaceDN/>
            <w:bidi w:val="0"/>
            <w:adjustRightInd/>
            <w:snapToGrid w:val="0"/>
            <w:ind w:left="960" w:firstLine="0" w:firstLineChars="0"/>
            <w:jc w:val="both"/>
            <w:textAlignment w:val="auto"/>
          </w:pPr>
          <w:r>
            <w:fldChar w:fldCharType="begin"/>
          </w:r>
          <w:r>
            <w:instrText xml:space="preserve"> HYPERLINK \l _Toc20656 </w:instrText>
          </w:r>
          <w:r>
            <w:fldChar w:fldCharType="separate"/>
          </w:r>
          <w:r>
            <w:t>2.1.1 滚动轴承典型失效形式与退化过程</w:t>
          </w:r>
          <w:r>
            <w:tab/>
          </w:r>
          <w:r>
            <w:fldChar w:fldCharType="begin"/>
          </w:r>
          <w:r>
            <w:instrText xml:space="preserve"> PAGEREF _Toc20656 \h </w:instrText>
          </w:r>
          <w:r>
            <w:fldChar w:fldCharType="separate"/>
          </w:r>
          <w:r>
            <w:t>12</w:t>
          </w:r>
          <w:r>
            <w:fldChar w:fldCharType="end"/>
          </w:r>
          <w:r>
            <w:fldChar w:fldCharType="end"/>
          </w:r>
        </w:p>
        <w:p w14:paraId="68721601">
          <w:pPr>
            <w:pStyle w:val="10"/>
            <w:keepNext w:val="0"/>
            <w:keepLines w:val="0"/>
            <w:pageBreakBefore w:val="0"/>
            <w:widowControl w:val="0"/>
            <w:tabs>
              <w:tab w:val="right" w:leader="dot" w:pos="8306"/>
            </w:tabs>
            <w:kinsoku/>
            <w:wordWrap w:val="0"/>
            <w:overflowPunct/>
            <w:topLinePunct/>
            <w:autoSpaceDE/>
            <w:autoSpaceDN/>
            <w:bidi w:val="0"/>
            <w:adjustRightInd/>
            <w:snapToGrid w:val="0"/>
            <w:ind w:left="960" w:firstLine="0" w:firstLineChars="0"/>
            <w:jc w:val="both"/>
            <w:textAlignment w:val="auto"/>
          </w:pPr>
          <w:r>
            <w:fldChar w:fldCharType="begin"/>
          </w:r>
          <w:r>
            <w:instrText xml:space="preserve"> HYPERLINK \l _Toc15747 </w:instrText>
          </w:r>
          <w:r>
            <w:fldChar w:fldCharType="separate"/>
          </w:r>
          <w:r>
            <w:t>2.1.2 滚动轴承RUL预测的基本流程与核心要素</w:t>
          </w:r>
          <w:r>
            <w:tab/>
          </w:r>
          <w:r>
            <w:fldChar w:fldCharType="begin"/>
          </w:r>
          <w:r>
            <w:instrText xml:space="preserve"> PAGEREF _Toc15747 \h </w:instrText>
          </w:r>
          <w:r>
            <w:fldChar w:fldCharType="separate"/>
          </w:r>
          <w:r>
            <w:t>13</w:t>
          </w:r>
          <w:r>
            <w:fldChar w:fldCharType="end"/>
          </w:r>
          <w:r>
            <w:fldChar w:fldCharType="end"/>
          </w:r>
        </w:p>
        <w:p w14:paraId="2EDAE15C">
          <w:pPr>
            <w:pStyle w:val="17"/>
            <w:keepNext w:val="0"/>
            <w:keepLines w:val="0"/>
            <w:pageBreakBefore w:val="0"/>
            <w:widowControl w:val="0"/>
            <w:tabs>
              <w:tab w:val="right" w:leader="dot" w:pos="8306"/>
            </w:tabs>
            <w:kinsoku/>
            <w:wordWrap w:val="0"/>
            <w:overflowPunct/>
            <w:topLinePunct/>
            <w:autoSpaceDE/>
            <w:autoSpaceDN/>
            <w:bidi w:val="0"/>
            <w:adjustRightInd/>
            <w:snapToGrid w:val="0"/>
            <w:ind w:left="480" w:firstLine="0" w:firstLineChars="0"/>
            <w:jc w:val="both"/>
            <w:textAlignment w:val="auto"/>
          </w:pPr>
          <w:r>
            <w:fldChar w:fldCharType="begin"/>
          </w:r>
          <w:r>
            <w:instrText xml:space="preserve"> HYPERLINK \l _Toc4025 </w:instrText>
          </w:r>
          <w:r>
            <w:fldChar w:fldCharType="separate"/>
          </w:r>
          <w:r>
            <w:t>2.2 深度学习相关核心理论</w:t>
          </w:r>
          <w:r>
            <w:tab/>
          </w:r>
          <w:r>
            <w:fldChar w:fldCharType="begin"/>
          </w:r>
          <w:r>
            <w:instrText xml:space="preserve"> PAGEREF _Toc4025 \h </w:instrText>
          </w:r>
          <w:r>
            <w:fldChar w:fldCharType="separate"/>
          </w:r>
          <w:r>
            <w:t>13</w:t>
          </w:r>
          <w:r>
            <w:fldChar w:fldCharType="end"/>
          </w:r>
          <w:r>
            <w:fldChar w:fldCharType="end"/>
          </w:r>
        </w:p>
        <w:p w14:paraId="231FD1F0">
          <w:pPr>
            <w:pStyle w:val="10"/>
            <w:keepNext w:val="0"/>
            <w:keepLines w:val="0"/>
            <w:pageBreakBefore w:val="0"/>
            <w:widowControl w:val="0"/>
            <w:tabs>
              <w:tab w:val="right" w:leader="dot" w:pos="8306"/>
            </w:tabs>
            <w:kinsoku/>
            <w:wordWrap w:val="0"/>
            <w:overflowPunct/>
            <w:topLinePunct/>
            <w:autoSpaceDE/>
            <w:autoSpaceDN/>
            <w:bidi w:val="0"/>
            <w:adjustRightInd/>
            <w:snapToGrid w:val="0"/>
            <w:ind w:left="960" w:firstLine="0" w:firstLineChars="0"/>
            <w:jc w:val="both"/>
            <w:textAlignment w:val="auto"/>
          </w:pPr>
          <w:r>
            <w:fldChar w:fldCharType="begin"/>
          </w:r>
          <w:r>
            <w:instrText xml:space="preserve"> HYPERLINK \l _Toc6520 </w:instrText>
          </w:r>
          <w:r>
            <w:fldChar w:fldCharType="separate"/>
          </w:r>
          <w:r>
            <w:t>2.2.1 残差网络（ResNet）原理与特征提取优势</w:t>
          </w:r>
          <w:r>
            <w:tab/>
          </w:r>
          <w:r>
            <w:fldChar w:fldCharType="begin"/>
          </w:r>
          <w:r>
            <w:instrText xml:space="preserve"> PAGEREF _Toc6520 \h </w:instrText>
          </w:r>
          <w:r>
            <w:fldChar w:fldCharType="separate"/>
          </w:r>
          <w:r>
            <w:t>13</w:t>
          </w:r>
          <w:r>
            <w:fldChar w:fldCharType="end"/>
          </w:r>
          <w:r>
            <w:fldChar w:fldCharType="end"/>
          </w:r>
        </w:p>
        <w:p w14:paraId="2204D1EB">
          <w:pPr>
            <w:pStyle w:val="10"/>
            <w:keepNext w:val="0"/>
            <w:keepLines w:val="0"/>
            <w:pageBreakBefore w:val="0"/>
            <w:widowControl w:val="0"/>
            <w:tabs>
              <w:tab w:val="right" w:leader="dot" w:pos="8306"/>
            </w:tabs>
            <w:kinsoku/>
            <w:wordWrap w:val="0"/>
            <w:overflowPunct/>
            <w:topLinePunct/>
            <w:autoSpaceDE/>
            <w:autoSpaceDN/>
            <w:bidi w:val="0"/>
            <w:adjustRightInd/>
            <w:snapToGrid w:val="0"/>
            <w:ind w:left="960" w:firstLine="0" w:firstLineChars="0"/>
            <w:jc w:val="both"/>
            <w:textAlignment w:val="auto"/>
          </w:pPr>
          <w:r>
            <w:fldChar w:fldCharType="begin"/>
          </w:r>
          <w:r>
            <w:instrText xml:space="preserve"> HYPERLINK \l _Toc23498 </w:instrText>
          </w:r>
          <w:r>
            <w:fldChar w:fldCharType="separate"/>
          </w:r>
          <w:r>
            <w:t>2.2.2 挤压激励（SE）注意力机制</w:t>
          </w:r>
          <w:r>
            <w:tab/>
          </w:r>
          <w:r>
            <w:fldChar w:fldCharType="begin"/>
          </w:r>
          <w:r>
            <w:instrText xml:space="preserve"> PAGEREF _Toc23498 \h </w:instrText>
          </w:r>
          <w:r>
            <w:fldChar w:fldCharType="separate"/>
          </w:r>
          <w:r>
            <w:t>14</w:t>
          </w:r>
          <w:r>
            <w:fldChar w:fldCharType="end"/>
          </w:r>
          <w:r>
            <w:fldChar w:fldCharType="end"/>
          </w:r>
        </w:p>
        <w:p w14:paraId="23105ED9">
          <w:pPr>
            <w:pStyle w:val="10"/>
            <w:keepNext w:val="0"/>
            <w:keepLines w:val="0"/>
            <w:pageBreakBefore w:val="0"/>
            <w:widowControl w:val="0"/>
            <w:tabs>
              <w:tab w:val="right" w:leader="dot" w:pos="8306"/>
            </w:tabs>
            <w:kinsoku/>
            <w:wordWrap w:val="0"/>
            <w:overflowPunct/>
            <w:topLinePunct/>
            <w:autoSpaceDE/>
            <w:autoSpaceDN/>
            <w:bidi w:val="0"/>
            <w:adjustRightInd/>
            <w:snapToGrid w:val="0"/>
            <w:ind w:left="960" w:firstLine="0" w:firstLineChars="0"/>
            <w:jc w:val="both"/>
            <w:textAlignment w:val="auto"/>
          </w:pPr>
          <w:r>
            <w:fldChar w:fldCharType="begin"/>
          </w:r>
          <w:r>
            <w:instrText xml:space="preserve"> HYPERLINK \l _Toc5142 </w:instrText>
          </w:r>
          <w:r>
            <w:fldChar w:fldCharType="separate"/>
          </w:r>
          <w:r>
            <w:t>2.2.3 双向门控循环单元（BiGRU）</w:t>
          </w:r>
          <w:r>
            <w:tab/>
          </w:r>
          <w:r>
            <w:fldChar w:fldCharType="begin"/>
          </w:r>
          <w:r>
            <w:instrText xml:space="preserve"> PAGEREF _Toc5142 \h </w:instrText>
          </w:r>
          <w:r>
            <w:fldChar w:fldCharType="separate"/>
          </w:r>
          <w:r>
            <w:t>15</w:t>
          </w:r>
          <w:r>
            <w:fldChar w:fldCharType="end"/>
          </w:r>
          <w:r>
            <w:fldChar w:fldCharType="end"/>
          </w:r>
        </w:p>
        <w:p w14:paraId="325A6B14">
          <w:pPr>
            <w:pStyle w:val="17"/>
            <w:keepNext w:val="0"/>
            <w:keepLines w:val="0"/>
            <w:pageBreakBefore w:val="0"/>
            <w:widowControl w:val="0"/>
            <w:tabs>
              <w:tab w:val="right" w:leader="dot" w:pos="8306"/>
            </w:tabs>
            <w:kinsoku/>
            <w:wordWrap w:val="0"/>
            <w:overflowPunct/>
            <w:topLinePunct/>
            <w:autoSpaceDE/>
            <w:autoSpaceDN/>
            <w:bidi w:val="0"/>
            <w:adjustRightInd/>
            <w:snapToGrid w:val="0"/>
            <w:ind w:left="480" w:firstLine="0" w:firstLineChars="0"/>
            <w:jc w:val="both"/>
            <w:textAlignment w:val="auto"/>
          </w:pPr>
          <w:r>
            <w:fldChar w:fldCharType="begin"/>
          </w:r>
          <w:r>
            <w:instrText xml:space="preserve"> HYPERLINK \l _Toc21398 </w:instrText>
          </w:r>
          <w:r>
            <w:fldChar w:fldCharType="separate"/>
          </w:r>
          <w:r>
            <w:t>2.3 XJTU-SY滚动轴承多工况数据集分析与建模需求</w:t>
          </w:r>
          <w:r>
            <w:tab/>
          </w:r>
          <w:r>
            <w:fldChar w:fldCharType="begin"/>
          </w:r>
          <w:r>
            <w:instrText xml:space="preserve"> PAGEREF _Toc21398 \h </w:instrText>
          </w:r>
          <w:r>
            <w:fldChar w:fldCharType="separate"/>
          </w:r>
          <w:r>
            <w:t>15</w:t>
          </w:r>
          <w:r>
            <w:fldChar w:fldCharType="end"/>
          </w:r>
          <w:r>
            <w:fldChar w:fldCharType="end"/>
          </w:r>
        </w:p>
        <w:p w14:paraId="5F7343F7">
          <w:pPr>
            <w:pStyle w:val="10"/>
            <w:keepNext w:val="0"/>
            <w:keepLines w:val="0"/>
            <w:pageBreakBefore w:val="0"/>
            <w:widowControl w:val="0"/>
            <w:tabs>
              <w:tab w:val="right" w:leader="dot" w:pos="8306"/>
            </w:tabs>
            <w:kinsoku/>
            <w:wordWrap w:val="0"/>
            <w:overflowPunct/>
            <w:topLinePunct/>
            <w:autoSpaceDE/>
            <w:autoSpaceDN/>
            <w:bidi w:val="0"/>
            <w:adjustRightInd/>
            <w:snapToGrid w:val="0"/>
            <w:ind w:left="960" w:firstLine="0" w:firstLineChars="0"/>
            <w:jc w:val="both"/>
            <w:textAlignment w:val="auto"/>
          </w:pPr>
          <w:r>
            <w:fldChar w:fldCharType="begin"/>
          </w:r>
          <w:r>
            <w:instrText xml:space="preserve"> HYPERLINK \l _Toc26969 </w:instrText>
          </w:r>
          <w:r>
            <w:fldChar w:fldCharType="separate"/>
          </w:r>
          <w:r>
            <w:t>2.3.1 数据集来源、构成与工况设置</w:t>
          </w:r>
          <w:r>
            <w:tab/>
          </w:r>
          <w:r>
            <w:fldChar w:fldCharType="begin"/>
          </w:r>
          <w:r>
            <w:instrText xml:space="preserve"> PAGEREF _Toc26969 \h </w:instrText>
          </w:r>
          <w:r>
            <w:fldChar w:fldCharType="separate"/>
          </w:r>
          <w:r>
            <w:t>15</w:t>
          </w:r>
          <w:r>
            <w:fldChar w:fldCharType="end"/>
          </w:r>
          <w:r>
            <w:fldChar w:fldCharType="end"/>
          </w:r>
        </w:p>
        <w:p w14:paraId="18958F79">
          <w:pPr>
            <w:pStyle w:val="10"/>
            <w:keepNext w:val="0"/>
            <w:keepLines w:val="0"/>
            <w:pageBreakBefore w:val="0"/>
            <w:widowControl w:val="0"/>
            <w:tabs>
              <w:tab w:val="right" w:leader="dot" w:pos="8306"/>
            </w:tabs>
            <w:kinsoku/>
            <w:wordWrap w:val="0"/>
            <w:overflowPunct/>
            <w:topLinePunct/>
            <w:autoSpaceDE/>
            <w:autoSpaceDN/>
            <w:bidi w:val="0"/>
            <w:adjustRightInd/>
            <w:snapToGrid w:val="0"/>
            <w:ind w:left="960" w:firstLine="0" w:firstLineChars="0"/>
            <w:jc w:val="both"/>
            <w:textAlignment w:val="auto"/>
          </w:pPr>
          <w:r>
            <w:fldChar w:fldCharType="begin"/>
          </w:r>
          <w:r>
            <w:instrText xml:space="preserve"> HYPERLINK \l _Toc17147 </w:instrText>
          </w:r>
          <w:r>
            <w:fldChar w:fldCharType="separate"/>
          </w:r>
          <w:r>
            <w:t>2.3.2 多工况下轴承振动信号的特征差异与演化规律</w:t>
          </w:r>
          <w:r>
            <w:tab/>
          </w:r>
          <w:r>
            <w:fldChar w:fldCharType="begin"/>
          </w:r>
          <w:r>
            <w:instrText xml:space="preserve"> PAGEREF _Toc17147 \h </w:instrText>
          </w:r>
          <w:r>
            <w:fldChar w:fldCharType="separate"/>
          </w:r>
          <w:r>
            <w:t>16</w:t>
          </w:r>
          <w:r>
            <w:fldChar w:fldCharType="end"/>
          </w:r>
          <w:r>
            <w:fldChar w:fldCharType="end"/>
          </w:r>
        </w:p>
        <w:p w14:paraId="7A77BFE7">
          <w:pPr>
            <w:pStyle w:val="10"/>
            <w:keepNext w:val="0"/>
            <w:keepLines w:val="0"/>
            <w:pageBreakBefore w:val="0"/>
            <w:widowControl w:val="0"/>
            <w:tabs>
              <w:tab w:val="right" w:leader="dot" w:pos="8306"/>
            </w:tabs>
            <w:kinsoku/>
            <w:wordWrap w:val="0"/>
            <w:overflowPunct/>
            <w:topLinePunct/>
            <w:autoSpaceDE/>
            <w:autoSpaceDN/>
            <w:bidi w:val="0"/>
            <w:adjustRightInd/>
            <w:snapToGrid w:val="0"/>
            <w:ind w:left="960" w:firstLine="0" w:firstLineChars="0"/>
            <w:jc w:val="both"/>
            <w:textAlignment w:val="auto"/>
          </w:pPr>
          <w:r>
            <w:fldChar w:fldCharType="begin"/>
          </w:r>
          <w:r>
            <w:instrText xml:space="preserve"> HYPERLINK \l _Toc24135 </w:instrText>
          </w:r>
          <w:r>
            <w:fldChar w:fldCharType="separate"/>
          </w:r>
          <w:r>
            <w:t>2.3.3 多工况轴承RUL预测的核心建模需求</w:t>
          </w:r>
          <w:r>
            <w:tab/>
          </w:r>
          <w:r>
            <w:fldChar w:fldCharType="begin"/>
          </w:r>
          <w:r>
            <w:instrText xml:space="preserve"> PAGEREF _Toc24135 \h </w:instrText>
          </w:r>
          <w:r>
            <w:fldChar w:fldCharType="separate"/>
          </w:r>
          <w:r>
            <w:t>17</w:t>
          </w:r>
          <w:r>
            <w:fldChar w:fldCharType="end"/>
          </w:r>
          <w:r>
            <w:fldChar w:fldCharType="end"/>
          </w:r>
        </w:p>
        <w:p w14:paraId="72349E35">
          <w:pPr>
            <w:pStyle w:val="14"/>
            <w:keepNext w:val="0"/>
            <w:keepLines w:val="0"/>
            <w:pageBreakBefore w:val="0"/>
            <w:widowControl w:val="0"/>
            <w:tabs>
              <w:tab w:val="right" w:leader="dot" w:pos="8306"/>
            </w:tabs>
            <w:kinsoku/>
            <w:wordWrap w:val="0"/>
            <w:overflowPunct/>
            <w:topLinePunct/>
            <w:autoSpaceDE/>
            <w:autoSpaceDN/>
            <w:bidi w:val="0"/>
            <w:adjustRightInd/>
            <w:snapToGrid w:val="0"/>
            <w:ind w:firstLine="0" w:firstLineChars="0"/>
            <w:textAlignment w:val="auto"/>
          </w:pPr>
          <w:r>
            <w:fldChar w:fldCharType="begin"/>
          </w:r>
          <w:r>
            <w:instrText xml:space="preserve"> HYPERLINK \l _Toc26872 </w:instrText>
          </w:r>
          <w:r>
            <w:fldChar w:fldCharType="separate"/>
          </w:r>
          <w:r>
            <w:rPr>
              <w:rFonts w:hint="eastAsia" w:ascii="Times New Roman" w:hAnsi="Times New Roman"/>
            </w:rPr>
            <w:t xml:space="preserve">第三章 </w:t>
          </w:r>
          <w:r>
            <w:rPr>
              <w:rFonts w:ascii="Times New Roman" w:hAnsi="Times New Roman"/>
            </w:rPr>
            <w:t>基于 SE-ResNet+BiGRU 的多工况轴承RUL 预测模型设计</w:t>
          </w:r>
          <w:r>
            <w:tab/>
          </w:r>
          <w:r>
            <w:fldChar w:fldCharType="begin"/>
          </w:r>
          <w:r>
            <w:instrText xml:space="preserve"> PAGEREF _Toc26872 \h </w:instrText>
          </w:r>
          <w:r>
            <w:fldChar w:fldCharType="separate"/>
          </w:r>
          <w:r>
            <w:t>18</w:t>
          </w:r>
          <w:r>
            <w:fldChar w:fldCharType="end"/>
          </w:r>
          <w:r>
            <w:fldChar w:fldCharType="end"/>
          </w:r>
        </w:p>
        <w:p w14:paraId="77238EE7">
          <w:pPr>
            <w:pStyle w:val="17"/>
            <w:keepNext w:val="0"/>
            <w:keepLines w:val="0"/>
            <w:pageBreakBefore w:val="0"/>
            <w:widowControl w:val="0"/>
            <w:tabs>
              <w:tab w:val="right" w:leader="dot" w:pos="8306"/>
            </w:tabs>
            <w:kinsoku/>
            <w:wordWrap w:val="0"/>
            <w:overflowPunct/>
            <w:topLinePunct/>
            <w:autoSpaceDE/>
            <w:autoSpaceDN/>
            <w:bidi w:val="0"/>
            <w:adjustRightInd/>
            <w:snapToGrid w:val="0"/>
            <w:ind w:left="480" w:firstLine="0" w:firstLineChars="0"/>
            <w:jc w:val="both"/>
            <w:textAlignment w:val="auto"/>
          </w:pPr>
          <w:r>
            <w:fldChar w:fldCharType="begin"/>
          </w:r>
          <w:r>
            <w:instrText xml:space="preserve"> HYPERLINK \l _Toc29589 </w:instrText>
          </w:r>
          <w:r>
            <w:fldChar w:fldCharType="separate"/>
          </w:r>
          <w:r>
            <w:t>3.1 模型整体框架设计与构建思路</w:t>
          </w:r>
          <w:r>
            <w:tab/>
          </w:r>
          <w:r>
            <w:fldChar w:fldCharType="begin"/>
          </w:r>
          <w:r>
            <w:instrText xml:space="preserve"> PAGEREF _Toc29589 \h </w:instrText>
          </w:r>
          <w:r>
            <w:fldChar w:fldCharType="separate"/>
          </w:r>
          <w:r>
            <w:t>18</w:t>
          </w:r>
          <w:r>
            <w:fldChar w:fldCharType="end"/>
          </w:r>
          <w:r>
            <w:fldChar w:fldCharType="end"/>
          </w:r>
        </w:p>
        <w:p w14:paraId="14D78329">
          <w:pPr>
            <w:pStyle w:val="10"/>
            <w:keepNext w:val="0"/>
            <w:keepLines w:val="0"/>
            <w:pageBreakBefore w:val="0"/>
            <w:widowControl w:val="0"/>
            <w:tabs>
              <w:tab w:val="right" w:leader="dot" w:pos="8306"/>
            </w:tabs>
            <w:kinsoku/>
            <w:wordWrap w:val="0"/>
            <w:overflowPunct/>
            <w:topLinePunct/>
            <w:autoSpaceDE/>
            <w:autoSpaceDN/>
            <w:bidi w:val="0"/>
            <w:adjustRightInd/>
            <w:snapToGrid w:val="0"/>
            <w:ind w:left="960" w:firstLine="0" w:firstLineChars="0"/>
            <w:jc w:val="both"/>
            <w:textAlignment w:val="auto"/>
          </w:pPr>
          <w:r>
            <w:fldChar w:fldCharType="begin"/>
          </w:r>
          <w:r>
            <w:instrText xml:space="preserve"> HYPERLINK \l _Toc21088 </w:instrText>
          </w:r>
          <w:r>
            <w:fldChar w:fldCharType="separate"/>
          </w:r>
          <w:r>
            <w:t>3.1.1 多工况 RUL 预测模型整体架构</w:t>
          </w:r>
          <w:r>
            <w:tab/>
          </w:r>
          <w:r>
            <w:fldChar w:fldCharType="begin"/>
          </w:r>
          <w:r>
            <w:instrText xml:space="preserve"> PAGEREF _Toc21088 \h </w:instrText>
          </w:r>
          <w:r>
            <w:fldChar w:fldCharType="separate"/>
          </w:r>
          <w:r>
            <w:t>18</w:t>
          </w:r>
          <w:r>
            <w:fldChar w:fldCharType="end"/>
          </w:r>
          <w:r>
            <w:fldChar w:fldCharType="end"/>
          </w:r>
        </w:p>
        <w:p w14:paraId="57395A6C">
          <w:pPr>
            <w:pStyle w:val="10"/>
            <w:keepNext w:val="0"/>
            <w:keepLines w:val="0"/>
            <w:pageBreakBefore w:val="0"/>
            <w:widowControl w:val="0"/>
            <w:tabs>
              <w:tab w:val="right" w:leader="dot" w:pos="8306"/>
            </w:tabs>
            <w:kinsoku/>
            <w:wordWrap w:val="0"/>
            <w:overflowPunct/>
            <w:topLinePunct/>
            <w:autoSpaceDE/>
            <w:autoSpaceDN/>
            <w:bidi w:val="0"/>
            <w:adjustRightInd/>
            <w:snapToGrid w:val="0"/>
            <w:ind w:left="960" w:firstLine="0" w:firstLineChars="0"/>
            <w:jc w:val="both"/>
            <w:textAlignment w:val="auto"/>
          </w:pPr>
          <w:r>
            <w:fldChar w:fldCharType="begin"/>
          </w:r>
          <w:r>
            <w:instrText xml:space="preserve"> HYPERLINK \l _Toc32269 </w:instrText>
          </w:r>
          <w:r>
            <w:fldChar w:fldCharType="separate"/>
          </w:r>
          <w:r>
            <w:t>3.1.2 模型设计的多工况适配核心思路</w:t>
          </w:r>
          <w:r>
            <w:tab/>
          </w:r>
          <w:r>
            <w:fldChar w:fldCharType="begin"/>
          </w:r>
          <w:r>
            <w:instrText xml:space="preserve"> PAGEREF _Toc32269 \h </w:instrText>
          </w:r>
          <w:r>
            <w:fldChar w:fldCharType="separate"/>
          </w:r>
          <w:r>
            <w:t>19</w:t>
          </w:r>
          <w:r>
            <w:fldChar w:fldCharType="end"/>
          </w:r>
          <w:r>
            <w:fldChar w:fldCharType="end"/>
          </w:r>
        </w:p>
        <w:p w14:paraId="00CBBBBD">
          <w:pPr>
            <w:pStyle w:val="17"/>
            <w:keepNext w:val="0"/>
            <w:keepLines w:val="0"/>
            <w:pageBreakBefore w:val="0"/>
            <w:widowControl w:val="0"/>
            <w:tabs>
              <w:tab w:val="right" w:leader="dot" w:pos="8306"/>
            </w:tabs>
            <w:kinsoku/>
            <w:wordWrap w:val="0"/>
            <w:overflowPunct/>
            <w:topLinePunct/>
            <w:autoSpaceDE/>
            <w:autoSpaceDN/>
            <w:bidi w:val="0"/>
            <w:adjustRightInd/>
            <w:snapToGrid w:val="0"/>
            <w:ind w:left="480" w:firstLine="0" w:firstLineChars="0"/>
            <w:jc w:val="both"/>
            <w:textAlignment w:val="auto"/>
          </w:pPr>
          <w:r>
            <w:fldChar w:fldCharType="begin"/>
          </w:r>
          <w:r>
            <w:instrText xml:space="preserve"> HYPERLINK \l _Toc5895 </w:instrText>
          </w:r>
          <w:r>
            <w:fldChar w:fldCharType="separate"/>
          </w:r>
          <w:r>
            <w:t>3.2 多工况适配的振动信号预处理</w:t>
          </w:r>
          <w:r>
            <w:tab/>
          </w:r>
          <w:r>
            <w:fldChar w:fldCharType="begin"/>
          </w:r>
          <w:r>
            <w:instrText xml:space="preserve"> PAGEREF _Toc5895 \h </w:instrText>
          </w:r>
          <w:r>
            <w:fldChar w:fldCharType="separate"/>
          </w:r>
          <w:r>
            <w:t>19</w:t>
          </w:r>
          <w:r>
            <w:fldChar w:fldCharType="end"/>
          </w:r>
          <w:r>
            <w:fldChar w:fldCharType="end"/>
          </w:r>
        </w:p>
        <w:p w14:paraId="44B1F2E7">
          <w:pPr>
            <w:pStyle w:val="10"/>
            <w:keepNext w:val="0"/>
            <w:keepLines w:val="0"/>
            <w:pageBreakBefore w:val="0"/>
            <w:widowControl w:val="0"/>
            <w:tabs>
              <w:tab w:val="right" w:leader="dot" w:pos="8306"/>
            </w:tabs>
            <w:kinsoku/>
            <w:wordWrap w:val="0"/>
            <w:overflowPunct/>
            <w:topLinePunct/>
            <w:autoSpaceDE/>
            <w:autoSpaceDN/>
            <w:bidi w:val="0"/>
            <w:adjustRightInd/>
            <w:snapToGrid w:val="0"/>
            <w:ind w:left="960" w:firstLine="0" w:firstLineChars="0"/>
            <w:jc w:val="both"/>
            <w:textAlignment w:val="auto"/>
          </w:pPr>
          <w:r>
            <w:fldChar w:fldCharType="begin"/>
          </w:r>
          <w:r>
            <w:instrText xml:space="preserve"> HYPERLINK \l _Toc23428 </w:instrText>
          </w:r>
          <w:r>
            <w:fldChar w:fldCharType="separate"/>
          </w:r>
          <w:r>
            <w:t>3.2.1 快速傅里叶变换（FFT）频域特征转换</w:t>
          </w:r>
          <w:r>
            <w:tab/>
          </w:r>
          <w:r>
            <w:fldChar w:fldCharType="begin"/>
          </w:r>
          <w:r>
            <w:instrText xml:space="preserve"> PAGEREF _Toc23428 \h </w:instrText>
          </w:r>
          <w:r>
            <w:fldChar w:fldCharType="separate"/>
          </w:r>
          <w:r>
            <w:t>19</w:t>
          </w:r>
          <w:r>
            <w:fldChar w:fldCharType="end"/>
          </w:r>
          <w:r>
            <w:fldChar w:fldCharType="end"/>
          </w:r>
        </w:p>
        <w:p w14:paraId="5D1DE96E">
          <w:pPr>
            <w:pStyle w:val="10"/>
            <w:keepNext w:val="0"/>
            <w:keepLines w:val="0"/>
            <w:pageBreakBefore w:val="0"/>
            <w:widowControl w:val="0"/>
            <w:tabs>
              <w:tab w:val="right" w:leader="dot" w:pos="8306"/>
            </w:tabs>
            <w:kinsoku/>
            <w:wordWrap w:val="0"/>
            <w:overflowPunct/>
            <w:topLinePunct/>
            <w:autoSpaceDE/>
            <w:autoSpaceDN/>
            <w:bidi w:val="0"/>
            <w:adjustRightInd/>
            <w:snapToGrid w:val="0"/>
            <w:ind w:left="960" w:firstLine="0" w:firstLineChars="0"/>
            <w:jc w:val="both"/>
            <w:textAlignment w:val="auto"/>
          </w:pPr>
          <w:r>
            <w:fldChar w:fldCharType="begin"/>
          </w:r>
          <w:r>
            <w:instrText xml:space="preserve"> HYPERLINK \l _Toc30080 </w:instrText>
          </w:r>
          <w:r>
            <w:fldChar w:fldCharType="separate"/>
          </w:r>
          <w:r>
            <w:t>3.2.2 全局Z-Score标准化与多工况数据尺度统一</w:t>
          </w:r>
          <w:r>
            <w:tab/>
          </w:r>
          <w:r>
            <w:fldChar w:fldCharType="begin"/>
          </w:r>
          <w:r>
            <w:instrText xml:space="preserve"> PAGEREF _Toc30080 \h </w:instrText>
          </w:r>
          <w:r>
            <w:fldChar w:fldCharType="separate"/>
          </w:r>
          <w:r>
            <w:t>19</w:t>
          </w:r>
          <w:r>
            <w:fldChar w:fldCharType="end"/>
          </w:r>
          <w:r>
            <w:fldChar w:fldCharType="end"/>
          </w:r>
        </w:p>
        <w:p w14:paraId="356FF045">
          <w:pPr>
            <w:pStyle w:val="10"/>
            <w:keepNext w:val="0"/>
            <w:keepLines w:val="0"/>
            <w:pageBreakBefore w:val="0"/>
            <w:widowControl w:val="0"/>
            <w:tabs>
              <w:tab w:val="right" w:leader="dot" w:pos="8306"/>
            </w:tabs>
            <w:kinsoku/>
            <w:wordWrap w:val="0"/>
            <w:overflowPunct/>
            <w:topLinePunct/>
            <w:autoSpaceDE/>
            <w:autoSpaceDN/>
            <w:bidi w:val="0"/>
            <w:adjustRightInd/>
            <w:snapToGrid w:val="0"/>
            <w:ind w:left="960" w:firstLine="0" w:firstLineChars="0"/>
            <w:jc w:val="both"/>
            <w:textAlignment w:val="auto"/>
          </w:pPr>
          <w:r>
            <w:fldChar w:fldCharType="begin"/>
          </w:r>
          <w:r>
            <w:instrText xml:space="preserve"> HYPERLINK \l _Toc28706 </w:instrText>
          </w:r>
          <w:r>
            <w:fldChar w:fldCharType="separate"/>
          </w:r>
          <w:r>
            <w:t>3.2.3 滑动窗口的时序样本生成与工况特征对齐</w:t>
          </w:r>
          <w:r>
            <w:tab/>
          </w:r>
          <w:r>
            <w:fldChar w:fldCharType="begin"/>
          </w:r>
          <w:r>
            <w:instrText xml:space="preserve"> PAGEREF _Toc28706 \h </w:instrText>
          </w:r>
          <w:r>
            <w:fldChar w:fldCharType="separate"/>
          </w:r>
          <w:r>
            <w:t>20</w:t>
          </w:r>
          <w:r>
            <w:fldChar w:fldCharType="end"/>
          </w:r>
          <w:r>
            <w:fldChar w:fldCharType="end"/>
          </w:r>
        </w:p>
        <w:p w14:paraId="400C7523">
          <w:pPr>
            <w:pStyle w:val="17"/>
            <w:keepNext w:val="0"/>
            <w:keepLines w:val="0"/>
            <w:pageBreakBefore w:val="0"/>
            <w:widowControl w:val="0"/>
            <w:tabs>
              <w:tab w:val="right" w:leader="dot" w:pos="8306"/>
            </w:tabs>
            <w:kinsoku/>
            <w:wordWrap w:val="0"/>
            <w:overflowPunct/>
            <w:topLinePunct/>
            <w:autoSpaceDE/>
            <w:autoSpaceDN/>
            <w:bidi w:val="0"/>
            <w:adjustRightInd/>
            <w:snapToGrid w:val="0"/>
            <w:ind w:left="480" w:firstLine="0" w:firstLineChars="0"/>
            <w:jc w:val="both"/>
            <w:textAlignment w:val="auto"/>
          </w:pPr>
          <w:r>
            <w:fldChar w:fldCharType="begin"/>
          </w:r>
          <w:r>
            <w:instrText xml:space="preserve"> HYPERLINK \l _Toc27047 </w:instrText>
          </w:r>
          <w:r>
            <w:fldChar w:fldCharType="separate"/>
          </w:r>
          <w:r>
            <w:t>3.3 基于SE-ResNet的多工况特征自适应提取模块</w:t>
          </w:r>
          <w:r>
            <w:tab/>
          </w:r>
          <w:r>
            <w:fldChar w:fldCharType="begin"/>
          </w:r>
          <w:r>
            <w:instrText xml:space="preserve"> PAGEREF _Toc27047 \h </w:instrText>
          </w:r>
          <w:r>
            <w:fldChar w:fldCharType="separate"/>
          </w:r>
          <w:r>
            <w:t>20</w:t>
          </w:r>
          <w:r>
            <w:fldChar w:fldCharType="end"/>
          </w:r>
          <w:r>
            <w:fldChar w:fldCharType="end"/>
          </w:r>
        </w:p>
        <w:p w14:paraId="42D30533">
          <w:pPr>
            <w:pStyle w:val="10"/>
            <w:keepNext w:val="0"/>
            <w:keepLines w:val="0"/>
            <w:pageBreakBefore w:val="0"/>
            <w:widowControl w:val="0"/>
            <w:tabs>
              <w:tab w:val="right" w:leader="dot" w:pos="8306"/>
            </w:tabs>
            <w:kinsoku/>
            <w:wordWrap w:val="0"/>
            <w:overflowPunct/>
            <w:topLinePunct/>
            <w:autoSpaceDE/>
            <w:autoSpaceDN/>
            <w:bidi w:val="0"/>
            <w:adjustRightInd/>
            <w:snapToGrid w:val="0"/>
            <w:ind w:left="960" w:firstLine="0" w:firstLineChars="0"/>
            <w:jc w:val="both"/>
            <w:textAlignment w:val="auto"/>
          </w:pPr>
          <w:r>
            <w:fldChar w:fldCharType="begin"/>
          </w:r>
          <w:r>
            <w:instrText xml:space="preserve"> HYPERLINK \l _Toc14154 </w:instrText>
          </w:r>
          <w:r>
            <w:fldChar w:fldCharType="separate"/>
          </w:r>
          <w:r>
            <w:t>3.3.1 适配轴承信号的SE-ResNet网络结构设计</w:t>
          </w:r>
          <w:r>
            <w:tab/>
          </w:r>
          <w:r>
            <w:fldChar w:fldCharType="begin"/>
          </w:r>
          <w:r>
            <w:instrText xml:space="preserve"> PAGEREF _Toc14154 \h </w:instrText>
          </w:r>
          <w:r>
            <w:fldChar w:fldCharType="separate"/>
          </w:r>
          <w:r>
            <w:t>20</w:t>
          </w:r>
          <w:r>
            <w:fldChar w:fldCharType="end"/>
          </w:r>
          <w:r>
            <w:fldChar w:fldCharType="end"/>
          </w:r>
        </w:p>
        <w:p w14:paraId="3F700F12">
          <w:pPr>
            <w:pStyle w:val="10"/>
            <w:keepNext w:val="0"/>
            <w:keepLines w:val="0"/>
            <w:pageBreakBefore w:val="0"/>
            <w:widowControl w:val="0"/>
            <w:tabs>
              <w:tab w:val="right" w:leader="dot" w:pos="8306"/>
            </w:tabs>
            <w:kinsoku/>
            <w:wordWrap w:val="0"/>
            <w:overflowPunct/>
            <w:topLinePunct/>
            <w:autoSpaceDE/>
            <w:autoSpaceDN/>
            <w:bidi w:val="0"/>
            <w:adjustRightInd/>
            <w:snapToGrid w:val="0"/>
            <w:ind w:left="960" w:firstLine="0" w:firstLineChars="0"/>
            <w:jc w:val="both"/>
            <w:textAlignment w:val="auto"/>
          </w:pPr>
          <w:r>
            <w:fldChar w:fldCharType="begin"/>
          </w:r>
          <w:r>
            <w:instrText xml:space="preserve"> HYPERLINK \l _Toc31874 </w:instrText>
          </w:r>
          <w:r>
            <w:fldChar w:fldCharType="separate"/>
          </w:r>
          <w:r>
            <w:t>3.3.2 SE注意力机制的嵌入与多工况通道特征校准实现</w:t>
          </w:r>
          <w:r>
            <w:tab/>
          </w:r>
          <w:r>
            <w:fldChar w:fldCharType="begin"/>
          </w:r>
          <w:r>
            <w:instrText xml:space="preserve"> PAGEREF _Toc31874 \h </w:instrText>
          </w:r>
          <w:r>
            <w:fldChar w:fldCharType="separate"/>
          </w:r>
          <w:r>
            <w:t>21</w:t>
          </w:r>
          <w:r>
            <w:fldChar w:fldCharType="end"/>
          </w:r>
          <w:r>
            <w:fldChar w:fldCharType="end"/>
          </w:r>
        </w:p>
        <w:p w14:paraId="52730298">
          <w:pPr>
            <w:pStyle w:val="10"/>
            <w:keepNext w:val="0"/>
            <w:keepLines w:val="0"/>
            <w:pageBreakBefore w:val="0"/>
            <w:widowControl w:val="0"/>
            <w:tabs>
              <w:tab w:val="right" w:leader="dot" w:pos="8306"/>
            </w:tabs>
            <w:kinsoku/>
            <w:wordWrap w:val="0"/>
            <w:overflowPunct/>
            <w:topLinePunct/>
            <w:autoSpaceDE/>
            <w:autoSpaceDN/>
            <w:bidi w:val="0"/>
            <w:adjustRightInd/>
            <w:snapToGrid w:val="0"/>
            <w:ind w:left="960" w:firstLine="0" w:firstLineChars="0"/>
            <w:jc w:val="both"/>
            <w:textAlignment w:val="auto"/>
          </w:pPr>
          <w:r>
            <w:fldChar w:fldCharType="begin"/>
          </w:r>
          <w:r>
            <w:instrText xml:space="preserve"> HYPERLINK \l _Toc19557 </w:instrText>
          </w:r>
          <w:r>
            <w:fldChar w:fldCharType="separate"/>
          </w:r>
          <w:r>
            <w:t>3.3.3 深度退化特征的提取与输出</w:t>
          </w:r>
          <w:r>
            <w:tab/>
          </w:r>
          <w:r>
            <w:fldChar w:fldCharType="begin"/>
          </w:r>
          <w:r>
            <w:instrText xml:space="preserve"> PAGEREF _Toc19557 \h </w:instrText>
          </w:r>
          <w:r>
            <w:fldChar w:fldCharType="separate"/>
          </w:r>
          <w:r>
            <w:t>21</w:t>
          </w:r>
          <w:r>
            <w:fldChar w:fldCharType="end"/>
          </w:r>
          <w:r>
            <w:fldChar w:fldCharType="end"/>
          </w:r>
        </w:p>
        <w:p w14:paraId="29B34F58">
          <w:pPr>
            <w:pStyle w:val="17"/>
            <w:keepNext w:val="0"/>
            <w:keepLines w:val="0"/>
            <w:pageBreakBefore w:val="0"/>
            <w:widowControl w:val="0"/>
            <w:tabs>
              <w:tab w:val="right" w:leader="dot" w:pos="8306"/>
            </w:tabs>
            <w:kinsoku/>
            <w:wordWrap w:val="0"/>
            <w:overflowPunct/>
            <w:topLinePunct/>
            <w:autoSpaceDE/>
            <w:autoSpaceDN/>
            <w:bidi w:val="0"/>
            <w:adjustRightInd/>
            <w:snapToGrid w:val="0"/>
            <w:ind w:left="480" w:firstLine="0" w:firstLineChars="0"/>
            <w:jc w:val="both"/>
            <w:textAlignment w:val="auto"/>
          </w:pPr>
          <w:r>
            <w:fldChar w:fldCharType="begin"/>
          </w:r>
          <w:r>
            <w:instrText xml:space="preserve"> HYPERLINK \l _Toc16459 </w:instrText>
          </w:r>
          <w:r>
            <w:fldChar w:fldCharType="separate"/>
          </w:r>
          <w:r>
            <w:t>3.4 基于BiGRU的多工况时序退化建模模块</w:t>
          </w:r>
          <w:r>
            <w:tab/>
          </w:r>
          <w:r>
            <w:fldChar w:fldCharType="begin"/>
          </w:r>
          <w:r>
            <w:instrText xml:space="preserve"> PAGEREF _Toc16459 \h </w:instrText>
          </w:r>
          <w:r>
            <w:fldChar w:fldCharType="separate"/>
          </w:r>
          <w:r>
            <w:t>21</w:t>
          </w:r>
          <w:r>
            <w:fldChar w:fldCharType="end"/>
          </w:r>
          <w:r>
            <w:fldChar w:fldCharType="end"/>
          </w:r>
        </w:p>
        <w:p w14:paraId="7655DAE6">
          <w:pPr>
            <w:pStyle w:val="10"/>
            <w:keepNext w:val="0"/>
            <w:keepLines w:val="0"/>
            <w:pageBreakBefore w:val="0"/>
            <w:widowControl w:val="0"/>
            <w:tabs>
              <w:tab w:val="right" w:leader="dot" w:pos="8306"/>
            </w:tabs>
            <w:kinsoku/>
            <w:wordWrap w:val="0"/>
            <w:overflowPunct/>
            <w:topLinePunct/>
            <w:autoSpaceDE/>
            <w:autoSpaceDN/>
            <w:bidi w:val="0"/>
            <w:adjustRightInd/>
            <w:snapToGrid w:val="0"/>
            <w:ind w:left="960" w:firstLine="0" w:firstLineChars="0"/>
            <w:jc w:val="both"/>
            <w:textAlignment w:val="auto"/>
          </w:pPr>
          <w:r>
            <w:fldChar w:fldCharType="begin"/>
          </w:r>
          <w:r>
            <w:instrText xml:space="preserve"> HYPERLINK \l _Toc13145 </w:instrText>
          </w:r>
          <w:r>
            <w:fldChar w:fldCharType="separate"/>
          </w:r>
          <w:r>
            <w:t>3.4.1 适配深度特征的BiGRU网络参数配置</w:t>
          </w:r>
          <w:r>
            <w:tab/>
          </w:r>
          <w:r>
            <w:fldChar w:fldCharType="begin"/>
          </w:r>
          <w:r>
            <w:instrText xml:space="preserve"> PAGEREF _Toc13145 \h </w:instrText>
          </w:r>
          <w:r>
            <w:fldChar w:fldCharType="separate"/>
          </w:r>
          <w:r>
            <w:t>21</w:t>
          </w:r>
          <w:r>
            <w:fldChar w:fldCharType="end"/>
          </w:r>
          <w:r>
            <w:fldChar w:fldCharType="end"/>
          </w:r>
        </w:p>
        <w:p w14:paraId="2B60D752">
          <w:pPr>
            <w:pStyle w:val="10"/>
            <w:keepNext w:val="0"/>
            <w:keepLines w:val="0"/>
            <w:pageBreakBefore w:val="0"/>
            <w:widowControl w:val="0"/>
            <w:tabs>
              <w:tab w:val="right" w:leader="dot" w:pos="8306"/>
            </w:tabs>
            <w:kinsoku/>
            <w:wordWrap w:val="0"/>
            <w:overflowPunct/>
            <w:topLinePunct/>
            <w:autoSpaceDE/>
            <w:autoSpaceDN/>
            <w:bidi w:val="0"/>
            <w:adjustRightInd/>
            <w:snapToGrid w:val="0"/>
            <w:ind w:left="960" w:firstLine="0" w:firstLineChars="0"/>
            <w:jc w:val="both"/>
            <w:textAlignment w:val="auto"/>
          </w:pPr>
          <w:r>
            <w:fldChar w:fldCharType="begin"/>
          </w:r>
          <w:r>
            <w:instrText xml:space="preserve"> HYPERLINK \l _Toc16797 </w:instrText>
          </w:r>
          <w:r>
            <w:fldChar w:fldCharType="separate"/>
          </w:r>
          <w:r>
            <w:t>3.4.2 BiGRU双向时序建模：变工况退化趋势捕捉</w:t>
          </w:r>
          <w:r>
            <w:tab/>
          </w:r>
          <w:r>
            <w:fldChar w:fldCharType="begin"/>
          </w:r>
          <w:r>
            <w:instrText xml:space="preserve"> PAGEREF _Toc16797 \h </w:instrText>
          </w:r>
          <w:r>
            <w:fldChar w:fldCharType="separate"/>
          </w:r>
          <w:r>
            <w:t>22</w:t>
          </w:r>
          <w:r>
            <w:fldChar w:fldCharType="end"/>
          </w:r>
          <w:r>
            <w:fldChar w:fldCharType="end"/>
          </w:r>
        </w:p>
        <w:p w14:paraId="4D75B426">
          <w:pPr>
            <w:pStyle w:val="10"/>
            <w:keepNext w:val="0"/>
            <w:keepLines w:val="0"/>
            <w:pageBreakBefore w:val="0"/>
            <w:widowControl w:val="0"/>
            <w:tabs>
              <w:tab w:val="right" w:leader="dot" w:pos="8306"/>
            </w:tabs>
            <w:kinsoku/>
            <w:wordWrap w:val="0"/>
            <w:overflowPunct/>
            <w:topLinePunct/>
            <w:autoSpaceDE/>
            <w:autoSpaceDN/>
            <w:bidi w:val="0"/>
            <w:adjustRightInd/>
            <w:snapToGrid w:val="0"/>
            <w:ind w:left="960" w:firstLine="0" w:firstLineChars="0"/>
            <w:jc w:val="both"/>
            <w:textAlignment w:val="auto"/>
          </w:pPr>
          <w:r>
            <w:fldChar w:fldCharType="begin"/>
          </w:r>
          <w:r>
            <w:instrText xml:space="preserve"> HYPERLINK \l _Toc9596 </w:instrText>
          </w:r>
          <w:r>
            <w:fldChar w:fldCharType="separate"/>
          </w:r>
          <w:r>
            <w:t>3.4.3 健康指标预测与RUL换算</w:t>
          </w:r>
          <w:r>
            <w:tab/>
          </w:r>
          <w:r>
            <w:fldChar w:fldCharType="begin"/>
          </w:r>
          <w:r>
            <w:instrText xml:space="preserve"> PAGEREF _Toc9596 \h </w:instrText>
          </w:r>
          <w:r>
            <w:fldChar w:fldCharType="separate"/>
          </w:r>
          <w:r>
            <w:t>22</w:t>
          </w:r>
          <w:r>
            <w:fldChar w:fldCharType="end"/>
          </w:r>
          <w:r>
            <w:fldChar w:fldCharType="end"/>
          </w:r>
        </w:p>
        <w:p w14:paraId="5CFFE493">
          <w:pPr>
            <w:pStyle w:val="17"/>
            <w:keepNext w:val="0"/>
            <w:keepLines w:val="0"/>
            <w:pageBreakBefore w:val="0"/>
            <w:widowControl w:val="0"/>
            <w:tabs>
              <w:tab w:val="right" w:leader="dot" w:pos="8306"/>
            </w:tabs>
            <w:kinsoku/>
            <w:wordWrap w:val="0"/>
            <w:overflowPunct/>
            <w:topLinePunct/>
            <w:autoSpaceDE/>
            <w:autoSpaceDN/>
            <w:bidi w:val="0"/>
            <w:adjustRightInd/>
            <w:snapToGrid w:val="0"/>
            <w:ind w:left="480" w:firstLine="0" w:firstLineChars="0"/>
            <w:jc w:val="both"/>
            <w:textAlignment w:val="auto"/>
          </w:pPr>
          <w:r>
            <w:fldChar w:fldCharType="begin"/>
          </w:r>
          <w:r>
            <w:instrText xml:space="preserve"> HYPERLINK \l _Toc16142 </w:instrText>
          </w:r>
          <w:r>
            <w:fldChar w:fldCharType="separate"/>
          </w:r>
          <w:r>
            <w:t>3.5 SE-ResNet+BiGRU模型融合与训练策略</w:t>
          </w:r>
          <w:r>
            <w:tab/>
          </w:r>
          <w:r>
            <w:fldChar w:fldCharType="begin"/>
          </w:r>
          <w:r>
            <w:instrText xml:space="preserve"> PAGEREF _Toc16142 \h </w:instrText>
          </w:r>
          <w:r>
            <w:fldChar w:fldCharType="separate"/>
          </w:r>
          <w:r>
            <w:t>23</w:t>
          </w:r>
          <w:r>
            <w:fldChar w:fldCharType="end"/>
          </w:r>
          <w:r>
            <w:fldChar w:fldCharType="end"/>
          </w:r>
        </w:p>
        <w:p w14:paraId="4FF0AC78">
          <w:pPr>
            <w:pStyle w:val="10"/>
            <w:keepNext w:val="0"/>
            <w:keepLines w:val="0"/>
            <w:pageBreakBefore w:val="0"/>
            <w:widowControl w:val="0"/>
            <w:tabs>
              <w:tab w:val="right" w:leader="dot" w:pos="8306"/>
            </w:tabs>
            <w:kinsoku/>
            <w:wordWrap w:val="0"/>
            <w:overflowPunct/>
            <w:topLinePunct/>
            <w:autoSpaceDE/>
            <w:autoSpaceDN/>
            <w:bidi w:val="0"/>
            <w:adjustRightInd/>
            <w:snapToGrid w:val="0"/>
            <w:ind w:left="960" w:firstLine="0" w:firstLineChars="0"/>
            <w:jc w:val="both"/>
            <w:textAlignment w:val="auto"/>
          </w:pPr>
          <w:r>
            <w:fldChar w:fldCharType="begin"/>
          </w:r>
          <w:r>
            <w:instrText xml:space="preserve"> HYPERLINK \l _Toc3895 </w:instrText>
          </w:r>
          <w:r>
            <w:fldChar w:fldCharType="separate"/>
          </w:r>
          <w:r>
            <w:t>3.5.1 特征融合策略与模型端到端训练逻辑</w:t>
          </w:r>
          <w:r>
            <w:tab/>
          </w:r>
          <w:r>
            <w:fldChar w:fldCharType="begin"/>
          </w:r>
          <w:r>
            <w:instrText xml:space="preserve"> PAGEREF _Toc3895 \h </w:instrText>
          </w:r>
          <w:r>
            <w:fldChar w:fldCharType="separate"/>
          </w:r>
          <w:r>
            <w:t>23</w:t>
          </w:r>
          <w:r>
            <w:fldChar w:fldCharType="end"/>
          </w:r>
          <w:r>
            <w:fldChar w:fldCharType="end"/>
          </w:r>
        </w:p>
        <w:p w14:paraId="276C8649">
          <w:pPr>
            <w:pStyle w:val="10"/>
            <w:keepNext w:val="0"/>
            <w:keepLines w:val="0"/>
            <w:pageBreakBefore w:val="0"/>
            <w:widowControl w:val="0"/>
            <w:tabs>
              <w:tab w:val="right" w:leader="dot" w:pos="8306"/>
            </w:tabs>
            <w:kinsoku/>
            <w:wordWrap w:val="0"/>
            <w:overflowPunct/>
            <w:topLinePunct/>
            <w:autoSpaceDE/>
            <w:autoSpaceDN/>
            <w:bidi w:val="0"/>
            <w:adjustRightInd/>
            <w:snapToGrid w:val="0"/>
            <w:ind w:left="960" w:firstLine="0" w:firstLineChars="0"/>
            <w:jc w:val="both"/>
            <w:textAlignment w:val="auto"/>
          </w:pPr>
          <w:r>
            <w:fldChar w:fldCharType="begin"/>
          </w:r>
          <w:r>
            <w:instrText xml:space="preserve"> HYPERLINK \l _Toc17103 </w:instrText>
          </w:r>
          <w:r>
            <w:fldChar w:fldCharType="separate"/>
          </w:r>
          <w:r>
            <w:t>3.5.2 优化器与训练配置</w:t>
          </w:r>
          <w:r>
            <w:tab/>
          </w:r>
          <w:r>
            <w:fldChar w:fldCharType="begin"/>
          </w:r>
          <w:r>
            <w:instrText xml:space="preserve"> PAGEREF _Toc17103 \h </w:instrText>
          </w:r>
          <w:r>
            <w:fldChar w:fldCharType="separate"/>
          </w:r>
          <w:r>
            <w:t>24</w:t>
          </w:r>
          <w:r>
            <w:fldChar w:fldCharType="end"/>
          </w:r>
          <w:r>
            <w:fldChar w:fldCharType="end"/>
          </w:r>
        </w:p>
        <w:p w14:paraId="0E5B34BD">
          <w:pPr>
            <w:pStyle w:val="17"/>
            <w:keepNext w:val="0"/>
            <w:keepLines w:val="0"/>
            <w:pageBreakBefore w:val="0"/>
            <w:widowControl w:val="0"/>
            <w:tabs>
              <w:tab w:val="right" w:leader="dot" w:pos="8306"/>
            </w:tabs>
            <w:kinsoku/>
            <w:wordWrap w:val="0"/>
            <w:overflowPunct/>
            <w:topLinePunct/>
            <w:autoSpaceDE/>
            <w:autoSpaceDN/>
            <w:bidi w:val="0"/>
            <w:adjustRightInd/>
            <w:snapToGrid w:val="0"/>
            <w:ind w:left="480" w:firstLine="0" w:firstLineChars="0"/>
            <w:jc w:val="both"/>
            <w:textAlignment w:val="auto"/>
          </w:pPr>
          <w:r>
            <w:fldChar w:fldCharType="begin"/>
          </w:r>
          <w:r>
            <w:instrText xml:space="preserve"> HYPERLINK \l _Toc3005 </w:instrText>
          </w:r>
          <w:r>
            <w:fldChar w:fldCharType="separate"/>
          </w:r>
          <w:r>
            <w:t>3.6 本章小结</w:t>
          </w:r>
          <w:r>
            <w:tab/>
          </w:r>
          <w:r>
            <w:fldChar w:fldCharType="begin"/>
          </w:r>
          <w:r>
            <w:instrText xml:space="preserve"> PAGEREF _Toc3005 \h </w:instrText>
          </w:r>
          <w:r>
            <w:fldChar w:fldCharType="separate"/>
          </w:r>
          <w:r>
            <w:t>24</w:t>
          </w:r>
          <w:r>
            <w:fldChar w:fldCharType="end"/>
          </w:r>
          <w:r>
            <w:fldChar w:fldCharType="end"/>
          </w:r>
        </w:p>
        <w:p w14:paraId="1BD147A7">
          <w:pPr>
            <w:pStyle w:val="14"/>
            <w:keepNext w:val="0"/>
            <w:keepLines w:val="0"/>
            <w:pageBreakBefore w:val="0"/>
            <w:widowControl w:val="0"/>
            <w:tabs>
              <w:tab w:val="right" w:leader="dot" w:pos="8306"/>
            </w:tabs>
            <w:kinsoku/>
            <w:wordWrap w:val="0"/>
            <w:overflowPunct/>
            <w:topLinePunct/>
            <w:autoSpaceDE/>
            <w:autoSpaceDN/>
            <w:bidi w:val="0"/>
            <w:adjustRightInd/>
            <w:snapToGrid w:val="0"/>
            <w:ind w:firstLine="0" w:firstLineChars="0"/>
            <w:textAlignment w:val="auto"/>
          </w:pPr>
          <w:r>
            <w:fldChar w:fldCharType="begin"/>
          </w:r>
          <w:r>
            <w:instrText xml:space="preserve"> HYPERLINK \l _Toc22016 </w:instrText>
          </w:r>
          <w:r>
            <w:fldChar w:fldCharType="separate"/>
          </w:r>
          <w:r>
            <w:rPr>
              <w:rFonts w:hint="eastAsia" w:ascii="Times New Roman" w:hAnsi="Times New Roman"/>
            </w:rPr>
            <w:t xml:space="preserve">第四章 </w:t>
          </w:r>
          <w:r>
            <w:rPr>
              <w:rFonts w:ascii="Times New Roman" w:hAnsi="Times New Roman"/>
            </w:rPr>
            <w:t>XJTU-SY数据集下的多工况实验设计与性能验证</w:t>
          </w:r>
          <w:r>
            <w:tab/>
          </w:r>
          <w:r>
            <w:fldChar w:fldCharType="begin"/>
          </w:r>
          <w:r>
            <w:instrText xml:space="preserve"> PAGEREF _Toc22016 \h </w:instrText>
          </w:r>
          <w:r>
            <w:fldChar w:fldCharType="separate"/>
          </w:r>
          <w:r>
            <w:t>25</w:t>
          </w:r>
          <w:r>
            <w:fldChar w:fldCharType="end"/>
          </w:r>
          <w:r>
            <w:fldChar w:fldCharType="end"/>
          </w:r>
        </w:p>
        <w:p w14:paraId="48F1C731">
          <w:pPr>
            <w:pStyle w:val="17"/>
            <w:keepNext w:val="0"/>
            <w:keepLines w:val="0"/>
            <w:pageBreakBefore w:val="0"/>
            <w:widowControl w:val="0"/>
            <w:tabs>
              <w:tab w:val="right" w:leader="dot" w:pos="8306"/>
            </w:tabs>
            <w:kinsoku/>
            <w:wordWrap w:val="0"/>
            <w:overflowPunct/>
            <w:topLinePunct/>
            <w:autoSpaceDE/>
            <w:autoSpaceDN/>
            <w:bidi w:val="0"/>
            <w:adjustRightInd/>
            <w:snapToGrid w:val="0"/>
            <w:ind w:left="480" w:firstLine="0" w:firstLineChars="0"/>
            <w:jc w:val="both"/>
            <w:textAlignment w:val="auto"/>
          </w:pPr>
          <w:r>
            <w:fldChar w:fldCharType="begin"/>
          </w:r>
          <w:r>
            <w:instrText xml:space="preserve"> HYPERLINK \l _Toc22402 </w:instrText>
          </w:r>
          <w:r>
            <w:fldChar w:fldCharType="separate"/>
          </w:r>
          <w:r>
            <w:t>4.1 实验环境</w:t>
          </w:r>
          <w:r>
            <w:tab/>
          </w:r>
          <w:r>
            <w:fldChar w:fldCharType="begin"/>
          </w:r>
          <w:r>
            <w:instrText xml:space="preserve"> PAGEREF _Toc22402 \h </w:instrText>
          </w:r>
          <w:r>
            <w:fldChar w:fldCharType="separate"/>
          </w:r>
          <w:r>
            <w:t>25</w:t>
          </w:r>
          <w:r>
            <w:fldChar w:fldCharType="end"/>
          </w:r>
          <w:r>
            <w:fldChar w:fldCharType="end"/>
          </w:r>
        </w:p>
        <w:p w14:paraId="3C4C3DE9">
          <w:pPr>
            <w:pStyle w:val="10"/>
            <w:keepNext w:val="0"/>
            <w:keepLines w:val="0"/>
            <w:pageBreakBefore w:val="0"/>
            <w:widowControl w:val="0"/>
            <w:tabs>
              <w:tab w:val="right" w:leader="dot" w:pos="8306"/>
            </w:tabs>
            <w:kinsoku/>
            <w:wordWrap w:val="0"/>
            <w:overflowPunct/>
            <w:topLinePunct/>
            <w:autoSpaceDE/>
            <w:autoSpaceDN/>
            <w:bidi w:val="0"/>
            <w:adjustRightInd/>
            <w:snapToGrid w:val="0"/>
            <w:ind w:left="960" w:firstLine="0" w:firstLineChars="0"/>
            <w:jc w:val="both"/>
            <w:textAlignment w:val="auto"/>
          </w:pPr>
          <w:r>
            <w:fldChar w:fldCharType="begin"/>
          </w:r>
          <w:r>
            <w:instrText xml:space="preserve"> HYPERLINK \l _Toc978 </w:instrText>
          </w:r>
          <w:r>
            <w:fldChar w:fldCharType="separate"/>
          </w:r>
          <w:r>
            <w:t>4.1.1 硬件环境</w:t>
          </w:r>
          <w:r>
            <w:tab/>
          </w:r>
          <w:r>
            <w:fldChar w:fldCharType="begin"/>
          </w:r>
          <w:r>
            <w:instrText xml:space="preserve"> PAGEREF _Toc978 \h </w:instrText>
          </w:r>
          <w:r>
            <w:fldChar w:fldCharType="separate"/>
          </w:r>
          <w:r>
            <w:t>25</w:t>
          </w:r>
          <w:r>
            <w:fldChar w:fldCharType="end"/>
          </w:r>
          <w:r>
            <w:fldChar w:fldCharType="end"/>
          </w:r>
        </w:p>
        <w:p w14:paraId="6E8A9983">
          <w:pPr>
            <w:pStyle w:val="10"/>
            <w:keepNext w:val="0"/>
            <w:keepLines w:val="0"/>
            <w:pageBreakBefore w:val="0"/>
            <w:widowControl w:val="0"/>
            <w:tabs>
              <w:tab w:val="right" w:leader="dot" w:pos="8306"/>
            </w:tabs>
            <w:kinsoku/>
            <w:wordWrap w:val="0"/>
            <w:overflowPunct/>
            <w:topLinePunct/>
            <w:autoSpaceDE/>
            <w:autoSpaceDN/>
            <w:bidi w:val="0"/>
            <w:adjustRightInd/>
            <w:snapToGrid w:val="0"/>
            <w:ind w:left="960" w:firstLine="0" w:firstLineChars="0"/>
            <w:jc w:val="both"/>
            <w:textAlignment w:val="auto"/>
          </w:pPr>
          <w:r>
            <w:fldChar w:fldCharType="begin"/>
          </w:r>
          <w:r>
            <w:instrText xml:space="preserve"> HYPERLINK \l _Toc14159 </w:instrText>
          </w:r>
          <w:r>
            <w:fldChar w:fldCharType="separate"/>
          </w:r>
          <w:r>
            <w:t>4.1.2 软件环境</w:t>
          </w:r>
          <w:r>
            <w:tab/>
          </w:r>
          <w:r>
            <w:fldChar w:fldCharType="begin"/>
          </w:r>
          <w:r>
            <w:instrText xml:space="preserve"> PAGEREF _Toc14159 \h </w:instrText>
          </w:r>
          <w:r>
            <w:fldChar w:fldCharType="separate"/>
          </w:r>
          <w:r>
            <w:t>25</w:t>
          </w:r>
          <w:r>
            <w:fldChar w:fldCharType="end"/>
          </w:r>
          <w:r>
            <w:fldChar w:fldCharType="end"/>
          </w:r>
        </w:p>
        <w:p w14:paraId="7ED7D3CC">
          <w:pPr>
            <w:pStyle w:val="17"/>
            <w:keepNext w:val="0"/>
            <w:keepLines w:val="0"/>
            <w:pageBreakBefore w:val="0"/>
            <w:widowControl w:val="0"/>
            <w:tabs>
              <w:tab w:val="right" w:leader="dot" w:pos="8306"/>
            </w:tabs>
            <w:kinsoku/>
            <w:wordWrap w:val="0"/>
            <w:overflowPunct/>
            <w:topLinePunct/>
            <w:autoSpaceDE/>
            <w:autoSpaceDN/>
            <w:bidi w:val="0"/>
            <w:adjustRightInd/>
            <w:snapToGrid w:val="0"/>
            <w:ind w:left="480" w:firstLine="0" w:firstLineChars="0"/>
            <w:jc w:val="both"/>
            <w:textAlignment w:val="auto"/>
          </w:pPr>
          <w:r>
            <w:fldChar w:fldCharType="begin"/>
          </w:r>
          <w:r>
            <w:instrText xml:space="preserve"> HYPERLINK \l _Toc21181 </w:instrText>
          </w:r>
          <w:r>
            <w:fldChar w:fldCharType="separate"/>
          </w:r>
          <w:r>
            <w:t>4.2 多工况实验方案设计</w:t>
          </w:r>
          <w:r>
            <w:tab/>
          </w:r>
          <w:r>
            <w:fldChar w:fldCharType="begin"/>
          </w:r>
          <w:r>
            <w:instrText xml:space="preserve"> PAGEREF _Toc21181 \h </w:instrText>
          </w:r>
          <w:r>
            <w:fldChar w:fldCharType="separate"/>
          </w:r>
          <w:r>
            <w:t>25</w:t>
          </w:r>
          <w:r>
            <w:fldChar w:fldCharType="end"/>
          </w:r>
          <w:r>
            <w:fldChar w:fldCharType="end"/>
          </w:r>
        </w:p>
        <w:p w14:paraId="08E012BF">
          <w:pPr>
            <w:pStyle w:val="10"/>
            <w:keepNext w:val="0"/>
            <w:keepLines w:val="0"/>
            <w:pageBreakBefore w:val="0"/>
            <w:widowControl w:val="0"/>
            <w:tabs>
              <w:tab w:val="right" w:leader="dot" w:pos="8306"/>
            </w:tabs>
            <w:kinsoku/>
            <w:wordWrap w:val="0"/>
            <w:overflowPunct/>
            <w:topLinePunct/>
            <w:autoSpaceDE/>
            <w:autoSpaceDN/>
            <w:bidi w:val="0"/>
            <w:adjustRightInd/>
            <w:snapToGrid w:val="0"/>
            <w:ind w:left="960" w:firstLine="0" w:firstLineChars="0"/>
            <w:jc w:val="both"/>
            <w:textAlignment w:val="auto"/>
          </w:pPr>
          <w:r>
            <w:fldChar w:fldCharType="begin"/>
          </w:r>
          <w:r>
            <w:instrText xml:space="preserve"> HYPERLINK \l _Toc305 </w:instrText>
          </w:r>
          <w:r>
            <w:fldChar w:fldCharType="separate"/>
          </w:r>
          <w:r>
            <w:t>4.2.1 XJTU-SY数据集多工况分层划分策略</w:t>
          </w:r>
          <w:r>
            <w:tab/>
          </w:r>
          <w:r>
            <w:fldChar w:fldCharType="begin"/>
          </w:r>
          <w:r>
            <w:instrText xml:space="preserve"> PAGEREF _Toc305 \h </w:instrText>
          </w:r>
          <w:r>
            <w:fldChar w:fldCharType="separate"/>
          </w:r>
          <w:r>
            <w:t>25</w:t>
          </w:r>
          <w:r>
            <w:fldChar w:fldCharType="end"/>
          </w:r>
          <w:r>
            <w:fldChar w:fldCharType="end"/>
          </w:r>
        </w:p>
        <w:p w14:paraId="37AE7324">
          <w:pPr>
            <w:pStyle w:val="10"/>
            <w:keepNext w:val="0"/>
            <w:keepLines w:val="0"/>
            <w:pageBreakBefore w:val="0"/>
            <w:widowControl w:val="0"/>
            <w:tabs>
              <w:tab w:val="right" w:leader="dot" w:pos="8306"/>
            </w:tabs>
            <w:kinsoku/>
            <w:wordWrap w:val="0"/>
            <w:overflowPunct/>
            <w:topLinePunct/>
            <w:autoSpaceDE/>
            <w:autoSpaceDN/>
            <w:bidi w:val="0"/>
            <w:adjustRightInd/>
            <w:snapToGrid w:val="0"/>
            <w:ind w:left="960" w:firstLine="0" w:firstLineChars="0"/>
            <w:jc w:val="both"/>
            <w:textAlignment w:val="auto"/>
          </w:pPr>
          <w:r>
            <w:fldChar w:fldCharType="begin"/>
          </w:r>
          <w:r>
            <w:instrText xml:space="preserve"> HYPERLINK \l _Toc19532 </w:instrText>
          </w:r>
          <w:r>
            <w:fldChar w:fldCharType="separate"/>
          </w:r>
          <w:r>
            <w:t>4.2.2 对比模型选取与参数设置</w:t>
          </w:r>
          <w:r>
            <w:tab/>
          </w:r>
          <w:r>
            <w:fldChar w:fldCharType="begin"/>
          </w:r>
          <w:r>
            <w:instrText xml:space="preserve"> PAGEREF _Toc19532 \h </w:instrText>
          </w:r>
          <w:r>
            <w:fldChar w:fldCharType="separate"/>
          </w:r>
          <w:r>
            <w:t>26</w:t>
          </w:r>
          <w:r>
            <w:fldChar w:fldCharType="end"/>
          </w:r>
          <w:r>
            <w:fldChar w:fldCharType="end"/>
          </w:r>
        </w:p>
        <w:p w14:paraId="43A6F905">
          <w:pPr>
            <w:pStyle w:val="10"/>
            <w:keepNext w:val="0"/>
            <w:keepLines w:val="0"/>
            <w:pageBreakBefore w:val="0"/>
            <w:widowControl w:val="0"/>
            <w:tabs>
              <w:tab w:val="right" w:leader="dot" w:pos="8306"/>
            </w:tabs>
            <w:kinsoku/>
            <w:wordWrap w:val="0"/>
            <w:overflowPunct/>
            <w:topLinePunct/>
            <w:autoSpaceDE/>
            <w:autoSpaceDN/>
            <w:bidi w:val="0"/>
            <w:adjustRightInd/>
            <w:snapToGrid w:val="0"/>
            <w:ind w:left="960" w:firstLine="0" w:firstLineChars="0"/>
            <w:jc w:val="both"/>
            <w:textAlignment w:val="auto"/>
          </w:pPr>
          <w:r>
            <w:fldChar w:fldCharType="begin"/>
          </w:r>
          <w:r>
            <w:instrText xml:space="preserve"> HYPERLINK \l _Toc7564 </w:instrText>
          </w:r>
          <w:r>
            <w:fldChar w:fldCharType="separate"/>
          </w:r>
          <w:r>
            <w:t>4.2.3 模型评估指标定义</w:t>
          </w:r>
          <w:r>
            <w:tab/>
          </w:r>
          <w:r>
            <w:fldChar w:fldCharType="begin"/>
          </w:r>
          <w:r>
            <w:instrText xml:space="preserve"> PAGEREF _Toc7564 \h </w:instrText>
          </w:r>
          <w:r>
            <w:fldChar w:fldCharType="separate"/>
          </w:r>
          <w:r>
            <w:t>26</w:t>
          </w:r>
          <w:r>
            <w:fldChar w:fldCharType="end"/>
          </w:r>
          <w:r>
            <w:fldChar w:fldCharType="end"/>
          </w:r>
        </w:p>
        <w:p w14:paraId="40C20A31">
          <w:pPr>
            <w:pStyle w:val="10"/>
            <w:keepNext w:val="0"/>
            <w:keepLines w:val="0"/>
            <w:pageBreakBefore w:val="0"/>
            <w:widowControl w:val="0"/>
            <w:tabs>
              <w:tab w:val="right" w:leader="dot" w:pos="8306"/>
            </w:tabs>
            <w:kinsoku/>
            <w:wordWrap w:val="0"/>
            <w:overflowPunct/>
            <w:topLinePunct/>
            <w:autoSpaceDE/>
            <w:autoSpaceDN/>
            <w:bidi w:val="0"/>
            <w:adjustRightInd/>
            <w:snapToGrid w:val="0"/>
            <w:ind w:left="960" w:firstLine="0" w:firstLineChars="0"/>
            <w:jc w:val="both"/>
            <w:textAlignment w:val="auto"/>
          </w:pPr>
          <w:r>
            <w:fldChar w:fldCharType="begin"/>
          </w:r>
          <w:r>
            <w:instrText xml:space="preserve"> HYPERLINK \l _Toc12357 </w:instrText>
          </w:r>
          <w:r>
            <w:fldChar w:fldCharType="separate"/>
          </w:r>
          <w:r>
            <w:t>4.2.4 训练超参数设置与优化策略</w:t>
          </w:r>
          <w:r>
            <w:tab/>
          </w:r>
          <w:r>
            <w:fldChar w:fldCharType="begin"/>
          </w:r>
          <w:r>
            <w:instrText xml:space="preserve"> PAGEREF _Toc12357 \h </w:instrText>
          </w:r>
          <w:r>
            <w:fldChar w:fldCharType="separate"/>
          </w:r>
          <w:r>
            <w:t>28</w:t>
          </w:r>
          <w:r>
            <w:fldChar w:fldCharType="end"/>
          </w:r>
          <w:r>
            <w:fldChar w:fldCharType="end"/>
          </w:r>
        </w:p>
        <w:p w14:paraId="39100632">
          <w:pPr>
            <w:pStyle w:val="17"/>
            <w:keepNext w:val="0"/>
            <w:keepLines w:val="0"/>
            <w:pageBreakBefore w:val="0"/>
            <w:widowControl w:val="0"/>
            <w:tabs>
              <w:tab w:val="right" w:leader="dot" w:pos="8306"/>
            </w:tabs>
            <w:kinsoku/>
            <w:wordWrap w:val="0"/>
            <w:overflowPunct/>
            <w:topLinePunct/>
            <w:autoSpaceDE/>
            <w:autoSpaceDN/>
            <w:bidi w:val="0"/>
            <w:adjustRightInd/>
            <w:snapToGrid w:val="0"/>
            <w:ind w:left="480" w:firstLine="0" w:firstLineChars="0"/>
            <w:jc w:val="both"/>
            <w:textAlignment w:val="auto"/>
          </w:pPr>
          <w:r>
            <w:fldChar w:fldCharType="begin"/>
          </w:r>
          <w:r>
            <w:instrText xml:space="preserve"> HYPERLINK \l _Toc18972 </w:instrText>
          </w:r>
          <w:r>
            <w:fldChar w:fldCharType="separate"/>
          </w:r>
          <w:r>
            <w:t>4.3 模型训练过程与收敛性分析</w:t>
          </w:r>
          <w:r>
            <w:tab/>
          </w:r>
          <w:r>
            <w:fldChar w:fldCharType="begin"/>
          </w:r>
          <w:r>
            <w:instrText xml:space="preserve"> PAGEREF _Toc18972 \h </w:instrText>
          </w:r>
          <w:r>
            <w:fldChar w:fldCharType="separate"/>
          </w:r>
          <w:r>
            <w:t>29</w:t>
          </w:r>
          <w:r>
            <w:fldChar w:fldCharType="end"/>
          </w:r>
          <w:r>
            <w:fldChar w:fldCharType="end"/>
          </w:r>
        </w:p>
        <w:p w14:paraId="785C4636">
          <w:pPr>
            <w:pStyle w:val="10"/>
            <w:keepNext w:val="0"/>
            <w:keepLines w:val="0"/>
            <w:pageBreakBefore w:val="0"/>
            <w:widowControl w:val="0"/>
            <w:tabs>
              <w:tab w:val="right" w:leader="dot" w:pos="8306"/>
            </w:tabs>
            <w:kinsoku/>
            <w:wordWrap w:val="0"/>
            <w:overflowPunct/>
            <w:topLinePunct/>
            <w:autoSpaceDE/>
            <w:autoSpaceDN/>
            <w:bidi w:val="0"/>
            <w:adjustRightInd/>
            <w:snapToGrid w:val="0"/>
            <w:ind w:left="960" w:firstLine="0" w:firstLineChars="0"/>
            <w:jc w:val="both"/>
            <w:textAlignment w:val="auto"/>
          </w:pPr>
          <w:r>
            <w:fldChar w:fldCharType="begin"/>
          </w:r>
          <w:r>
            <w:instrText xml:space="preserve"> HYPERLINK \l _Toc5702 </w:instrText>
          </w:r>
          <w:r>
            <w:fldChar w:fldCharType="separate"/>
          </w:r>
          <w:r>
            <w:t>4.3.1 模型训练流程</w:t>
          </w:r>
          <w:r>
            <w:tab/>
          </w:r>
          <w:r>
            <w:fldChar w:fldCharType="begin"/>
          </w:r>
          <w:r>
            <w:instrText xml:space="preserve"> PAGEREF _Toc5702 \h </w:instrText>
          </w:r>
          <w:r>
            <w:fldChar w:fldCharType="separate"/>
          </w:r>
          <w:r>
            <w:t>29</w:t>
          </w:r>
          <w:r>
            <w:fldChar w:fldCharType="end"/>
          </w:r>
          <w:r>
            <w:fldChar w:fldCharType="end"/>
          </w:r>
        </w:p>
        <w:p w14:paraId="79C934C7">
          <w:pPr>
            <w:pStyle w:val="10"/>
            <w:keepNext w:val="0"/>
            <w:keepLines w:val="0"/>
            <w:pageBreakBefore w:val="0"/>
            <w:widowControl w:val="0"/>
            <w:tabs>
              <w:tab w:val="right" w:leader="dot" w:pos="8306"/>
            </w:tabs>
            <w:kinsoku/>
            <w:wordWrap w:val="0"/>
            <w:overflowPunct/>
            <w:topLinePunct/>
            <w:autoSpaceDE/>
            <w:autoSpaceDN/>
            <w:bidi w:val="0"/>
            <w:adjustRightInd/>
            <w:snapToGrid w:val="0"/>
            <w:ind w:left="960" w:firstLine="0" w:firstLineChars="0"/>
            <w:jc w:val="both"/>
            <w:textAlignment w:val="auto"/>
          </w:pPr>
          <w:r>
            <w:fldChar w:fldCharType="begin"/>
          </w:r>
          <w:r>
            <w:instrText xml:space="preserve"> HYPERLINK \l _Toc30122 </w:instrText>
          </w:r>
          <w:r>
            <w:fldChar w:fldCharType="separate"/>
          </w:r>
          <w:r>
            <w:t>4.3.2 训练损失曲线与收敛性分析</w:t>
          </w:r>
          <w:r>
            <w:tab/>
          </w:r>
          <w:r>
            <w:fldChar w:fldCharType="begin"/>
          </w:r>
          <w:r>
            <w:instrText xml:space="preserve"> PAGEREF _Toc30122 \h </w:instrText>
          </w:r>
          <w:r>
            <w:fldChar w:fldCharType="separate"/>
          </w:r>
          <w:r>
            <w:t>29</w:t>
          </w:r>
          <w:r>
            <w:fldChar w:fldCharType="end"/>
          </w:r>
          <w:r>
            <w:fldChar w:fldCharType="end"/>
          </w:r>
        </w:p>
        <w:p w14:paraId="7C45C7D9">
          <w:pPr>
            <w:pStyle w:val="17"/>
            <w:keepNext w:val="0"/>
            <w:keepLines w:val="0"/>
            <w:pageBreakBefore w:val="0"/>
            <w:widowControl w:val="0"/>
            <w:tabs>
              <w:tab w:val="right" w:leader="dot" w:pos="8306"/>
            </w:tabs>
            <w:kinsoku/>
            <w:wordWrap w:val="0"/>
            <w:overflowPunct/>
            <w:topLinePunct/>
            <w:autoSpaceDE/>
            <w:autoSpaceDN/>
            <w:bidi w:val="0"/>
            <w:adjustRightInd/>
            <w:snapToGrid w:val="0"/>
            <w:ind w:left="480" w:firstLine="0" w:firstLineChars="0"/>
            <w:jc w:val="both"/>
            <w:textAlignment w:val="auto"/>
          </w:pPr>
          <w:r>
            <w:fldChar w:fldCharType="begin"/>
          </w:r>
          <w:r>
            <w:instrText xml:space="preserve"> HYPERLINK \l _Toc6407 </w:instrText>
          </w:r>
          <w:r>
            <w:fldChar w:fldCharType="separate"/>
          </w:r>
          <w:r>
            <w:t>4.4 多工况下模型预测性能分析</w:t>
          </w:r>
          <w:r>
            <w:tab/>
          </w:r>
          <w:r>
            <w:fldChar w:fldCharType="begin"/>
          </w:r>
          <w:r>
            <w:instrText xml:space="preserve"> PAGEREF _Toc6407 \h </w:instrText>
          </w:r>
          <w:r>
            <w:fldChar w:fldCharType="separate"/>
          </w:r>
          <w:r>
            <w:t>29</w:t>
          </w:r>
          <w:r>
            <w:fldChar w:fldCharType="end"/>
          </w:r>
          <w:r>
            <w:fldChar w:fldCharType="end"/>
          </w:r>
        </w:p>
        <w:p w14:paraId="69D2CACB">
          <w:pPr>
            <w:pStyle w:val="10"/>
            <w:keepNext w:val="0"/>
            <w:keepLines w:val="0"/>
            <w:pageBreakBefore w:val="0"/>
            <w:widowControl w:val="0"/>
            <w:tabs>
              <w:tab w:val="right" w:leader="dot" w:pos="8306"/>
            </w:tabs>
            <w:kinsoku/>
            <w:wordWrap w:val="0"/>
            <w:overflowPunct/>
            <w:topLinePunct/>
            <w:autoSpaceDE/>
            <w:autoSpaceDN/>
            <w:bidi w:val="0"/>
            <w:adjustRightInd/>
            <w:snapToGrid w:val="0"/>
            <w:ind w:left="960" w:firstLine="0" w:firstLineChars="0"/>
            <w:jc w:val="both"/>
            <w:textAlignment w:val="auto"/>
          </w:pPr>
          <w:r>
            <w:fldChar w:fldCharType="begin"/>
          </w:r>
          <w:r>
            <w:instrText xml:space="preserve"> HYPERLINK \l _Toc703 </w:instrText>
          </w:r>
          <w:r>
            <w:fldChar w:fldCharType="separate"/>
          </w:r>
          <w:r>
            <w:t>4.4.1 单一工况下的RUL预测结果与分析</w:t>
          </w:r>
          <w:r>
            <w:tab/>
          </w:r>
          <w:r>
            <w:fldChar w:fldCharType="begin"/>
          </w:r>
          <w:r>
            <w:instrText xml:space="preserve"> PAGEREF _Toc703 \h </w:instrText>
          </w:r>
          <w:r>
            <w:fldChar w:fldCharType="separate"/>
          </w:r>
          <w:r>
            <w:t>29</w:t>
          </w:r>
          <w:r>
            <w:fldChar w:fldCharType="end"/>
          </w:r>
          <w:r>
            <w:fldChar w:fldCharType="end"/>
          </w:r>
        </w:p>
        <w:p w14:paraId="50A13A91">
          <w:pPr>
            <w:pStyle w:val="10"/>
            <w:keepNext w:val="0"/>
            <w:keepLines w:val="0"/>
            <w:pageBreakBefore w:val="0"/>
            <w:widowControl w:val="0"/>
            <w:tabs>
              <w:tab w:val="right" w:leader="dot" w:pos="8306"/>
            </w:tabs>
            <w:kinsoku/>
            <w:wordWrap w:val="0"/>
            <w:overflowPunct/>
            <w:topLinePunct/>
            <w:autoSpaceDE/>
            <w:autoSpaceDN/>
            <w:bidi w:val="0"/>
            <w:adjustRightInd/>
            <w:snapToGrid w:val="0"/>
            <w:ind w:left="960" w:firstLine="0" w:firstLineChars="0"/>
            <w:jc w:val="both"/>
            <w:textAlignment w:val="auto"/>
          </w:pPr>
          <w:r>
            <w:fldChar w:fldCharType="begin"/>
          </w:r>
          <w:r>
            <w:instrText xml:space="preserve"> HYPERLINK \l _Toc16607 </w:instrText>
          </w:r>
          <w:r>
            <w:fldChar w:fldCharType="separate"/>
          </w:r>
          <w:r>
            <w:t>4.4.2 跨工况下的RUL预测结果与泛化性分析</w:t>
          </w:r>
          <w:r>
            <w:tab/>
          </w:r>
          <w:r>
            <w:fldChar w:fldCharType="begin"/>
          </w:r>
          <w:r>
            <w:instrText xml:space="preserve"> PAGEREF _Toc16607 \h </w:instrText>
          </w:r>
          <w:r>
            <w:fldChar w:fldCharType="separate"/>
          </w:r>
          <w:r>
            <w:t>32</w:t>
          </w:r>
          <w:r>
            <w:fldChar w:fldCharType="end"/>
          </w:r>
          <w:r>
            <w:fldChar w:fldCharType="end"/>
          </w:r>
        </w:p>
        <w:p w14:paraId="5F36AB20">
          <w:pPr>
            <w:pStyle w:val="17"/>
            <w:keepNext w:val="0"/>
            <w:keepLines w:val="0"/>
            <w:pageBreakBefore w:val="0"/>
            <w:widowControl w:val="0"/>
            <w:tabs>
              <w:tab w:val="right" w:leader="dot" w:pos="8306"/>
            </w:tabs>
            <w:kinsoku/>
            <w:wordWrap w:val="0"/>
            <w:overflowPunct/>
            <w:topLinePunct/>
            <w:autoSpaceDE/>
            <w:autoSpaceDN/>
            <w:bidi w:val="0"/>
            <w:adjustRightInd/>
            <w:snapToGrid w:val="0"/>
            <w:ind w:left="480" w:firstLine="0" w:firstLineChars="0"/>
            <w:jc w:val="both"/>
            <w:textAlignment w:val="auto"/>
          </w:pPr>
          <w:r>
            <w:fldChar w:fldCharType="begin"/>
          </w:r>
          <w:r>
            <w:instrText xml:space="preserve"> HYPERLINK \l _Toc28827 </w:instrText>
          </w:r>
          <w:r>
            <w:fldChar w:fldCharType="separate"/>
          </w:r>
          <w:r>
            <w:t>4.5 对比实验结果与分析</w:t>
          </w:r>
          <w:r>
            <w:tab/>
          </w:r>
          <w:r>
            <w:fldChar w:fldCharType="begin"/>
          </w:r>
          <w:r>
            <w:instrText xml:space="preserve"> PAGEREF _Toc28827 \h </w:instrText>
          </w:r>
          <w:r>
            <w:fldChar w:fldCharType="separate"/>
          </w:r>
          <w:r>
            <w:t>34</w:t>
          </w:r>
          <w:r>
            <w:fldChar w:fldCharType="end"/>
          </w:r>
          <w:r>
            <w:fldChar w:fldCharType="end"/>
          </w:r>
        </w:p>
        <w:p w14:paraId="2C90E055">
          <w:pPr>
            <w:pStyle w:val="10"/>
            <w:keepNext w:val="0"/>
            <w:keepLines w:val="0"/>
            <w:pageBreakBefore w:val="0"/>
            <w:widowControl w:val="0"/>
            <w:tabs>
              <w:tab w:val="right" w:leader="dot" w:pos="8306"/>
            </w:tabs>
            <w:kinsoku/>
            <w:wordWrap w:val="0"/>
            <w:overflowPunct/>
            <w:topLinePunct/>
            <w:autoSpaceDE/>
            <w:autoSpaceDN/>
            <w:bidi w:val="0"/>
            <w:adjustRightInd/>
            <w:snapToGrid w:val="0"/>
            <w:ind w:left="960" w:firstLine="0" w:firstLineChars="0"/>
            <w:jc w:val="both"/>
            <w:textAlignment w:val="auto"/>
          </w:pPr>
          <w:r>
            <w:fldChar w:fldCharType="begin"/>
          </w:r>
          <w:r>
            <w:instrText xml:space="preserve"> HYPERLINK \l _Toc20287 </w:instrText>
          </w:r>
          <w:r>
            <w:fldChar w:fldCharType="separate"/>
          </w:r>
          <w:r>
            <w:t>4.5.1 与基础深度学习模型（CNN、LSTM、GRU）的对比</w:t>
          </w:r>
          <w:r>
            <w:tab/>
          </w:r>
          <w:r>
            <w:fldChar w:fldCharType="begin"/>
          </w:r>
          <w:r>
            <w:instrText xml:space="preserve"> PAGEREF _Toc20287 \h </w:instrText>
          </w:r>
          <w:r>
            <w:fldChar w:fldCharType="separate"/>
          </w:r>
          <w:r>
            <w:t>34</w:t>
          </w:r>
          <w:r>
            <w:fldChar w:fldCharType="end"/>
          </w:r>
          <w:r>
            <w:fldChar w:fldCharType="end"/>
          </w:r>
        </w:p>
        <w:p w14:paraId="53D676BF">
          <w:pPr>
            <w:pStyle w:val="10"/>
            <w:keepNext w:val="0"/>
            <w:keepLines w:val="0"/>
            <w:pageBreakBefore w:val="0"/>
            <w:widowControl w:val="0"/>
            <w:tabs>
              <w:tab w:val="right" w:leader="dot" w:pos="8306"/>
            </w:tabs>
            <w:kinsoku/>
            <w:wordWrap w:val="0"/>
            <w:overflowPunct/>
            <w:topLinePunct/>
            <w:autoSpaceDE/>
            <w:autoSpaceDN/>
            <w:bidi w:val="0"/>
            <w:adjustRightInd/>
            <w:snapToGrid w:val="0"/>
            <w:ind w:left="960" w:firstLine="0" w:firstLineChars="0"/>
            <w:jc w:val="both"/>
            <w:textAlignment w:val="auto"/>
          </w:pPr>
          <w:r>
            <w:fldChar w:fldCharType="begin"/>
          </w:r>
          <w:r>
            <w:instrText xml:space="preserve"> HYPERLINK \l _Toc9530 </w:instrText>
          </w:r>
          <w:r>
            <w:fldChar w:fldCharType="separate"/>
          </w:r>
          <w:r>
            <w:t>4.5.2 与融合注意力机制模型（Informer-SEnet）的对比</w:t>
          </w:r>
          <w:r>
            <w:tab/>
          </w:r>
          <w:r>
            <w:fldChar w:fldCharType="begin"/>
          </w:r>
          <w:r>
            <w:instrText xml:space="preserve"> PAGEREF _Toc9530 \h </w:instrText>
          </w:r>
          <w:r>
            <w:fldChar w:fldCharType="separate"/>
          </w:r>
          <w:r>
            <w:t>34</w:t>
          </w:r>
          <w:r>
            <w:fldChar w:fldCharType="end"/>
          </w:r>
          <w:r>
            <w:fldChar w:fldCharType="end"/>
          </w:r>
        </w:p>
        <w:p w14:paraId="71FD932D">
          <w:pPr>
            <w:pStyle w:val="17"/>
            <w:keepNext w:val="0"/>
            <w:keepLines w:val="0"/>
            <w:pageBreakBefore w:val="0"/>
            <w:widowControl w:val="0"/>
            <w:tabs>
              <w:tab w:val="right" w:leader="dot" w:pos="8306"/>
            </w:tabs>
            <w:kinsoku/>
            <w:wordWrap w:val="0"/>
            <w:overflowPunct/>
            <w:topLinePunct/>
            <w:autoSpaceDE/>
            <w:autoSpaceDN/>
            <w:bidi w:val="0"/>
            <w:adjustRightInd/>
            <w:snapToGrid w:val="0"/>
            <w:ind w:left="480" w:firstLine="0" w:firstLineChars="0"/>
            <w:jc w:val="both"/>
            <w:textAlignment w:val="auto"/>
          </w:pPr>
          <w:r>
            <w:fldChar w:fldCharType="begin"/>
          </w:r>
          <w:r>
            <w:instrText xml:space="preserve"> HYPERLINK \l _Toc23361 </w:instrText>
          </w:r>
          <w:r>
            <w:fldChar w:fldCharType="separate"/>
          </w:r>
          <w:r>
            <w:t>4.6 消融实验与模块有效性验证</w:t>
          </w:r>
          <w:r>
            <w:tab/>
          </w:r>
          <w:r>
            <w:fldChar w:fldCharType="begin"/>
          </w:r>
          <w:r>
            <w:instrText xml:space="preserve"> PAGEREF _Toc23361 \h </w:instrText>
          </w:r>
          <w:r>
            <w:fldChar w:fldCharType="separate"/>
          </w:r>
          <w:r>
            <w:t>35</w:t>
          </w:r>
          <w:r>
            <w:fldChar w:fldCharType="end"/>
          </w:r>
          <w:r>
            <w:fldChar w:fldCharType="end"/>
          </w:r>
        </w:p>
        <w:p w14:paraId="02DA6E45">
          <w:pPr>
            <w:pStyle w:val="10"/>
            <w:keepNext w:val="0"/>
            <w:keepLines w:val="0"/>
            <w:pageBreakBefore w:val="0"/>
            <w:widowControl w:val="0"/>
            <w:tabs>
              <w:tab w:val="right" w:leader="dot" w:pos="8306"/>
            </w:tabs>
            <w:kinsoku/>
            <w:wordWrap w:val="0"/>
            <w:overflowPunct/>
            <w:topLinePunct/>
            <w:autoSpaceDE/>
            <w:autoSpaceDN/>
            <w:bidi w:val="0"/>
            <w:adjustRightInd/>
            <w:snapToGrid w:val="0"/>
            <w:ind w:left="960" w:firstLine="0" w:firstLineChars="0"/>
            <w:jc w:val="both"/>
            <w:textAlignment w:val="auto"/>
          </w:pPr>
          <w:r>
            <w:fldChar w:fldCharType="begin"/>
          </w:r>
          <w:r>
            <w:instrText xml:space="preserve"> HYPERLINK \l _Toc10289 </w:instrText>
          </w:r>
          <w:r>
            <w:fldChar w:fldCharType="separate"/>
          </w:r>
          <w:r>
            <w:t>4.6.1 SE注意力机制消融：ResNetvsSE-ResNet性能对比</w:t>
          </w:r>
          <w:r>
            <w:tab/>
          </w:r>
          <w:r>
            <w:fldChar w:fldCharType="begin"/>
          </w:r>
          <w:r>
            <w:instrText xml:space="preserve"> PAGEREF _Toc10289 \h </w:instrText>
          </w:r>
          <w:r>
            <w:fldChar w:fldCharType="separate"/>
          </w:r>
          <w:r>
            <w:t>35</w:t>
          </w:r>
          <w:r>
            <w:fldChar w:fldCharType="end"/>
          </w:r>
          <w:r>
            <w:fldChar w:fldCharType="end"/>
          </w:r>
        </w:p>
        <w:p w14:paraId="6CEFA1AE">
          <w:pPr>
            <w:pStyle w:val="10"/>
            <w:keepNext w:val="0"/>
            <w:keepLines w:val="0"/>
            <w:pageBreakBefore w:val="0"/>
            <w:widowControl w:val="0"/>
            <w:tabs>
              <w:tab w:val="right" w:leader="dot" w:pos="8306"/>
            </w:tabs>
            <w:kinsoku/>
            <w:wordWrap w:val="0"/>
            <w:overflowPunct/>
            <w:topLinePunct/>
            <w:autoSpaceDE/>
            <w:autoSpaceDN/>
            <w:bidi w:val="0"/>
            <w:adjustRightInd/>
            <w:snapToGrid w:val="0"/>
            <w:ind w:left="960" w:firstLine="0" w:firstLineChars="0"/>
            <w:jc w:val="both"/>
            <w:textAlignment w:val="auto"/>
          </w:pPr>
          <w:r>
            <w:fldChar w:fldCharType="begin"/>
          </w:r>
          <w:r>
            <w:instrText xml:space="preserve"> HYPERLINK \l _Toc28546 </w:instrText>
          </w:r>
          <w:r>
            <w:fldChar w:fldCharType="separate"/>
          </w:r>
          <w:r>
            <w:t>4.6.2 双向时序模块消融：GRUvsLSTMvsBiGRU性能对比</w:t>
          </w:r>
          <w:r>
            <w:tab/>
          </w:r>
          <w:r>
            <w:fldChar w:fldCharType="begin"/>
          </w:r>
          <w:r>
            <w:instrText xml:space="preserve"> PAGEREF _Toc28546 \h </w:instrText>
          </w:r>
          <w:r>
            <w:fldChar w:fldCharType="separate"/>
          </w:r>
          <w:r>
            <w:t>35</w:t>
          </w:r>
          <w:r>
            <w:fldChar w:fldCharType="end"/>
          </w:r>
          <w:r>
            <w:fldChar w:fldCharType="end"/>
          </w:r>
        </w:p>
        <w:p w14:paraId="1C0AB44F">
          <w:pPr>
            <w:pStyle w:val="10"/>
            <w:keepNext w:val="0"/>
            <w:keepLines w:val="0"/>
            <w:pageBreakBefore w:val="0"/>
            <w:widowControl w:val="0"/>
            <w:tabs>
              <w:tab w:val="right" w:leader="dot" w:pos="8306"/>
            </w:tabs>
            <w:kinsoku/>
            <w:wordWrap w:val="0"/>
            <w:overflowPunct/>
            <w:topLinePunct/>
            <w:autoSpaceDE/>
            <w:autoSpaceDN/>
            <w:bidi w:val="0"/>
            <w:adjustRightInd/>
            <w:snapToGrid w:val="0"/>
            <w:ind w:left="960" w:firstLine="0" w:firstLineChars="0"/>
            <w:jc w:val="both"/>
            <w:textAlignment w:val="auto"/>
          </w:pPr>
          <w:r>
            <w:fldChar w:fldCharType="begin"/>
          </w:r>
          <w:r>
            <w:instrText xml:space="preserve"> HYPERLINK \l _Toc23965 </w:instrText>
          </w:r>
          <w:r>
            <w:fldChar w:fldCharType="separate"/>
          </w:r>
          <w:r>
            <w:t>4.6.3 特征提取模块有效性验证：SE-ResNet+BiGRUvs纯BiGRU</w:t>
          </w:r>
          <w:r>
            <w:tab/>
          </w:r>
          <w:r>
            <w:fldChar w:fldCharType="begin"/>
          </w:r>
          <w:r>
            <w:instrText xml:space="preserve"> PAGEREF _Toc23965 \h </w:instrText>
          </w:r>
          <w:r>
            <w:fldChar w:fldCharType="separate"/>
          </w:r>
          <w:r>
            <w:t>36</w:t>
          </w:r>
          <w:r>
            <w:fldChar w:fldCharType="end"/>
          </w:r>
          <w:r>
            <w:fldChar w:fldCharType="end"/>
          </w:r>
        </w:p>
        <w:p w14:paraId="6ADA72FC">
          <w:pPr>
            <w:pStyle w:val="17"/>
            <w:keepNext w:val="0"/>
            <w:keepLines w:val="0"/>
            <w:pageBreakBefore w:val="0"/>
            <w:widowControl w:val="0"/>
            <w:tabs>
              <w:tab w:val="right" w:leader="dot" w:pos="8306"/>
            </w:tabs>
            <w:kinsoku/>
            <w:wordWrap w:val="0"/>
            <w:overflowPunct/>
            <w:topLinePunct/>
            <w:autoSpaceDE/>
            <w:autoSpaceDN/>
            <w:bidi w:val="0"/>
            <w:adjustRightInd/>
            <w:snapToGrid w:val="0"/>
            <w:ind w:left="480" w:firstLine="0" w:firstLineChars="0"/>
            <w:jc w:val="both"/>
            <w:textAlignment w:val="auto"/>
          </w:pPr>
          <w:r>
            <w:fldChar w:fldCharType="begin"/>
          </w:r>
          <w:r>
            <w:instrText xml:space="preserve"> HYPERLINK \l _Toc7125 </w:instrText>
          </w:r>
          <w:r>
            <w:fldChar w:fldCharType="separate"/>
          </w:r>
          <w:r>
            <w:t>4.7 本章小结</w:t>
          </w:r>
          <w:r>
            <w:tab/>
          </w:r>
          <w:r>
            <w:fldChar w:fldCharType="begin"/>
          </w:r>
          <w:r>
            <w:instrText xml:space="preserve"> PAGEREF _Toc7125 \h </w:instrText>
          </w:r>
          <w:r>
            <w:fldChar w:fldCharType="separate"/>
          </w:r>
          <w:r>
            <w:t>36</w:t>
          </w:r>
          <w:r>
            <w:fldChar w:fldCharType="end"/>
          </w:r>
          <w:r>
            <w:fldChar w:fldCharType="end"/>
          </w:r>
        </w:p>
        <w:p w14:paraId="140B4EF3">
          <w:pPr>
            <w:pStyle w:val="14"/>
            <w:keepNext w:val="0"/>
            <w:keepLines w:val="0"/>
            <w:pageBreakBefore w:val="0"/>
            <w:widowControl w:val="0"/>
            <w:tabs>
              <w:tab w:val="right" w:leader="dot" w:pos="8306"/>
            </w:tabs>
            <w:kinsoku/>
            <w:wordWrap w:val="0"/>
            <w:overflowPunct/>
            <w:topLinePunct/>
            <w:autoSpaceDE/>
            <w:autoSpaceDN/>
            <w:bidi w:val="0"/>
            <w:adjustRightInd/>
            <w:snapToGrid w:val="0"/>
            <w:ind w:firstLine="0" w:firstLineChars="0"/>
            <w:textAlignment w:val="auto"/>
          </w:pPr>
          <w:r>
            <w:fldChar w:fldCharType="begin"/>
          </w:r>
          <w:r>
            <w:instrText xml:space="preserve"> HYPERLINK \l _Toc2438 </w:instrText>
          </w:r>
          <w:r>
            <w:fldChar w:fldCharType="separate"/>
          </w:r>
          <w:r>
            <w:rPr>
              <w:rFonts w:hint="eastAsia" w:ascii="Times New Roman" w:hAnsi="Times New Roman"/>
            </w:rPr>
            <w:t xml:space="preserve">第五章 </w:t>
          </w:r>
          <w:r>
            <w:rPr>
              <w:rFonts w:hint="eastAsia" w:ascii="Times New Roman" w:hAnsi="Times New Roman"/>
              <w:lang w:val="en-US" w:eastAsia="zh-CN"/>
            </w:rPr>
            <w:t>结论</w:t>
          </w:r>
          <w:r>
            <w:rPr>
              <w:rFonts w:ascii="Times New Roman" w:hAnsi="Times New Roman"/>
            </w:rPr>
            <w:t>与展望</w:t>
          </w:r>
          <w:r>
            <w:tab/>
          </w:r>
          <w:r>
            <w:fldChar w:fldCharType="begin"/>
          </w:r>
          <w:r>
            <w:instrText xml:space="preserve"> PAGEREF _Toc2438 \h </w:instrText>
          </w:r>
          <w:r>
            <w:fldChar w:fldCharType="separate"/>
          </w:r>
          <w:r>
            <w:t>38</w:t>
          </w:r>
          <w:r>
            <w:fldChar w:fldCharType="end"/>
          </w:r>
          <w:r>
            <w:fldChar w:fldCharType="end"/>
          </w:r>
        </w:p>
        <w:p w14:paraId="31284389">
          <w:pPr>
            <w:pStyle w:val="17"/>
            <w:keepNext w:val="0"/>
            <w:keepLines w:val="0"/>
            <w:pageBreakBefore w:val="0"/>
            <w:widowControl w:val="0"/>
            <w:tabs>
              <w:tab w:val="right" w:leader="dot" w:pos="8306"/>
            </w:tabs>
            <w:kinsoku/>
            <w:wordWrap w:val="0"/>
            <w:overflowPunct/>
            <w:topLinePunct/>
            <w:autoSpaceDE/>
            <w:autoSpaceDN/>
            <w:bidi w:val="0"/>
            <w:adjustRightInd/>
            <w:snapToGrid w:val="0"/>
            <w:ind w:left="480" w:firstLine="0" w:firstLineChars="0"/>
            <w:jc w:val="both"/>
            <w:textAlignment w:val="auto"/>
          </w:pPr>
          <w:r>
            <w:fldChar w:fldCharType="begin"/>
          </w:r>
          <w:r>
            <w:instrText xml:space="preserve"> HYPERLINK \l _Toc16791 </w:instrText>
          </w:r>
          <w:r>
            <w:fldChar w:fldCharType="separate"/>
          </w:r>
          <w:r>
            <w:t xml:space="preserve">5.1 </w:t>
          </w:r>
          <w:r>
            <w:rPr>
              <w:rFonts w:hint="eastAsia"/>
              <w:lang w:val="en-US" w:eastAsia="zh-CN"/>
            </w:rPr>
            <w:t>主要结论</w:t>
          </w:r>
          <w:r>
            <w:tab/>
          </w:r>
          <w:r>
            <w:fldChar w:fldCharType="begin"/>
          </w:r>
          <w:r>
            <w:instrText xml:space="preserve"> PAGEREF _Toc16791 \h </w:instrText>
          </w:r>
          <w:r>
            <w:fldChar w:fldCharType="separate"/>
          </w:r>
          <w:r>
            <w:t>38</w:t>
          </w:r>
          <w:r>
            <w:fldChar w:fldCharType="end"/>
          </w:r>
          <w:r>
            <w:fldChar w:fldCharType="end"/>
          </w:r>
        </w:p>
        <w:p w14:paraId="119F4010">
          <w:pPr>
            <w:pStyle w:val="17"/>
            <w:keepNext w:val="0"/>
            <w:keepLines w:val="0"/>
            <w:pageBreakBefore w:val="0"/>
            <w:widowControl w:val="0"/>
            <w:tabs>
              <w:tab w:val="right" w:leader="dot" w:pos="8306"/>
            </w:tabs>
            <w:kinsoku/>
            <w:wordWrap w:val="0"/>
            <w:overflowPunct/>
            <w:topLinePunct/>
            <w:autoSpaceDE/>
            <w:autoSpaceDN/>
            <w:bidi w:val="0"/>
            <w:adjustRightInd/>
            <w:snapToGrid w:val="0"/>
            <w:ind w:left="480" w:firstLine="0" w:firstLineChars="0"/>
            <w:jc w:val="both"/>
            <w:textAlignment w:val="auto"/>
          </w:pPr>
          <w:r>
            <w:fldChar w:fldCharType="begin"/>
          </w:r>
          <w:r>
            <w:instrText xml:space="preserve"> HYPERLINK \l _Toc26467 </w:instrText>
          </w:r>
          <w:r>
            <w:fldChar w:fldCharType="separate"/>
          </w:r>
          <w:r>
            <w:t>5.2 后续工作展望</w:t>
          </w:r>
          <w:r>
            <w:tab/>
          </w:r>
          <w:r>
            <w:fldChar w:fldCharType="begin"/>
          </w:r>
          <w:r>
            <w:instrText xml:space="preserve"> PAGEREF _Toc26467 \h </w:instrText>
          </w:r>
          <w:r>
            <w:fldChar w:fldCharType="separate"/>
          </w:r>
          <w:r>
            <w:t>39</w:t>
          </w:r>
          <w:r>
            <w:fldChar w:fldCharType="end"/>
          </w:r>
          <w:r>
            <w:fldChar w:fldCharType="end"/>
          </w:r>
        </w:p>
        <w:p w14:paraId="6FBD9FE6">
          <w:pPr>
            <w:pStyle w:val="14"/>
            <w:keepNext w:val="0"/>
            <w:keepLines w:val="0"/>
            <w:pageBreakBefore w:val="0"/>
            <w:widowControl w:val="0"/>
            <w:tabs>
              <w:tab w:val="right" w:leader="dot" w:pos="8306"/>
            </w:tabs>
            <w:kinsoku/>
            <w:wordWrap w:val="0"/>
            <w:overflowPunct/>
            <w:topLinePunct/>
            <w:autoSpaceDE/>
            <w:autoSpaceDN/>
            <w:bidi w:val="0"/>
            <w:adjustRightInd/>
            <w:snapToGrid w:val="0"/>
            <w:ind w:firstLine="0" w:firstLineChars="0"/>
            <w:textAlignment w:val="auto"/>
          </w:pPr>
          <w:r>
            <w:fldChar w:fldCharType="begin"/>
          </w:r>
          <w:r>
            <w:instrText xml:space="preserve"> HYPERLINK \l _Toc22451 </w:instrText>
          </w:r>
          <w:r>
            <w:fldChar w:fldCharType="separate"/>
          </w:r>
          <w:r>
            <w:rPr>
              <w:rFonts w:ascii="Times New Roman" w:hAnsi="Times New Roman"/>
            </w:rPr>
            <w:t>参考文献</w:t>
          </w:r>
          <w:r>
            <w:tab/>
          </w:r>
          <w:r>
            <w:fldChar w:fldCharType="begin"/>
          </w:r>
          <w:r>
            <w:instrText xml:space="preserve"> PAGEREF _Toc22451 \h </w:instrText>
          </w:r>
          <w:r>
            <w:fldChar w:fldCharType="separate"/>
          </w:r>
          <w:r>
            <w:t>40</w:t>
          </w:r>
          <w:r>
            <w:fldChar w:fldCharType="end"/>
          </w:r>
          <w:r>
            <w:fldChar w:fldCharType="end"/>
          </w:r>
        </w:p>
        <w:p w14:paraId="07FE8B20">
          <w:pPr>
            <w:pStyle w:val="14"/>
            <w:keepNext w:val="0"/>
            <w:keepLines w:val="0"/>
            <w:pageBreakBefore w:val="0"/>
            <w:widowControl w:val="0"/>
            <w:tabs>
              <w:tab w:val="right" w:leader="dot" w:pos="8306"/>
            </w:tabs>
            <w:kinsoku/>
            <w:wordWrap w:val="0"/>
            <w:overflowPunct/>
            <w:topLinePunct/>
            <w:autoSpaceDE/>
            <w:autoSpaceDN/>
            <w:bidi w:val="0"/>
            <w:adjustRightInd/>
            <w:snapToGrid w:val="0"/>
            <w:ind w:firstLine="0" w:firstLineChars="0"/>
            <w:textAlignment w:val="auto"/>
          </w:pPr>
          <w:r>
            <w:fldChar w:fldCharType="begin"/>
          </w:r>
          <w:r>
            <w:instrText xml:space="preserve"> HYPERLINK \l _Toc16027 </w:instrText>
          </w:r>
          <w:r>
            <w:fldChar w:fldCharType="separate"/>
          </w:r>
          <w:r>
            <w:rPr>
              <w:rFonts w:ascii="Times New Roman" w:hAnsi="Times New Roman"/>
            </w:rPr>
            <w:t>致 谢</w:t>
          </w:r>
          <w:r>
            <w:tab/>
          </w:r>
          <w:r>
            <w:fldChar w:fldCharType="begin"/>
          </w:r>
          <w:r>
            <w:instrText xml:space="preserve"> PAGEREF _Toc16027 \h </w:instrText>
          </w:r>
          <w:r>
            <w:fldChar w:fldCharType="separate"/>
          </w:r>
          <w:r>
            <w:t>44</w:t>
          </w:r>
          <w:r>
            <w:fldChar w:fldCharType="end"/>
          </w:r>
          <w:r>
            <w:fldChar w:fldCharType="end"/>
          </w:r>
        </w:p>
        <w:p w14:paraId="0C687D34">
          <w:pPr>
            <w:pStyle w:val="14"/>
            <w:keepNext w:val="0"/>
            <w:keepLines w:val="0"/>
            <w:pageBreakBefore w:val="0"/>
            <w:widowControl w:val="0"/>
            <w:tabs>
              <w:tab w:val="right" w:leader="dot" w:pos="8306"/>
            </w:tabs>
            <w:kinsoku/>
            <w:wordWrap w:val="0"/>
            <w:overflowPunct/>
            <w:topLinePunct/>
            <w:autoSpaceDE/>
            <w:autoSpaceDN/>
            <w:bidi w:val="0"/>
            <w:adjustRightInd/>
            <w:snapToGrid w:val="0"/>
            <w:ind w:firstLine="0" w:firstLineChars="0"/>
            <w:textAlignment w:val="auto"/>
          </w:pPr>
          <w:r>
            <w:fldChar w:fldCharType="begin"/>
          </w:r>
          <w:r>
            <w:instrText xml:space="preserve"> HYPERLINK \l _Toc2953 </w:instrText>
          </w:r>
          <w:r>
            <w:fldChar w:fldCharType="separate"/>
          </w:r>
          <w:r>
            <w:rPr>
              <w:rFonts w:ascii="Times New Roman" w:hAnsi="Times New Roman"/>
            </w:rPr>
            <w:t>声 明</w:t>
          </w:r>
          <w:r>
            <w:tab/>
          </w:r>
          <w:r>
            <w:fldChar w:fldCharType="begin"/>
          </w:r>
          <w:r>
            <w:instrText xml:space="preserve"> PAGEREF _Toc2953 \h </w:instrText>
          </w:r>
          <w:r>
            <w:fldChar w:fldCharType="separate"/>
          </w:r>
          <w:r>
            <w:t>45</w:t>
          </w:r>
          <w:r>
            <w:fldChar w:fldCharType="end"/>
          </w:r>
          <w:r>
            <w:fldChar w:fldCharType="end"/>
          </w:r>
        </w:p>
        <w:p w14:paraId="5AC02D63">
          <w:pPr>
            <w:sectPr>
              <w:footerReference r:id="rId19" w:type="default"/>
              <w:pgSz w:w="11906" w:h="16838"/>
              <w:pgMar w:top="1440" w:right="1797" w:bottom="1440" w:left="1797" w:header="709" w:footer="709" w:gutter="0"/>
              <w:pgBorders>
                <w:top w:val="none" w:sz="0" w:space="0"/>
                <w:left w:val="none" w:sz="0" w:space="0"/>
                <w:bottom w:val="none" w:sz="0" w:space="0"/>
                <w:right w:val="none" w:sz="0" w:space="0"/>
              </w:pgBorders>
              <w:pgNumType w:fmt="lowerRoman"/>
              <w:cols w:space="0" w:num="1"/>
              <w:docGrid w:linePitch="360" w:charSpace="0"/>
            </w:sectPr>
          </w:pPr>
          <w:r>
            <w:fldChar w:fldCharType="end"/>
          </w:r>
        </w:p>
      </w:sdtContent>
    </w:sdt>
    <w:p w14:paraId="2FFA8CEF">
      <w:pPr>
        <w:ind w:left="0" w:leftChars="0" w:firstLine="0" w:firstLineChars="0"/>
      </w:pPr>
    </w:p>
    <w:p w14:paraId="38AA38AD">
      <w:pPr>
        <w:pStyle w:val="2"/>
        <w:spacing w:after="120"/>
        <w:rPr>
          <w:rFonts w:ascii="Times New Roman" w:hAnsi="Times New Roman"/>
        </w:rPr>
      </w:pPr>
      <w:bookmarkStart w:id="1" w:name="_Ref15162"/>
      <w:bookmarkStart w:id="2" w:name="_Toc29833"/>
      <w:r>
        <w:rPr>
          <w:rFonts w:ascii="Times New Roman" w:hAnsi="Times New Roman"/>
        </w:rPr>
        <w:t>绪论</w:t>
      </w:r>
      <w:bookmarkEnd w:id="1"/>
      <w:bookmarkEnd w:id="2"/>
    </w:p>
    <w:p w14:paraId="754D0E20">
      <w:pPr>
        <w:pStyle w:val="3"/>
        <w:spacing w:before="120" w:after="120"/>
      </w:pPr>
      <w:bookmarkStart w:id="3" w:name="_Toc32696"/>
      <w:bookmarkStart w:id="4" w:name="_Toc2290"/>
      <w:r>
        <w:t>1.1 研究背景与意义</w:t>
      </w:r>
      <w:bookmarkEnd w:id="3"/>
      <w:bookmarkEnd w:id="4"/>
    </w:p>
    <w:p w14:paraId="2823D431">
      <w:pPr>
        <w:pStyle w:val="4"/>
        <w:spacing w:before="120" w:after="120"/>
      </w:pPr>
      <w:bookmarkStart w:id="5" w:name="_Toc2655"/>
      <w:bookmarkStart w:id="6" w:name="_Toc16360"/>
      <w:r>
        <w:t>1.1.1 研究背景</w:t>
      </w:r>
      <w:bookmarkEnd w:id="5"/>
      <w:bookmarkEnd w:id="6"/>
    </w:p>
    <w:p w14:paraId="01902B4E">
      <w:pPr>
        <w:ind w:firstLine="480"/>
      </w:pPr>
      <w:r>
        <w:rPr>
          <w:rFonts w:hint="eastAsia"/>
        </w:rPr>
        <w:t>在当前工业4.0与智能制造背景下，现代装备正朝着大型化、高速化、高集成度与高智能化方向发展。在这种趋势下，设备运行的可靠性、安全性和经济性，已成为衡量工业核心竞争力的关键指标。故障预测与健康管理（Prognostics and Health Management,PHM）</w:t>
      </w:r>
      <w:r>
        <w:rPr>
          <w:rFonts w:hint="eastAsia"/>
          <w:lang w:val="en-US" w:eastAsia="zh-CN"/>
        </w:rPr>
        <w:t>是</w:t>
      </w:r>
      <w:r>
        <w:rPr>
          <w:rFonts w:hint="eastAsia"/>
        </w:rPr>
        <w:t>支撑设备全生命周期智能运维的关键技术</w:t>
      </w:r>
      <w:r>
        <w:rPr>
          <w:rFonts w:hint="eastAsia"/>
          <w:lang w:eastAsia="zh-CN"/>
        </w:rPr>
        <w:t>。</w:t>
      </w:r>
      <w:r>
        <w:rPr>
          <w:rFonts w:hint="eastAsia"/>
          <w:lang w:val="en-US" w:eastAsia="zh-CN"/>
        </w:rPr>
        <w:t>它的</w:t>
      </w:r>
      <w:r>
        <w:rPr>
          <w:rFonts w:hint="eastAsia"/>
        </w:rPr>
        <w:t>本质就是通过多传感器实时采集运行数据，挖掘性能退化的内在规律，进而精准预测设备的剩余使用寿命（Remaining Useful Life,RUL），推动运维模式从事后维修</w:t>
      </w:r>
      <w:r>
        <w:rPr>
          <w:rFonts w:hint="eastAsia"/>
          <w:lang w:val="en-US" w:eastAsia="zh-CN"/>
        </w:rPr>
        <w:t>或</w:t>
      </w:r>
      <w:r>
        <w:rPr>
          <w:rFonts w:hint="eastAsia"/>
        </w:rPr>
        <w:t>定期维修向视情维修转变。实践表明，成熟的PHM技术能把运维成本</w:t>
      </w:r>
      <w:r>
        <w:rPr>
          <w:rFonts w:hint="eastAsia"/>
          <w:lang w:val="en-US" w:eastAsia="zh-CN"/>
        </w:rPr>
        <w:t>减少</w:t>
      </w:r>
      <w:r>
        <w:rPr>
          <w:rFonts w:hint="eastAsia"/>
        </w:rPr>
        <w:t>30%以上，非计划停机事故减少超过70%，对工业生产的效率和安全来说，</w:t>
      </w:r>
      <w:r>
        <w:rPr>
          <w:rFonts w:hint="eastAsia"/>
          <w:lang w:val="en-US" w:eastAsia="zh-CN"/>
        </w:rPr>
        <w:t>它具有重要</w:t>
      </w:r>
      <w:r>
        <w:rPr>
          <w:rFonts w:hint="eastAsia"/>
        </w:rPr>
        <w:t>作用</w:t>
      </w:r>
      <w:r>
        <w:rPr>
          <w:vertAlign w:val="superscript"/>
        </w:rPr>
        <w:fldChar w:fldCharType="begin"/>
      </w:r>
      <w:r>
        <w:instrText xml:space="preserve"> REF _Ref3500 \r \h  \* MERGEFORMAT</w:instrText>
      </w:r>
      <w:r>
        <w:rPr>
          <w:vertAlign w:val="superscript"/>
        </w:rPr>
        <w:fldChar w:fldCharType="separate"/>
      </w:r>
      <w:r>
        <w:rPr>
          <w:vertAlign w:val="superscript"/>
        </w:rPr>
        <w:t>[1]</w:t>
      </w:r>
      <w:r>
        <w:rPr>
          <w:vertAlign w:val="superscript"/>
        </w:rPr>
        <w:fldChar w:fldCharType="end"/>
      </w:r>
      <w:r>
        <w:t>。</w:t>
      </w:r>
    </w:p>
    <w:p w14:paraId="714DE5B3">
      <w:pPr>
        <w:ind w:firstLine="480"/>
        <w:rPr>
          <w:rFonts w:hint="eastAsia"/>
          <w:vertAlign w:val="superscript"/>
        </w:rPr>
      </w:pPr>
      <w:r>
        <w:rPr>
          <w:rFonts w:hint="eastAsia"/>
        </w:rPr>
        <w:t>旋转机械里，滚动轴承是最核心、也最普遍的支撑部件。风电齿轮箱、航空发动机、轨道交通和工业机床均依赖其正常运行，其健康状态直接决定整台设备的运行安全。据国际轴承协会统计，旋转机械约30%的故障是由滚动轴承失效引起的，在风电和航空这类高端装备里，这个数字甚至超过40%</w:t>
      </w:r>
      <w:r>
        <w:rPr>
          <w:vertAlign w:val="superscript"/>
        </w:rPr>
        <w:fldChar w:fldCharType="begin"/>
      </w:r>
      <w:r>
        <w:instrText xml:space="preserve"> REF _Ref3719 \r \h  \* MERGEFORMAT</w:instrText>
      </w:r>
      <w:r>
        <w:rPr>
          <w:vertAlign w:val="superscript"/>
        </w:rPr>
        <w:fldChar w:fldCharType="separate"/>
      </w:r>
      <w:r>
        <w:rPr>
          <w:vertAlign w:val="superscript"/>
        </w:rPr>
        <w:t>[2]</w:t>
      </w:r>
      <w:r>
        <w:rPr>
          <w:vertAlign w:val="superscript"/>
        </w:rPr>
        <w:fldChar w:fldCharType="end"/>
      </w:r>
      <w:r>
        <w:t>。</w:t>
      </w:r>
      <w:r>
        <w:rPr>
          <w:rFonts w:hint="eastAsia"/>
        </w:rPr>
        <w:t>从功能本质来看，滚动轴承在旋转机械中承担着四项基础功能：承载载荷、减少摩擦、保证回转精度以及稳定传递运动，同时兼顾辅助密封与减振</w:t>
      </w:r>
      <w:r>
        <w:rPr>
          <w:rFonts w:hint="eastAsia"/>
          <w:vertAlign w:val="superscript"/>
        </w:rPr>
        <w:fldChar w:fldCharType="begin"/>
      </w:r>
      <w:r>
        <w:instrText xml:space="preserve"> REF _Ref20047 \r \h  \* MERGEFORMAT</w:instrText>
      </w:r>
      <w:r>
        <w:rPr>
          <w:rFonts w:hint="eastAsia"/>
          <w:vertAlign w:val="superscript"/>
        </w:rPr>
        <w:fldChar w:fldCharType="separate"/>
      </w:r>
      <w:r>
        <w:rPr>
          <w:rFonts w:hint="eastAsia"/>
          <w:vertAlign w:val="superscript"/>
        </w:rPr>
        <w:t>[3]</w:t>
      </w:r>
      <w:r>
        <w:rPr>
          <w:rFonts w:hint="eastAsia"/>
          <w:vertAlign w:val="superscript"/>
        </w:rPr>
        <w:fldChar w:fldCharType="end"/>
      </w:r>
      <w:r>
        <w:rPr>
          <w:rFonts w:hint="eastAsia"/>
        </w:rPr>
        <w:t>。这些功能由内圈、外圈、滚动体和保持架协同实现。轴承的退化过程遵循“正常运行—性能衰减—功能缺失—完全失效”的不可逆演化规律，具有非线性、累积性与延迟性特征</w:t>
      </w:r>
      <w:r>
        <w:rPr>
          <w:rFonts w:hint="eastAsia"/>
          <w:vertAlign w:val="superscript"/>
        </w:rPr>
        <w:fldChar w:fldCharType="begin"/>
      </w:r>
      <w:r>
        <w:instrText xml:space="preserve"> REF _Ref20416 \r \h  \* MERGEFORMAT</w:instrText>
      </w:r>
      <w:r>
        <w:rPr>
          <w:rFonts w:hint="eastAsia"/>
          <w:vertAlign w:val="superscript"/>
        </w:rPr>
        <w:fldChar w:fldCharType="separate"/>
      </w:r>
      <w:r>
        <w:rPr>
          <w:rFonts w:hint="eastAsia"/>
          <w:vertAlign w:val="superscript"/>
        </w:rPr>
        <w:t>[4]</w:t>
      </w:r>
      <w:r>
        <w:rPr>
          <w:rFonts w:hint="eastAsia"/>
          <w:vertAlign w:val="superscript"/>
        </w:rPr>
        <w:fldChar w:fldCharType="end"/>
      </w:r>
    </w:p>
    <w:p w14:paraId="56DEB1E9">
      <w:pPr>
        <w:bidi w:val="0"/>
        <w:rPr>
          <w:rFonts w:hint="eastAsia"/>
          <w:lang w:eastAsia="zh-CN"/>
        </w:rPr>
      </w:pPr>
      <w:r>
        <w:rPr>
          <w:rFonts w:hint="eastAsia"/>
          <w:lang w:eastAsia="zh-CN"/>
        </w:rPr>
        <w:t>根据TRIZ理论的功能分析与矛盾分析方法</w:t>
      </w:r>
      <w:r>
        <w:rPr>
          <w:rFonts w:hint="eastAsia"/>
          <w:vertAlign w:val="superscript"/>
          <w:lang w:eastAsia="zh-CN"/>
        </w:rPr>
        <w:fldChar w:fldCharType="begin"/>
      </w:r>
      <w:r>
        <w:instrText xml:space="preserve"> REF _Ref20047 \r \h  \* MERGEFORMAT</w:instrText>
      </w:r>
      <w:r>
        <w:rPr>
          <w:rFonts w:hint="eastAsia"/>
          <w:vertAlign w:val="superscript"/>
          <w:lang w:eastAsia="zh-CN"/>
        </w:rPr>
        <w:fldChar w:fldCharType="separate"/>
      </w:r>
      <w:r>
        <w:rPr>
          <w:rFonts w:hint="eastAsia"/>
          <w:vertAlign w:val="superscript"/>
          <w:lang w:eastAsia="zh-CN"/>
        </w:rPr>
        <w:t>[3]</w:t>
      </w:r>
      <w:r>
        <w:rPr>
          <w:rFonts w:hint="eastAsia"/>
          <w:vertAlign w:val="superscript"/>
          <w:lang w:eastAsia="zh-CN"/>
        </w:rPr>
        <w:fldChar w:fldCharType="end"/>
      </w:r>
      <w:r>
        <w:rPr>
          <w:rFonts w:hint="eastAsia"/>
          <w:lang w:eastAsia="zh-CN"/>
        </w:rPr>
        <w:t>，轴承性能退化的根本矛盾在于承载能力与使用寿命之间的物理约束：载荷越高，接触应力越大，疲劳寿命越短。当工况（转速、载荷、温度等）频繁变动时，这一矛盾的表现形式发生动态迁移，导致同一轴承在不同工况下的退化速率和失效模式出现显著差异。高负载下寿命短、退化快，低负载下寿命较长、拐点出现较晚——这种差异使得单一工况下训练得到的模型迁移至另一种工况时性能显著下降。</w:t>
      </w:r>
    </w:p>
    <w:p w14:paraId="748BB474">
      <w:pPr>
        <w:ind w:firstLine="480"/>
        <w:rPr>
          <w:rFonts w:hint="eastAsia"/>
          <w:lang w:val="en-US" w:eastAsia="zh-CN"/>
        </w:rPr>
      </w:pPr>
      <w:r>
        <w:rPr>
          <w:rFonts w:hint="eastAsia"/>
          <w:lang w:val="en-US" w:eastAsia="zh-CN"/>
        </w:rPr>
        <w:t>然而，现有数据驱动的RUL预测方法大多侧重于信号拟合与模型精度，忽视了轴承功能退化机理与故障-功能映射关系的工程化解读</w:t>
      </w:r>
      <w:r>
        <w:rPr>
          <w:rFonts w:hint="eastAsia"/>
          <w:vertAlign w:val="superscript"/>
          <w:lang w:val="en-US" w:eastAsia="zh-CN"/>
        </w:rPr>
        <w:fldChar w:fldCharType="begin"/>
      </w:r>
      <w:r>
        <w:instrText xml:space="preserve"> REF _Ref20416 \r \h  \* MERGEFORMAT</w:instrText>
      </w:r>
      <w:r>
        <w:rPr>
          <w:rFonts w:hint="eastAsia"/>
          <w:vertAlign w:val="superscript"/>
          <w:lang w:val="en-US" w:eastAsia="zh-CN"/>
        </w:rPr>
        <w:fldChar w:fldCharType="separate"/>
      </w:r>
      <w:r>
        <w:rPr>
          <w:rFonts w:hint="eastAsia"/>
          <w:vertAlign w:val="superscript"/>
          <w:lang w:val="en-US" w:eastAsia="zh-CN"/>
        </w:rPr>
        <w:t>[4]</w:t>
      </w:r>
      <w:r>
        <w:rPr>
          <w:rFonts w:hint="eastAsia"/>
          <w:vertAlign w:val="superscript"/>
          <w:lang w:val="en-US" w:eastAsia="zh-CN"/>
        </w:rPr>
        <w:fldChar w:fldCharType="end"/>
      </w:r>
      <w:r>
        <w:rPr>
          <w:rFonts w:hint="eastAsia"/>
          <w:lang w:val="en-US" w:eastAsia="zh-CN"/>
        </w:rPr>
        <w:t>。传统深度学习结构各有局限性：CNN擅长提取局部空间特征，但难以有效建模长程时序依赖；RNN及其变体擅长时序建模，但在提取早期微弱故障特征方面能力偏弱。标签策略方面，大多数研究仍采用全生命周期线性递减方式，这与轴承“前80%稳定、后20%急剧变化”的实际退化节奏严重不符，由此引入的标签误差在跨工况场景中被进一步放大。此外，现有方法大多基于单一来源数据训练，工况变化时性能显著下降，难以满足真实工业场景需求</w:t>
      </w:r>
      <w:r>
        <w:rPr>
          <w:rFonts w:hint="eastAsia"/>
          <w:vertAlign w:val="superscript"/>
          <w:lang w:val="en-US" w:eastAsia="zh-CN"/>
        </w:rPr>
        <w:fldChar w:fldCharType="begin"/>
      </w:r>
      <w:r>
        <w:instrText xml:space="preserve"> REF _Ref3821 \r \h  \* MERGEFORMAT</w:instrText>
      </w:r>
      <w:r>
        <w:rPr>
          <w:rFonts w:hint="eastAsia"/>
          <w:vertAlign w:val="superscript"/>
          <w:lang w:val="en-US" w:eastAsia="zh-CN"/>
        </w:rPr>
        <w:fldChar w:fldCharType="separate"/>
      </w:r>
      <w:r>
        <w:rPr>
          <w:rFonts w:hint="eastAsia"/>
          <w:vertAlign w:val="superscript"/>
          <w:lang w:val="en-US" w:eastAsia="zh-CN"/>
        </w:rPr>
        <w:t>[5]</w:t>
      </w:r>
      <w:r>
        <w:rPr>
          <w:rFonts w:hint="eastAsia"/>
          <w:vertAlign w:val="superscript"/>
          <w:lang w:val="en-US" w:eastAsia="zh-CN"/>
        </w:rPr>
        <w:fldChar w:fldCharType="end"/>
      </w:r>
      <w:r>
        <w:rPr>
          <w:rFonts w:hint="eastAsia"/>
          <w:vertAlign w:val="superscript"/>
          <w:lang w:val="en-US" w:eastAsia="zh-CN"/>
        </w:rPr>
        <w:fldChar w:fldCharType="begin"/>
      </w:r>
      <w:r>
        <w:instrText xml:space="preserve"> REF _Ref4712 \r \h  \* MERGEFORMAT</w:instrText>
      </w:r>
      <w:r>
        <w:rPr>
          <w:rFonts w:hint="eastAsia"/>
          <w:vertAlign w:val="superscript"/>
          <w:lang w:val="en-US" w:eastAsia="zh-CN"/>
        </w:rPr>
        <w:fldChar w:fldCharType="separate"/>
      </w:r>
      <w:r>
        <w:rPr>
          <w:rFonts w:hint="eastAsia"/>
          <w:vertAlign w:val="superscript"/>
          <w:lang w:val="en-US" w:eastAsia="zh-CN"/>
        </w:rPr>
        <w:t>[6]</w:t>
      </w:r>
      <w:r>
        <w:rPr>
          <w:rFonts w:hint="eastAsia"/>
          <w:vertAlign w:val="superscript"/>
          <w:lang w:val="en-US" w:eastAsia="zh-CN"/>
        </w:rPr>
        <w:fldChar w:fldCharType="end"/>
      </w:r>
      <w:r>
        <w:rPr>
          <w:rFonts w:hint="eastAsia"/>
          <w:vertAlign w:val="superscript"/>
          <w:lang w:val="en-US" w:eastAsia="zh-CN"/>
        </w:rPr>
        <w:fldChar w:fldCharType="begin"/>
      </w:r>
      <w:r>
        <w:instrText xml:space="preserve"> REF _Ref4777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vertAlign w:val="superscript"/>
          <w:lang w:val="en-US" w:eastAsia="zh-CN"/>
        </w:rPr>
        <w:fldChar w:fldCharType="begin"/>
      </w:r>
      <w:r>
        <w:instrText xml:space="preserve"> REF _Ref4846 \r \h  \* MERGEFORMAT</w:instrText>
      </w:r>
      <w:r>
        <w:rPr>
          <w:rFonts w:hint="eastAsia"/>
          <w:vertAlign w:val="superscript"/>
          <w:lang w:val="en-US" w:eastAsia="zh-CN"/>
        </w:rPr>
        <w:fldChar w:fldCharType="separate"/>
      </w:r>
      <w:r>
        <w:rPr>
          <w:rFonts w:hint="eastAsia"/>
          <w:vertAlign w:val="superscript"/>
          <w:lang w:val="en-US" w:eastAsia="zh-CN"/>
        </w:rPr>
        <w:t>[8]</w:t>
      </w:r>
      <w:r>
        <w:rPr>
          <w:rFonts w:hint="eastAsia"/>
          <w:vertAlign w:val="superscript"/>
          <w:lang w:val="en-US" w:eastAsia="zh-CN"/>
        </w:rPr>
        <w:fldChar w:fldCharType="end"/>
      </w:r>
      <w:r>
        <w:rPr>
          <w:rFonts w:hint="eastAsia"/>
          <w:lang w:val="en-US" w:eastAsia="zh-CN"/>
        </w:rPr>
        <w:t>。</w:t>
      </w:r>
    </w:p>
    <w:p w14:paraId="422A38C7">
      <w:pPr>
        <w:ind w:firstLine="480"/>
        <w:rPr>
          <w:rFonts w:hint="eastAsia"/>
          <w:highlight w:val="none"/>
        </w:rPr>
      </w:pPr>
      <w:r>
        <w:rPr>
          <w:rFonts w:hint="eastAsia"/>
          <w:highlight w:val="none"/>
        </w:rPr>
        <w:t>针对上述问题，本文基于TRIZ理论对滚动轴承的功能属性与失效矛盾进行分析，以XJTU-SY轴承全寿命数据集为对象，提出基于SE-ResNet和BiGRU的剩余寿命预测方法。在数据端，采用小波降噪、多域特征融合及mRMR筛选，构建有效初始特征，并将标签策略改为前80%恒定、后20%线性递减的分段形式，使标签符合真实物理退化过程。在模型端，结合SE通道注意力、残差网络与BiGRU时序建模，引入MK-MMD域适应及多源域融合训练以解决跨工况泛化问题，通过域适应与分段标签策略削弱工况漂移影响，提升模型在变工况下的功能适应性与预测精度，为滚动轴承智能运维与功能可靠性保障提供工程化解决方案。</w:t>
      </w:r>
    </w:p>
    <w:p w14:paraId="68D10B06">
      <w:pPr>
        <w:pStyle w:val="4"/>
        <w:spacing w:before="120" w:after="120"/>
      </w:pPr>
      <w:bookmarkStart w:id="7" w:name="_Toc25681"/>
      <w:bookmarkStart w:id="8" w:name="_Toc11842"/>
      <w:r>
        <w:t>1.1.2 研究意义</w:t>
      </w:r>
      <w:bookmarkEnd w:id="7"/>
      <w:bookmarkEnd w:id="8"/>
    </w:p>
    <w:p w14:paraId="7851BC8B">
      <w:pPr>
        <w:ind w:firstLine="480"/>
        <w:rPr>
          <w:rFonts w:hint="eastAsia"/>
          <w:lang w:val="en-US" w:eastAsia="zh-CN"/>
        </w:rPr>
      </w:pPr>
      <w:r>
        <w:rPr>
          <w:rFonts w:hint="eastAsia"/>
          <w:lang w:val="en-US" w:eastAsia="zh-CN"/>
        </w:rPr>
        <w:t>本文研究的意义并不在于提出颠覆性理论，而在于将模型架构、标签设计与域适应等环节有机整合，为多工况下轴承RUL预测这一难题提供一个系统性解决方案。</w:t>
      </w:r>
    </w:p>
    <w:p w14:paraId="3D804D46">
      <w:pPr>
        <w:ind w:firstLine="480"/>
        <w:rPr>
          <w:rFonts w:hint="eastAsia"/>
          <w:lang w:val="en-US" w:eastAsia="zh-CN"/>
        </w:rPr>
      </w:pPr>
      <w:r>
        <w:rPr>
          <w:rFonts w:hint="eastAsia"/>
          <w:lang w:val="en-US" w:eastAsia="zh-CN"/>
        </w:rPr>
        <w:t>理论层面包括以下三点。</w:t>
      </w:r>
    </w:p>
    <w:p w14:paraId="31E45F5C">
      <w:pPr>
        <w:ind w:firstLine="480"/>
        <w:rPr>
          <w:rFonts w:hint="eastAsia"/>
          <w:lang w:val="en-US" w:eastAsia="zh-CN"/>
        </w:rPr>
      </w:pPr>
      <w:r>
        <w:rPr>
          <w:rFonts w:hint="eastAsia"/>
          <w:lang w:val="en-US" w:eastAsia="zh-CN"/>
        </w:rPr>
        <w:t>首先，SE-ResNet+BiGRU混合架构。本文在设计过程中发现，卷积网络与循环网络各有所长，但简单组合未必能充分发挥各自优势，关键在于如何实现两者的有效协同。本文采用SE-ResNet首先提取多尺度局部退化特征：残差连接可缓解深层网络的梯度消失问题，SE模块再按通道重要性进行自适应加权，增强与退化相关的特征通道，抑制噪声通道。随后，BiGRU从正向与反向两个时间方向学习退化趋势的长程依赖。消融实验表明，这种双向时序建模在退化拐点附近具有显著增益，模型对加速恶化起始时刻的判断优于单向结构。从架构设计角度，该组合为融合卷积与循环网络提供了可参考的思路。</w:t>
      </w:r>
    </w:p>
    <w:p w14:paraId="7625F28F">
      <w:pPr>
        <w:ind w:firstLine="480"/>
        <w:rPr>
          <w:rFonts w:hint="eastAsia"/>
          <w:lang w:val="en-US" w:eastAsia="zh-CN"/>
        </w:rPr>
      </w:pPr>
      <w:r>
        <w:rPr>
          <w:rFonts w:hint="eastAsia"/>
          <w:lang w:val="en-US" w:eastAsia="zh-CN"/>
        </w:rPr>
        <w:t>其次，分段线性RUL标签策略。 这并非模型层面的创新，而是数据层面的修正。传统方法默认轴承从投入使用起寿命即开始匀速递减，这与物理事实不符。轴承的实际退化规律为：前80%寿命期内性能相对稳定，最后20%寿命期内加速退化直至失效。若采用全线性标签训练模型，模型在健康阶段将接收到大量错误信号；在跨工况场景下，不同寿命尺度的标签分布差异会进一步放大该误差。本文采用前80%恒定、后20%线性递减的分段标签，以尽可能贴近真实的物理退化过程。实验结果表明，跨工况NRMSE由61.6%降至19.8%。在工业剩余寿命预测中，标签质量的重要性不低于模型结构。</w:t>
      </w:r>
    </w:p>
    <w:p w14:paraId="7AFC70C9">
      <w:pPr>
        <w:ind w:firstLine="480"/>
        <w:rPr>
          <w:rFonts w:hint="eastAsia"/>
          <w:lang w:val="en-US" w:eastAsia="zh-CN"/>
        </w:rPr>
      </w:pPr>
      <w:r>
        <w:rPr>
          <w:rFonts w:hint="eastAsia"/>
          <w:lang w:val="en-US" w:eastAsia="zh-CN"/>
        </w:rPr>
        <w:t>第三，多源域融合训练与MK-MMD域适应的联合验证。 跨工况预测的主要难点在于不同工况之间分布差异显著，模型在一种工况下训练后迁移至另一工况时性能下降。现有研究多采用单一工况数据训练并直接预测另一工况，误差较高。本文采用多源域数据联合训练，使模型接触多种工况分布；同时引入MK-MMD，通过多核函数组合度量源域与目标域在特征空间中的分布差异并最小化该差异。实验结果表明，该组合有效抑制了域偏移，模型在未见工况上的预测稳定性得到提升。这为多工况轴承RUL预测提供了一种可行的技术路径，后续可在此基础上进一步改进域适应策略。</w:t>
      </w:r>
    </w:p>
    <w:p w14:paraId="1F6220CE">
      <w:pPr>
        <w:ind w:firstLine="480"/>
        <w:rPr>
          <w:rFonts w:hint="eastAsia"/>
          <w:lang w:val="en-US" w:eastAsia="zh-CN"/>
        </w:rPr>
      </w:pPr>
      <w:r>
        <w:rPr>
          <w:rFonts w:hint="eastAsia"/>
          <w:lang w:val="en-US" w:eastAsia="zh-CN"/>
        </w:rPr>
        <w:t>实践层面，本文关注该方法在实际场景中的适用性。XJTU-SY数据集上的验证结果证实了其有效性：单工况下平均RMSE为25.49 min，平均PHM评分为0.9724；跨工况下，所有任务的PHM评分均大于0.94。以风电行业为例，一台2MW机组非计划停机一天的损失可达数万元，本文方法可提前数天至数周捕捉轴承失效征兆，为运维提供充足的检修窗口，有效降低损失。在安全方面，本文使模型偏向保守预测，大多数情况下预测剩余寿命略低于真实值。工业PHM领域遵循“早报警优于晚报警”的原则，滞后预警可能导致严重事故。结合MC Dropout生成的95%置信区间，运维人员获得的不仅是点预测值，而是具有可信度的风险提示：高置信度的高风险预警可作为停机检修的依据，低置信度预警则需加密监测。这种分层决策支持是该方法最具实际价值之处。</w:t>
      </w:r>
    </w:p>
    <w:p w14:paraId="392DA57F">
      <w:pPr>
        <w:ind w:firstLine="480"/>
        <w:rPr>
          <w:rFonts w:hint="eastAsia"/>
        </w:rPr>
      </w:pPr>
      <w:r>
        <w:rPr>
          <w:rFonts w:hint="eastAsia"/>
          <w:lang w:val="en-US" w:eastAsia="zh-CN"/>
        </w:rPr>
        <w:t>此外，该技术框架具有较强的通用性。小波降噪—多域特征提取—深度混合模型—域适应等步骤并非仅适用于轴承。齿轮、电机、泵体等旋转机械的振动信号同样存在强噪声、早期特征微弱、时序演化复杂等问题，仅需调整输入特征维度及部分超参数，该框架即可迁移应用。分段线性标签策略与多源域融合训练思路亦可推广至电池寿命预测、刀具磨损预测等PHM任务中。因此，本文不仅提出了一种具体方法，更提供了一套可复制、可扩展的技术范式</w:t>
      </w:r>
      <w:r>
        <w:rPr>
          <w:rFonts w:hint="eastAsia"/>
        </w:rPr>
        <w:t>。</w:t>
      </w:r>
    </w:p>
    <w:p w14:paraId="2732CDF5">
      <w:pPr>
        <w:pStyle w:val="3"/>
        <w:spacing w:before="120" w:after="120"/>
      </w:pPr>
      <w:bookmarkStart w:id="9" w:name="_Toc31883"/>
      <w:bookmarkStart w:id="10" w:name="_Toc27034"/>
      <w:r>
        <w:t>1.2 国内外研究现状</w:t>
      </w:r>
      <w:bookmarkEnd w:id="9"/>
      <w:bookmarkEnd w:id="10"/>
    </w:p>
    <w:p w14:paraId="6313FB28">
      <w:pPr>
        <w:pStyle w:val="4"/>
        <w:spacing w:before="120" w:after="120"/>
      </w:pPr>
      <w:bookmarkStart w:id="11" w:name="_Toc24036"/>
      <w:bookmarkStart w:id="12" w:name="_Toc3208"/>
      <w:r>
        <w:t>1.2.1 国外研究现状</w:t>
      </w:r>
      <w:bookmarkEnd w:id="11"/>
      <w:bookmarkEnd w:id="12"/>
    </w:p>
    <w:p w14:paraId="3B727BEF">
      <w:pPr>
        <w:ind w:firstLine="480"/>
        <w:rPr>
          <w:rFonts w:hint="eastAsia"/>
        </w:rPr>
      </w:pPr>
      <w:r>
        <w:rPr>
          <w:rFonts w:hint="eastAsia"/>
        </w:rPr>
        <w:t>滚动轴承剩余使用寿命预测这一研究，</w:t>
      </w:r>
      <w:r>
        <w:rPr>
          <w:rFonts w:hint="eastAsia"/>
          <w:lang w:val="en-US" w:eastAsia="zh-CN"/>
        </w:rPr>
        <w:t>最早可以追溯到</w:t>
      </w:r>
      <w:r>
        <w:rPr>
          <w:rFonts w:hint="eastAsia"/>
        </w:rPr>
        <w:t>20世纪中期的设备可靠性工程。</w:t>
      </w:r>
      <w:r>
        <w:rPr>
          <w:rFonts w:hint="eastAsia"/>
          <w:lang w:val="en-US" w:eastAsia="zh-CN"/>
        </w:rPr>
        <w:t>之后</w:t>
      </w:r>
      <w:r>
        <w:rPr>
          <w:rFonts w:hint="eastAsia"/>
        </w:rPr>
        <w:t>几十年，它走过了物理模型、传统机器学习与深度学习</w:t>
      </w:r>
      <w:r>
        <w:rPr>
          <w:rFonts w:hint="eastAsia"/>
          <w:lang w:val="en-US" w:eastAsia="zh-CN"/>
        </w:rPr>
        <w:t>这</w:t>
      </w:r>
      <w:r>
        <w:rPr>
          <w:rFonts w:hint="eastAsia"/>
        </w:rPr>
        <w:t>三个主要阶段</w:t>
      </w:r>
      <w:r>
        <w:rPr>
          <w:rFonts w:hint="eastAsia"/>
          <w:lang w:eastAsia="zh-CN"/>
        </w:rPr>
        <w:t>。</w:t>
      </w:r>
      <w:r>
        <w:rPr>
          <w:rFonts w:hint="eastAsia"/>
          <w:lang w:val="en-US" w:eastAsia="zh-CN"/>
        </w:rPr>
        <w:t>当前</w:t>
      </w:r>
      <w:r>
        <w:rPr>
          <w:rFonts w:hint="eastAsia"/>
          <w:lang w:eastAsia="zh-CN"/>
        </w:rPr>
        <w:t>，</w:t>
      </w:r>
      <w:r>
        <w:rPr>
          <w:rFonts w:hint="eastAsia"/>
          <w:lang w:val="en-US" w:eastAsia="zh-CN"/>
        </w:rPr>
        <w:t>它</w:t>
      </w:r>
      <w:r>
        <w:rPr>
          <w:rFonts w:hint="eastAsia"/>
        </w:rPr>
        <w:t>已经形成了一套</w:t>
      </w:r>
      <w:r>
        <w:rPr>
          <w:rFonts w:hint="eastAsia"/>
          <w:lang w:val="en-US" w:eastAsia="zh-CN"/>
        </w:rPr>
        <w:t>比较</w:t>
      </w:r>
      <w:r>
        <w:rPr>
          <w:rFonts w:hint="eastAsia"/>
        </w:rPr>
        <w:t>完整的理论与方法体系。</w:t>
      </w:r>
    </w:p>
    <w:p w14:paraId="4D003976">
      <w:pPr>
        <w:ind w:firstLine="480"/>
        <w:rPr>
          <w:rFonts w:hint="eastAsia"/>
        </w:rPr>
      </w:pPr>
      <w:r>
        <w:rPr>
          <w:rFonts w:hint="eastAsia"/>
        </w:rPr>
        <w:t>早期的工作大多扎根于物理失效机理和统计退化模型。一个典型的思路是建立轴承疲劳损伤的演化方程，或者用概率统计模型来刻画寿命分布。</w:t>
      </w:r>
      <w:r>
        <w:t>Wang等</w:t>
      </w:r>
      <w:r>
        <w:rPr>
          <w:vertAlign w:val="superscript"/>
        </w:rPr>
        <w:fldChar w:fldCharType="begin"/>
      </w:r>
      <w:r>
        <w:rPr>
          <w:vertAlign w:val="superscript"/>
        </w:rPr>
        <w:instrText xml:space="preserve"> REF _Ref4924 \r \h  \* MERGEFORMAT</w:instrText>
      </w:r>
      <w:r>
        <w:rPr>
          <w:vertAlign w:val="superscript"/>
        </w:rPr>
        <w:fldChar w:fldCharType="separate"/>
      </w:r>
      <w:r>
        <w:rPr>
          <w:vertAlign w:val="superscript"/>
        </w:rPr>
        <w:t>[9]</w:t>
      </w:r>
      <w:r>
        <w:rPr>
          <w:vertAlign w:val="superscript"/>
        </w:rPr>
        <w:fldChar w:fldCharType="end"/>
      </w:r>
      <w:r>
        <w:rPr>
          <w:rFonts w:hint="eastAsia"/>
        </w:rPr>
        <w:t>提出的混合预测方法算是那个阶段比较有代表性的尝试——他们把相关向量机回归和指数退化模型结合到一起，再用Frechet距离来自适应地估计剩余寿命，在PRONOSTIA数据集上验证了这个思路的可行性。后来，随着统计学习理论逐渐成熟，支持向量回归、高斯过程回归这类方法开始成为主流。这类方法有个明显的好处：不太需要钻透复杂的物理机理，直接从监测数据里学退化规律就行了。</w:t>
      </w:r>
      <w:r>
        <w:t>Pan等</w:t>
      </w:r>
      <w:r>
        <w:rPr>
          <w:vertAlign w:val="superscript"/>
        </w:rPr>
        <w:fldChar w:fldCharType="begin"/>
      </w:r>
      <w:r>
        <w:instrText xml:space="preserve"> REF _Ref5006 \r \h  \* MERGEFORMAT</w:instrText>
      </w:r>
      <w:r>
        <w:rPr>
          <w:vertAlign w:val="superscript"/>
        </w:rPr>
        <w:fldChar w:fldCharType="separate"/>
      </w:r>
      <w:r>
        <w:rPr>
          <w:vertAlign w:val="superscript"/>
        </w:rPr>
        <w:t>[10]</w:t>
      </w:r>
      <w:r>
        <w:rPr>
          <w:vertAlign w:val="superscript"/>
        </w:rPr>
        <w:fldChar w:fldCharType="end"/>
      </w:r>
      <w:r>
        <w:rPr>
          <w:rFonts w:hint="eastAsia"/>
          <w:lang w:val="en-US" w:eastAsia="zh-CN"/>
        </w:rPr>
        <w:t>在</w:t>
      </w:r>
      <w:r>
        <w:rPr>
          <w:rFonts w:hint="eastAsia"/>
        </w:rPr>
        <w:t>这个方向上做了一项</w:t>
      </w:r>
      <w:r>
        <w:rPr>
          <w:rFonts w:hint="eastAsia"/>
          <w:lang w:val="en-US" w:eastAsia="zh-CN"/>
        </w:rPr>
        <w:t>很</w:t>
      </w:r>
      <w:r>
        <w:rPr>
          <w:rFonts w:hint="eastAsia"/>
        </w:rPr>
        <w:t>有意思的工作，提出了多投影支持矩阵回归模型，通过多重投影机制去捕捉局部的流形几何特性，保留了矩阵形式数据的内在结构，在不同工况下都表现得不错。</w:t>
      </w:r>
      <w:r>
        <w:t>Xue等</w:t>
      </w:r>
      <w:r>
        <w:rPr>
          <w:vertAlign w:val="superscript"/>
        </w:rPr>
        <w:fldChar w:fldCharType="begin"/>
      </w:r>
      <w:r>
        <w:instrText xml:space="preserve"> REF _Ref5153 \r \h  \* MERGEFORMAT</w:instrText>
      </w:r>
      <w:r>
        <w:rPr>
          <w:vertAlign w:val="superscript"/>
        </w:rPr>
        <w:fldChar w:fldCharType="separate"/>
      </w:r>
      <w:r>
        <w:rPr>
          <w:vertAlign w:val="superscript"/>
        </w:rPr>
        <w:t>[11]</w:t>
      </w:r>
      <w:r>
        <w:rPr>
          <w:vertAlign w:val="superscript"/>
        </w:rPr>
        <w:fldChar w:fldCharType="end"/>
      </w:r>
      <w:r>
        <w:rPr>
          <w:rFonts w:hint="eastAsia"/>
        </w:rPr>
        <w:t>则走了一条融合的路子，把深度变分网络提取的高保真健康指标和经验退化模型揉在一起做概率性RUL估计，尤其是在退化早期阶段，优势比较突出。</w:t>
      </w:r>
    </w:p>
    <w:p w14:paraId="71C771B3">
      <w:pPr>
        <w:ind w:firstLine="480"/>
        <w:rPr>
          <w:rFonts w:hint="eastAsia"/>
        </w:rPr>
      </w:pPr>
      <w:r>
        <w:rPr>
          <w:rFonts w:hint="eastAsia"/>
        </w:rPr>
        <w:t>近年来，深度学习的快速发展重塑了该领域的研究范式。深度学习的自动特征提取与非线性建模能力强大，迅速成为研究热点。</w:t>
      </w:r>
      <w:r>
        <w:t>Wang等</w:t>
      </w:r>
      <w:r>
        <w:rPr>
          <w:vertAlign w:val="superscript"/>
        </w:rPr>
        <w:fldChar w:fldCharType="begin"/>
      </w:r>
      <w:r>
        <w:instrText xml:space="preserve"> REF _Ref5192 \r \h  \* MERGEFORMAT</w:instrText>
      </w:r>
      <w:r>
        <w:rPr>
          <w:vertAlign w:val="superscript"/>
        </w:rPr>
        <w:fldChar w:fldCharType="separate"/>
      </w:r>
      <w:r>
        <w:rPr>
          <w:vertAlign w:val="superscript"/>
        </w:rPr>
        <w:t>[12]</w:t>
      </w:r>
      <w:r>
        <w:rPr>
          <w:vertAlign w:val="superscript"/>
        </w:rPr>
        <w:fldChar w:fldCharType="end"/>
      </w:r>
      <w:r>
        <w:rPr>
          <w:rFonts w:hint="eastAsia"/>
        </w:rPr>
        <w:t>提出了并行特征提取的深度学习架构，在数据预处理</w:t>
      </w:r>
      <w:r>
        <w:rPr>
          <w:rFonts w:hint="eastAsia"/>
          <w:lang w:val="en-US" w:eastAsia="zh-CN"/>
        </w:rPr>
        <w:t>方面做了许多工作</w:t>
      </w:r>
      <w:r>
        <w:rPr>
          <w:rFonts w:hint="eastAsia"/>
        </w:rPr>
        <w:t>，引入频能比法来确定首次预测时间，再构建合成时频图来全面捕捉时频特征的演化趋势</w:t>
      </w:r>
      <w:r>
        <w:rPr>
          <w:rFonts w:hint="eastAsia"/>
          <w:lang w:eastAsia="zh-CN"/>
        </w:rPr>
        <w:t>。</w:t>
      </w:r>
      <w:r>
        <w:rPr>
          <w:rFonts w:hint="eastAsia"/>
          <w:lang w:val="en-US" w:eastAsia="zh-CN"/>
        </w:rPr>
        <w:t>它</w:t>
      </w:r>
      <w:r>
        <w:rPr>
          <w:rFonts w:hint="eastAsia"/>
        </w:rPr>
        <w:t>在XJTU-SY数据集上</w:t>
      </w:r>
      <w:r>
        <w:rPr>
          <w:rFonts w:hint="eastAsia"/>
          <w:lang w:val="en-US" w:eastAsia="zh-CN"/>
        </w:rPr>
        <w:t>做到</w:t>
      </w:r>
      <w:r>
        <w:rPr>
          <w:rFonts w:hint="eastAsia"/>
        </w:rPr>
        <w:t>的精度相当</w:t>
      </w:r>
      <w:r>
        <w:rPr>
          <w:rFonts w:hint="eastAsia"/>
          <w:lang w:val="en-US" w:eastAsia="zh-CN"/>
        </w:rPr>
        <w:t>高</w:t>
      </w:r>
      <w:r>
        <w:rPr>
          <w:rFonts w:hint="eastAsia"/>
        </w:rPr>
        <w:t>。</w:t>
      </w:r>
      <w:r>
        <w:t>Kong等</w:t>
      </w:r>
      <w:r>
        <w:rPr>
          <w:vertAlign w:val="superscript"/>
        </w:rPr>
        <w:fldChar w:fldCharType="begin"/>
      </w:r>
      <w:r>
        <w:instrText xml:space="preserve"> REF _Ref5238 \r \h  \* MERGEFORMAT</w:instrText>
      </w:r>
      <w:r>
        <w:rPr>
          <w:vertAlign w:val="superscript"/>
        </w:rPr>
        <w:fldChar w:fldCharType="separate"/>
      </w:r>
      <w:r>
        <w:rPr>
          <w:vertAlign w:val="superscript"/>
        </w:rPr>
        <w:t>[13]</w:t>
      </w:r>
      <w:r>
        <w:rPr>
          <w:vertAlign w:val="superscript"/>
        </w:rPr>
        <w:fldChar w:fldCharType="end"/>
      </w:r>
      <w:r>
        <w:rPr>
          <w:rFonts w:hint="eastAsia"/>
        </w:rPr>
        <w:t>则从信号分解的角度切入，用灰狼优化器去调VMD参数，提取</w:t>
      </w:r>
      <w:r>
        <w:rPr>
          <w:rFonts w:hint="eastAsia"/>
          <w:lang w:val="en-US" w:eastAsia="zh-CN"/>
        </w:rPr>
        <w:t>出</w:t>
      </w:r>
      <w:r>
        <w:rPr>
          <w:rFonts w:hint="eastAsia"/>
        </w:rPr>
        <w:t>有效的固有模态分量，然后组合TCN捕捉局部时序模式、GRU建模长期依赖</w:t>
      </w:r>
      <w:r>
        <w:rPr>
          <w:rFonts w:hint="eastAsia"/>
          <w:lang w:val="en-US" w:eastAsia="zh-CN"/>
        </w:rPr>
        <w:t>和</w:t>
      </w:r>
      <w:r>
        <w:rPr>
          <w:rFonts w:hint="eastAsia"/>
        </w:rPr>
        <w:t>自注意力机制强化关键退化特征。</w:t>
      </w:r>
      <w:r>
        <w:rPr>
          <w:rFonts w:hint="eastAsia"/>
          <w:lang w:val="en-US" w:eastAsia="zh-CN"/>
        </w:rPr>
        <w:t>该</w:t>
      </w:r>
      <w:r>
        <w:rPr>
          <w:rFonts w:hint="eastAsia"/>
        </w:rPr>
        <w:t>组合</w:t>
      </w:r>
      <w:r>
        <w:rPr>
          <w:rFonts w:hint="eastAsia"/>
          <w:lang w:val="en-US" w:eastAsia="zh-CN"/>
        </w:rPr>
        <w:t>在</w:t>
      </w:r>
      <w:r>
        <w:rPr>
          <w:rFonts w:hint="eastAsia"/>
        </w:rPr>
        <w:t>高噪声条件下</w:t>
      </w:r>
      <w:r>
        <w:rPr>
          <w:rFonts w:hint="eastAsia"/>
          <w:lang w:val="en-US" w:eastAsia="zh-CN"/>
        </w:rPr>
        <w:t>的</w:t>
      </w:r>
      <w:r>
        <w:rPr>
          <w:rFonts w:hint="eastAsia"/>
        </w:rPr>
        <w:t>RMSE直接降了18.7%，效果很</w:t>
      </w:r>
      <w:r>
        <w:rPr>
          <w:rFonts w:hint="eastAsia"/>
          <w:lang w:val="en-US" w:eastAsia="zh-CN"/>
        </w:rPr>
        <w:t>好</w:t>
      </w:r>
      <w:r>
        <w:rPr>
          <w:rFonts w:hint="eastAsia"/>
        </w:rPr>
        <w:t>。</w:t>
      </w:r>
      <w:r>
        <w:t>Shi等</w:t>
      </w:r>
      <w:r>
        <w:rPr>
          <w:vertAlign w:val="superscript"/>
        </w:rPr>
        <w:fldChar w:fldCharType="begin"/>
      </w:r>
      <w:r>
        <w:instrText xml:space="preserve"> REF _Ref5280 \r \h  \* MERGEFORMAT</w:instrText>
      </w:r>
      <w:r>
        <w:rPr>
          <w:vertAlign w:val="superscript"/>
        </w:rPr>
        <w:fldChar w:fldCharType="separate"/>
      </w:r>
      <w:r>
        <w:rPr>
          <w:vertAlign w:val="superscript"/>
        </w:rPr>
        <w:t>[14]</w:t>
      </w:r>
      <w:r>
        <w:rPr>
          <w:vertAlign w:val="superscript"/>
        </w:rPr>
        <w:fldChar w:fldCharType="end"/>
      </w:r>
      <w:r>
        <w:rPr>
          <w:rFonts w:hint="eastAsia"/>
        </w:rPr>
        <w:t>提出</w:t>
      </w:r>
      <w:r>
        <w:rPr>
          <w:rFonts w:hint="eastAsia"/>
          <w:lang w:val="en-US" w:eastAsia="zh-CN"/>
        </w:rPr>
        <w:t>了</w:t>
      </w:r>
      <w:r>
        <w:rPr>
          <w:rFonts w:hint="eastAsia"/>
        </w:rPr>
        <w:t>频域重构与时间自适应融合网络，解决了模型在捕捉退化速率非线性变化时总是慢半拍的老问题。他们通过频域解耦学习和非线性重构来抑</w:t>
      </w:r>
      <w:r>
        <w:rPr>
          <w:rFonts w:hint="eastAsia"/>
          <w:lang w:val="en-US" w:eastAsia="zh-CN"/>
        </w:rPr>
        <w:t>制</w:t>
      </w:r>
      <w:r>
        <w:rPr>
          <w:rFonts w:hint="eastAsia"/>
        </w:rPr>
        <w:t>噪</w:t>
      </w:r>
      <w:r>
        <w:rPr>
          <w:rFonts w:hint="eastAsia"/>
          <w:lang w:val="en-US" w:eastAsia="zh-CN"/>
        </w:rPr>
        <w:t>声</w:t>
      </w:r>
      <w:r>
        <w:rPr>
          <w:rFonts w:hint="eastAsia"/>
        </w:rPr>
        <w:t>，再引入时间戳编码作为显式的全局时序先验，在两个全生命周期数据集上把RMSE</w:t>
      </w:r>
      <w:r>
        <w:rPr>
          <w:rFonts w:hint="eastAsia"/>
          <w:lang w:val="en-US" w:eastAsia="zh-CN"/>
        </w:rPr>
        <w:t>降</w:t>
      </w:r>
      <w:r>
        <w:rPr>
          <w:rFonts w:hint="eastAsia"/>
        </w:rPr>
        <w:t>到了最低0.042，</w:t>
      </w:r>
      <w:r>
        <w:rPr>
          <w:rFonts w:hint="eastAsia"/>
          <w:lang w:val="en-US" w:eastAsia="zh-CN"/>
        </w:rPr>
        <w:t>结果优秀</w:t>
      </w:r>
      <w:r>
        <w:rPr>
          <w:rFonts w:hint="eastAsia"/>
        </w:rPr>
        <w:t>。</w:t>
      </w:r>
    </w:p>
    <w:p w14:paraId="5C581199">
      <w:pPr>
        <w:ind w:firstLine="480"/>
        <w:rPr>
          <w:rFonts w:hint="eastAsia"/>
        </w:rPr>
      </w:pPr>
      <w:r>
        <w:rPr>
          <w:rFonts w:hint="eastAsia"/>
        </w:rPr>
        <w:t>当然，还有一批工作也值得关注</w:t>
      </w:r>
      <w:r>
        <w:rPr>
          <w:rFonts w:hint="eastAsia"/>
          <w:lang w:eastAsia="zh-CN"/>
        </w:rPr>
        <w:t>。</w:t>
      </w:r>
      <w:r>
        <w:t>Shen等</w:t>
      </w:r>
      <w:r>
        <w:rPr>
          <w:vertAlign w:val="superscript"/>
        </w:rPr>
        <w:fldChar w:fldCharType="begin"/>
      </w:r>
      <w:r>
        <w:instrText xml:space="preserve"> REF _Ref5310 \r \h  \* MERGEFORMAT</w:instrText>
      </w:r>
      <w:r>
        <w:rPr>
          <w:vertAlign w:val="superscript"/>
        </w:rPr>
        <w:fldChar w:fldCharType="separate"/>
      </w:r>
      <w:r>
        <w:rPr>
          <w:vertAlign w:val="superscript"/>
        </w:rPr>
        <w:t>[15]</w:t>
      </w:r>
      <w:r>
        <w:rPr>
          <w:vertAlign w:val="superscript"/>
        </w:rPr>
        <w:fldChar w:fldCharType="end"/>
      </w:r>
      <w:r>
        <w:rPr>
          <w:rFonts w:hint="eastAsia"/>
        </w:rPr>
        <w:t>提出的双维度对比自监督学习框架，在标注数据稀缺的现实场景下特别有意义——不需要大量标签就能学到鲁棒的退化特征，小样本条件下的表现</w:t>
      </w:r>
      <w:r>
        <w:rPr>
          <w:rFonts w:hint="eastAsia"/>
          <w:lang w:val="en-US" w:eastAsia="zh-CN"/>
        </w:rPr>
        <w:t>优秀</w:t>
      </w:r>
      <w:r>
        <w:rPr>
          <w:rFonts w:hint="eastAsia"/>
        </w:rPr>
        <w:t>。</w:t>
      </w:r>
      <w:r>
        <w:t>Zhao等</w:t>
      </w:r>
      <w:r>
        <w:rPr>
          <w:vertAlign w:val="superscript"/>
        </w:rPr>
        <w:fldChar w:fldCharType="begin"/>
      </w:r>
      <w:r>
        <w:instrText xml:space="preserve"> REF _Ref5342 \r \h  \* MERGEFORMAT</w:instrText>
      </w:r>
      <w:r>
        <w:rPr>
          <w:vertAlign w:val="superscript"/>
        </w:rPr>
        <w:fldChar w:fldCharType="separate"/>
      </w:r>
      <w:r>
        <w:rPr>
          <w:vertAlign w:val="superscript"/>
        </w:rPr>
        <w:t>[16]</w:t>
      </w:r>
      <w:r>
        <w:rPr>
          <w:vertAlign w:val="superscript"/>
        </w:rPr>
        <w:fldChar w:fldCharType="end"/>
      </w:r>
      <w:r>
        <w:rPr>
          <w:rFonts w:hint="eastAsia"/>
        </w:rPr>
        <w:t>的物理信息循环神经网络则尝试了另一种路子：把变分循环神经网络和隐函数求解器结合，用时间相关偏微分方程来约束解空间，显著提升了模型的可解释性与长序列预测精度。</w:t>
      </w:r>
      <w:r>
        <w:t>Yan等</w:t>
      </w:r>
      <w:r>
        <w:rPr>
          <w:vertAlign w:val="superscript"/>
        </w:rPr>
        <w:fldChar w:fldCharType="begin"/>
      </w:r>
      <w:r>
        <w:instrText xml:space="preserve"> REF _Ref5411 \r \h  \* MERGEFORMAT</w:instrText>
      </w:r>
      <w:r>
        <w:rPr>
          <w:vertAlign w:val="superscript"/>
        </w:rPr>
        <w:fldChar w:fldCharType="separate"/>
      </w:r>
      <w:r>
        <w:rPr>
          <w:vertAlign w:val="superscript"/>
        </w:rPr>
        <w:t>[17]</w:t>
      </w:r>
      <w:r>
        <w:rPr>
          <w:vertAlign w:val="superscript"/>
        </w:rPr>
        <w:fldChar w:fldCharType="end"/>
      </w:r>
      <w:r>
        <w:rPr>
          <w:rFonts w:hint="eastAsia"/>
        </w:rPr>
        <w:t>的双分支全局-局部交叉融合网络用大核卷积抓信号特征，再通过交叉注意力机制融合全局和局部信息，在IEEE PHM 2012和XJTU-SY两个数据集上都表现出了显著优势。</w:t>
      </w:r>
      <w:r>
        <w:t>Chen等</w:t>
      </w:r>
      <w:r>
        <w:rPr>
          <w:vertAlign w:val="superscript"/>
        </w:rPr>
        <w:fldChar w:fldCharType="begin"/>
      </w:r>
      <w:r>
        <w:instrText xml:space="preserve"> REF _Ref5447 \r \h  \* MERGEFORMAT</w:instrText>
      </w:r>
      <w:r>
        <w:rPr>
          <w:vertAlign w:val="superscript"/>
        </w:rPr>
        <w:fldChar w:fldCharType="separate"/>
      </w:r>
      <w:r>
        <w:rPr>
          <w:vertAlign w:val="superscript"/>
        </w:rPr>
        <w:t>[18]</w:t>
      </w:r>
      <w:r>
        <w:rPr>
          <w:vertAlign w:val="superscript"/>
        </w:rPr>
        <w:fldChar w:fldCharType="end"/>
      </w:r>
      <w:r>
        <w:rPr>
          <w:rFonts w:hint="eastAsia"/>
        </w:rPr>
        <w:t>提出的扩张注意力ConvGRU模型，结合蒙特卡洛Dropout来生成不确定性区间，等于是给预测结果配了一个很实用的“风险参考系”。</w:t>
      </w:r>
      <w:r>
        <w:t>Ning等</w:t>
      </w:r>
      <w:r>
        <w:rPr>
          <w:vertAlign w:val="superscript"/>
        </w:rPr>
        <w:fldChar w:fldCharType="begin"/>
      </w:r>
      <w:r>
        <w:instrText xml:space="preserve"> REF _Ref5496 \r \h  \* MERGEFORMAT</w:instrText>
      </w:r>
      <w:r>
        <w:rPr>
          <w:vertAlign w:val="superscript"/>
        </w:rPr>
        <w:fldChar w:fldCharType="separate"/>
      </w:r>
      <w:r>
        <w:rPr>
          <w:vertAlign w:val="superscript"/>
        </w:rPr>
        <w:t>[19]</w:t>
      </w:r>
      <w:r>
        <w:rPr>
          <w:vertAlign w:val="superscript"/>
        </w:rPr>
        <w:fldChar w:fldCharType="end"/>
      </w:r>
      <w:r>
        <w:rPr>
          <w:rFonts w:hint="eastAsia"/>
        </w:rPr>
        <w:t>的多尺度扩张注意力卷积神经网络通过多尺度扩张因果卷积来捕捉不同粒度的退化特征，再引入动态注意力模块和选择性注意力融合模块来抑制冗余，在不同噪声场景下都大幅领先已有先进模型。</w:t>
      </w:r>
      <w:r>
        <w:t>Song等</w:t>
      </w:r>
      <w:r>
        <w:rPr>
          <w:vertAlign w:val="superscript"/>
        </w:rPr>
        <w:fldChar w:fldCharType="begin"/>
      </w:r>
      <w:r>
        <w:instrText xml:space="preserve"> REF _Ref5535 \r \h  \* MERGEFORMAT</w:instrText>
      </w:r>
      <w:r>
        <w:rPr>
          <w:vertAlign w:val="superscript"/>
        </w:rPr>
        <w:fldChar w:fldCharType="separate"/>
      </w:r>
      <w:r>
        <w:rPr>
          <w:vertAlign w:val="superscript"/>
        </w:rPr>
        <w:t>[20]</w:t>
      </w:r>
      <w:r>
        <w:rPr>
          <w:vertAlign w:val="superscript"/>
        </w:rPr>
        <w:fldChar w:fldCharType="end"/>
      </w:r>
      <w:r>
        <w:rPr>
          <w:rFonts w:hint="eastAsia"/>
        </w:rPr>
        <w:t>另辟蹊径，从退化特征评价指标本身入手，设计了稳定性和相关性相结合的特征筛选指标，再把高斯混合模型和支持向量机融合起来划分退化阶段，在PRONOSTIA数据集上MSE降低了60%</w:t>
      </w:r>
      <w:r>
        <w:rPr>
          <w:rFonts w:hint="eastAsia"/>
          <w:lang w:eastAsia="zh-CN"/>
        </w:rPr>
        <w:t>。</w:t>
      </w:r>
      <w:r>
        <w:rPr>
          <w:rFonts w:hint="eastAsia"/>
        </w:rPr>
        <w:t>这种从“特征质量”源头上来解决问题的方式很有启发</w:t>
      </w:r>
      <w:r>
        <w:rPr>
          <w:rFonts w:hint="eastAsia"/>
          <w:lang w:val="en-US" w:eastAsia="zh-CN"/>
        </w:rPr>
        <w:t>意义</w:t>
      </w:r>
      <w:r>
        <w:rPr>
          <w:rFonts w:hint="eastAsia"/>
        </w:rPr>
        <w:t>。</w:t>
      </w:r>
    </w:p>
    <w:p w14:paraId="4512CB89">
      <w:pPr>
        <w:ind w:firstLine="480"/>
        <w:rPr>
          <w:rFonts w:hint="eastAsia"/>
        </w:rPr>
      </w:pPr>
      <w:r>
        <w:rPr>
          <w:rFonts w:hint="eastAsia"/>
        </w:rPr>
        <w:t>随着工业场景对多工况适应性要求越来越高，跨工况域适应和迁移学习自然</w:t>
      </w:r>
      <w:r>
        <w:rPr>
          <w:rFonts w:hint="eastAsia"/>
          <w:lang w:val="en-US" w:eastAsia="zh-CN"/>
        </w:rPr>
        <w:t>就</w:t>
      </w:r>
      <w:r>
        <w:rPr>
          <w:rFonts w:hint="eastAsia"/>
        </w:rPr>
        <w:t>成了</w:t>
      </w:r>
      <w:r>
        <w:rPr>
          <w:rFonts w:hint="eastAsia"/>
          <w:lang w:val="en-US" w:eastAsia="zh-CN"/>
        </w:rPr>
        <w:t>工业RUL领域</w:t>
      </w:r>
      <w:r>
        <w:rPr>
          <w:rFonts w:hint="eastAsia"/>
        </w:rPr>
        <w:t>新的焦点。</w:t>
      </w:r>
      <w:r>
        <w:t>Li等</w:t>
      </w:r>
      <w:r>
        <w:rPr>
          <w:vertAlign w:val="superscript"/>
        </w:rPr>
        <w:fldChar w:fldCharType="begin"/>
      </w:r>
      <w:r>
        <w:instrText xml:space="preserve"> REF _Ref5574 \r \h  \* MERGEFORMAT</w:instrText>
      </w:r>
      <w:r>
        <w:rPr>
          <w:vertAlign w:val="superscript"/>
        </w:rPr>
        <w:fldChar w:fldCharType="separate"/>
      </w:r>
      <w:r>
        <w:rPr>
          <w:vertAlign w:val="superscript"/>
        </w:rPr>
        <w:t>[21]</w:t>
      </w:r>
      <w:r>
        <w:rPr>
          <w:vertAlign w:val="superscript"/>
        </w:rPr>
        <w:fldChar w:fldCharType="end"/>
      </w:r>
      <w:r>
        <w:rPr>
          <w:rFonts w:hint="eastAsia"/>
        </w:rPr>
        <w:t>用联邦学习来处理跨工况问题</w:t>
      </w:r>
      <w:r>
        <w:rPr>
          <w:rFonts w:hint="eastAsia"/>
          <w:lang w:eastAsia="zh-CN"/>
        </w:rPr>
        <w:t>。</w:t>
      </w:r>
      <w:r>
        <w:rPr>
          <w:rFonts w:hint="eastAsia"/>
          <w:lang w:val="en-US" w:eastAsia="zh-CN"/>
        </w:rPr>
        <w:t>他们</w:t>
      </w:r>
      <w:r>
        <w:rPr>
          <w:rFonts w:hint="eastAsia"/>
        </w:rPr>
        <w:t>构建了并行特征交叉注意力融合网络来提取时空特征，通过客户端验证损失来引导动态模型聚合，</w:t>
      </w:r>
      <w:r>
        <w:rPr>
          <w:rFonts w:hint="eastAsia"/>
          <w:lang w:val="en-US" w:eastAsia="zh-CN"/>
        </w:rPr>
        <w:t>结合</w:t>
      </w:r>
      <w:r>
        <w:rPr>
          <w:rFonts w:hint="eastAsia"/>
        </w:rPr>
        <w:t>局部对抗加权融合策略，</w:t>
      </w:r>
      <w:r>
        <w:rPr>
          <w:rFonts w:hint="eastAsia"/>
          <w:lang w:val="en-US" w:eastAsia="zh-CN"/>
        </w:rPr>
        <w:t>在</w:t>
      </w:r>
      <w:r>
        <w:rPr>
          <w:rFonts w:hint="eastAsia"/>
        </w:rPr>
        <w:t>跨工况</w:t>
      </w:r>
      <w:r>
        <w:rPr>
          <w:rFonts w:hint="eastAsia"/>
          <w:lang w:val="en-US" w:eastAsia="zh-CN"/>
        </w:rPr>
        <w:t>下</w:t>
      </w:r>
      <w:r>
        <w:rPr>
          <w:rFonts w:hint="eastAsia"/>
        </w:rPr>
        <w:t>预测精度很</w:t>
      </w:r>
      <w:r>
        <w:rPr>
          <w:rFonts w:hint="eastAsia"/>
          <w:lang w:val="en-US" w:eastAsia="zh-CN"/>
        </w:rPr>
        <w:t>高</w:t>
      </w:r>
      <w:r>
        <w:rPr>
          <w:rFonts w:hint="eastAsia"/>
        </w:rPr>
        <w:t>。</w:t>
      </w:r>
      <w:r>
        <w:t>Fang等</w:t>
      </w:r>
      <w:r>
        <w:rPr>
          <w:vertAlign w:val="superscript"/>
        </w:rPr>
        <w:fldChar w:fldCharType="begin"/>
      </w:r>
      <w:r>
        <w:instrText xml:space="preserve"> REF _Ref5604 \r \h  \* MERGEFORMAT</w:instrText>
      </w:r>
      <w:r>
        <w:rPr>
          <w:vertAlign w:val="superscript"/>
        </w:rPr>
        <w:fldChar w:fldCharType="separate"/>
      </w:r>
      <w:r>
        <w:rPr>
          <w:vertAlign w:val="superscript"/>
        </w:rPr>
        <w:t>[22]</w:t>
      </w:r>
      <w:r>
        <w:rPr>
          <w:vertAlign w:val="superscript"/>
        </w:rPr>
        <w:fldChar w:fldCharType="end"/>
      </w:r>
      <w:r>
        <w:rPr>
          <w:rFonts w:hint="eastAsia"/>
        </w:rPr>
        <w:t>的趋势引导深度物理信息迁移学习方法也值得一提：他们设计了一个跨故障迁移评价指数来量化知识的可迁移性，再构建物理信息时空稀疏注意力网络去自适应地学习时空退化依赖，在四个基准数据集上都验证了跨机器RUL预测的有效性。</w:t>
      </w:r>
      <w:r>
        <w:t>She等</w:t>
      </w:r>
      <w:r>
        <w:rPr>
          <w:vertAlign w:val="superscript"/>
        </w:rPr>
        <w:fldChar w:fldCharType="begin"/>
      </w:r>
      <w:r>
        <w:rPr>
          <w:vertAlign w:val="superscript"/>
        </w:rPr>
        <w:instrText xml:space="preserve"> REF _Ref5633 \r \h  \* MERGEFORMAT</w:instrText>
      </w:r>
      <w:r>
        <w:rPr>
          <w:vertAlign w:val="superscript"/>
        </w:rPr>
        <w:fldChar w:fldCharType="separate"/>
      </w:r>
      <w:r>
        <w:rPr>
          <w:vertAlign w:val="superscript"/>
        </w:rPr>
        <w:t>[23]</w:t>
      </w:r>
      <w:r>
        <w:rPr>
          <w:vertAlign w:val="superscript"/>
        </w:rPr>
        <w:fldChar w:fldCharType="end"/>
      </w:r>
      <w:r>
        <w:rPr>
          <w:rFonts w:hint="eastAsia"/>
        </w:rPr>
        <w:t>面对的是少样本跨域预测</w:t>
      </w:r>
      <w:r>
        <w:rPr>
          <w:rFonts w:hint="eastAsia"/>
          <w:lang w:val="en-US" w:eastAsia="zh-CN"/>
        </w:rPr>
        <w:t>这个</w:t>
      </w:r>
      <w:r>
        <w:rPr>
          <w:rFonts w:hint="eastAsia"/>
        </w:rPr>
        <w:t>更极端的场景，他们把任务自适应的元迁移学习框架和MK-MMD域适应结合起来，</w:t>
      </w:r>
      <w:r>
        <w:rPr>
          <w:rFonts w:hint="eastAsia"/>
          <w:lang w:val="en-US" w:eastAsia="zh-CN"/>
        </w:rPr>
        <w:t>在</w:t>
      </w:r>
      <w:r>
        <w:rPr>
          <w:rFonts w:hint="eastAsia"/>
        </w:rPr>
        <w:t>数据有限的情况下依然实现了不错的泛化表现。</w:t>
      </w:r>
      <w:r>
        <w:t>Han等</w:t>
      </w:r>
      <w:r>
        <w:rPr>
          <w:vertAlign w:val="superscript"/>
        </w:rPr>
        <w:fldChar w:fldCharType="begin"/>
      </w:r>
      <w:r>
        <w:instrText xml:space="preserve"> REF _Ref5688 \r \h  \* MERGEFORMAT</w:instrText>
      </w:r>
      <w:r>
        <w:rPr>
          <w:vertAlign w:val="superscript"/>
        </w:rPr>
        <w:fldChar w:fldCharType="separate"/>
      </w:r>
      <w:r>
        <w:rPr>
          <w:vertAlign w:val="superscript"/>
        </w:rPr>
        <w:t>[24]</w:t>
      </w:r>
      <w:r>
        <w:rPr>
          <w:vertAlign w:val="superscript"/>
        </w:rPr>
        <w:fldChar w:fldCharType="end"/>
      </w:r>
      <w:r>
        <w:rPr>
          <w:rFonts w:hint="eastAsia"/>
        </w:rPr>
        <w:t>提出的基于Sinkhorn散度的对比域适应方法则走得更细：先构建对抗训练框架初步提取域不变特征，再用跨域时序混合策略做数据增强，然后通过自监督动量对比来提取目标域的特异性信息，最后用Sinkhorn散度去精细地对齐源域和目标域的结构。这套层层递进的域适应策略，在多工况下表现</w:t>
      </w:r>
      <w:r>
        <w:rPr>
          <w:rFonts w:hint="eastAsia"/>
          <w:lang w:val="en-US" w:eastAsia="zh-CN"/>
        </w:rPr>
        <w:t>优秀</w:t>
      </w:r>
      <w:r>
        <w:rPr>
          <w:rFonts w:hint="eastAsia"/>
        </w:rPr>
        <w:t>。</w:t>
      </w:r>
      <w:r>
        <w:t>Yu等</w:t>
      </w:r>
      <w:r>
        <w:rPr>
          <w:vertAlign w:val="superscript"/>
        </w:rPr>
        <w:fldChar w:fldCharType="begin"/>
      </w:r>
      <w:r>
        <w:instrText xml:space="preserve"> REF _Ref5724 \r \h  \* MERGEFORMAT</w:instrText>
      </w:r>
      <w:r>
        <w:rPr>
          <w:vertAlign w:val="superscript"/>
        </w:rPr>
        <w:fldChar w:fldCharType="separate"/>
      </w:r>
      <w:r>
        <w:rPr>
          <w:vertAlign w:val="superscript"/>
        </w:rPr>
        <w:t>[25]</w:t>
      </w:r>
      <w:r>
        <w:rPr>
          <w:vertAlign w:val="superscript"/>
        </w:rPr>
        <w:fldChar w:fldCharType="end"/>
      </w:r>
      <w:r>
        <w:rPr>
          <w:rFonts w:hint="eastAsia"/>
        </w:rPr>
        <w:t>把CNN、GRU和多头注意力集成到一起，</w:t>
      </w:r>
      <w:r>
        <w:rPr>
          <w:rFonts w:hint="eastAsia"/>
          <w:lang w:val="en-US" w:eastAsia="zh-CN"/>
        </w:rPr>
        <w:t>并且</w:t>
      </w:r>
      <w:r>
        <w:rPr>
          <w:rFonts w:hint="eastAsia"/>
        </w:rPr>
        <w:t>配合新的健康指标构建方法和L1正则化，在小样本和变载荷条件下也</w:t>
      </w:r>
      <w:r>
        <w:rPr>
          <w:rFonts w:hint="eastAsia"/>
          <w:lang w:val="en-US" w:eastAsia="zh-CN"/>
        </w:rPr>
        <w:t>能做到</w:t>
      </w:r>
      <w:r>
        <w:rPr>
          <w:rFonts w:hint="eastAsia"/>
        </w:rPr>
        <w:t>高精度预测。</w:t>
      </w:r>
    </w:p>
    <w:p w14:paraId="68A8784F">
      <w:pPr>
        <w:ind w:firstLine="480"/>
      </w:pPr>
      <w:r>
        <w:rPr>
          <w:rFonts w:hint="eastAsia"/>
        </w:rPr>
        <w:t>近</w:t>
      </w:r>
      <w:r>
        <w:rPr>
          <w:rFonts w:hint="eastAsia"/>
          <w:lang w:val="en-US" w:eastAsia="zh-CN"/>
        </w:rPr>
        <w:t>年来</w:t>
      </w:r>
      <w:r>
        <w:rPr>
          <w:rFonts w:hint="eastAsia"/>
        </w:rPr>
        <w:t>，物理信息融合、联邦学习、不确定性量化</w:t>
      </w:r>
      <w:r>
        <w:rPr>
          <w:rFonts w:hint="eastAsia"/>
          <w:lang w:val="en-US" w:eastAsia="zh-CN"/>
        </w:rPr>
        <w:t>等</w:t>
      </w:r>
      <w:r>
        <w:rPr>
          <w:rFonts w:hint="eastAsia"/>
        </w:rPr>
        <w:t>前沿技术也开始渗透进</w:t>
      </w:r>
      <w:r>
        <w:rPr>
          <w:rFonts w:hint="eastAsia"/>
          <w:lang w:val="en-US" w:eastAsia="zh-CN"/>
        </w:rPr>
        <w:t>这个</w:t>
      </w:r>
      <w:r>
        <w:rPr>
          <w:rFonts w:hint="eastAsia"/>
        </w:rPr>
        <w:t>领域。</w:t>
      </w:r>
      <w:r>
        <w:t>Zhao等</w:t>
      </w:r>
      <w:r>
        <w:rPr>
          <w:vertAlign w:val="superscript"/>
        </w:rPr>
        <w:fldChar w:fldCharType="begin"/>
      </w:r>
      <w:r>
        <w:instrText xml:space="preserve"> REF _Ref5783 \r \h  \* MERGEFORMAT</w:instrText>
      </w:r>
      <w:r>
        <w:rPr>
          <w:vertAlign w:val="superscript"/>
        </w:rPr>
        <w:fldChar w:fldCharType="separate"/>
      </w:r>
      <w:r>
        <w:rPr>
          <w:vertAlign w:val="superscript"/>
        </w:rPr>
        <w:t>[26]</w:t>
      </w:r>
      <w:r>
        <w:rPr>
          <w:vertAlign w:val="superscript"/>
        </w:rPr>
        <w:fldChar w:fldCharType="end"/>
      </w:r>
      <w:r>
        <w:rPr>
          <w:rFonts w:hint="eastAsia"/>
        </w:rPr>
        <w:t>提出物理信息跨层时频Transformer网络，通过跨层信息传递机制来增强长依赖捕捉能力，把自注意力层换为傅里叶模块来捕捉时频信息，再引入威布尔失效模型约束损失函数，在公开数据集</w:t>
      </w:r>
      <w:r>
        <w:rPr>
          <w:rFonts w:hint="eastAsia"/>
          <w:lang w:val="en-US" w:eastAsia="zh-CN"/>
        </w:rPr>
        <w:t>和</w:t>
      </w:r>
      <w:r>
        <w:rPr>
          <w:rFonts w:hint="eastAsia"/>
        </w:rPr>
        <w:t>实际风电场齿轮箱数据上表现</w:t>
      </w:r>
      <w:r>
        <w:rPr>
          <w:rFonts w:hint="eastAsia"/>
          <w:lang w:val="en-US" w:eastAsia="zh-CN"/>
        </w:rPr>
        <w:t>都良</w:t>
      </w:r>
      <w:r>
        <w:rPr>
          <w:rFonts w:hint="eastAsia"/>
        </w:rPr>
        <w:t>好。</w:t>
      </w:r>
      <w:r>
        <w:t>Wang等</w:t>
      </w:r>
      <w:r>
        <w:rPr>
          <w:vertAlign w:val="superscript"/>
        </w:rPr>
        <w:fldChar w:fldCharType="begin"/>
      </w:r>
      <w:r>
        <w:instrText xml:space="preserve"> REF _Ref5819 \r \h  \* MERGEFORMAT</w:instrText>
      </w:r>
      <w:r>
        <w:rPr>
          <w:vertAlign w:val="superscript"/>
        </w:rPr>
        <w:fldChar w:fldCharType="separate"/>
      </w:r>
      <w:r>
        <w:rPr>
          <w:vertAlign w:val="superscript"/>
        </w:rPr>
        <w:t>[27]</w:t>
      </w:r>
      <w:r>
        <w:rPr>
          <w:vertAlign w:val="superscript"/>
        </w:rPr>
        <w:fldChar w:fldCharType="end"/>
      </w:r>
      <w:r>
        <w:rPr>
          <w:rFonts w:hint="eastAsia"/>
        </w:rPr>
        <w:t>结合改进U-Net和多维混合门控注意力机制做RUL预测，用U-Net增强振动信号，再通过注意力机制动态构建健康指标，在IEEE PHM 2012数据集上把RMSE</w:t>
      </w:r>
      <w:r>
        <w:rPr>
          <w:rFonts w:hint="eastAsia"/>
          <w:lang w:val="en-US" w:eastAsia="zh-CN"/>
        </w:rPr>
        <w:t>降</w:t>
      </w:r>
      <w:r>
        <w:rPr>
          <w:rFonts w:hint="eastAsia"/>
        </w:rPr>
        <w:t>到了0.0504。</w:t>
      </w:r>
      <w:r>
        <w:t>Pei等</w:t>
      </w:r>
      <w:r>
        <w:rPr>
          <w:vertAlign w:val="superscript"/>
        </w:rPr>
        <w:fldChar w:fldCharType="begin"/>
      </w:r>
      <w:r>
        <w:instrText xml:space="preserve"> REF _Ref5891 \r \h  \* MERGEFORMAT</w:instrText>
      </w:r>
      <w:r>
        <w:rPr>
          <w:vertAlign w:val="superscript"/>
        </w:rPr>
        <w:fldChar w:fldCharType="separate"/>
      </w:r>
      <w:r>
        <w:rPr>
          <w:vertAlign w:val="superscript"/>
        </w:rPr>
        <w:t>[28]</w:t>
      </w:r>
      <w:r>
        <w:rPr>
          <w:vertAlign w:val="superscript"/>
        </w:rPr>
        <w:fldChar w:fldCharType="end"/>
      </w:r>
      <w:r>
        <w:rPr>
          <w:rFonts w:hint="eastAsia"/>
        </w:rPr>
        <w:t>解决的问题是健康指标的尺度漂移</w:t>
      </w:r>
      <w:r>
        <w:rPr>
          <w:rFonts w:hint="eastAsia"/>
          <w:lang w:eastAsia="zh-CN"/>
        </w:rPr>
        <w:t>，</w:t>
      </w:r>
      <w:r>
        <w:rPr>
          <w:rFonts w:hint="eastAsia"/>
          <w:lang w:val="en-US" w:eastAsia="zh-CN"/>
        </w:rPr>
        <w:t>他们</w:t>
      </w:r>
      <w:r>
        <w:rPr>
          <w:rFonts w:hint="eastAsia"/>
        </w:rPr>
        <w:t>设计了一个包络谱奇异值灰色关联分析方法来构建阈值对齐指示器，驱动两阶段非线性退化模型，在公开和工业数据集上MAE、RMSE和Score分别提升了18.09、21.91和0.30。</w:t>
      </w:r>
      <w:r>
        <w:t>Lei等</w:t>
      </w:r>
      <w:r>
        <w:rPr>
          <w:vertAlign w:val="superscript"/>
        </w:rPr>
        <w:fldChar w:fldCharType="begin"/>
      </w:r>
      <w:r>
        <w:instrText xml:space="preserve"> REF _Ref5943 \r \h  \* MERGEFORMAT</w:instrText>
      </w:r>
      <w:r>
        <w:rPr>
          <w:vertAlign w:val="superscript"/>
        </w:rPr>
        <w:fldChar w:fldCharType="separate"/>
      </w:r>
      <w:r>
        <w:rPr>
          <w:vertAlign w:val="superscript"/>
        </w:rPr>
        <w:t>[29]</w:t>
      </w:r>
      <w:r>
        <w:rPr>
          <w:vertAlign w:val="superscript"/>
        </w:rPr>
        <w:fldChar w:fldCharType="end"/>
      </w:r>
      <w:r>
        <w:rPr>
          <w:rFonts w:hint="eastAsia"/>
        </w:rPr>
        <w:t>引入了贝叶斯变点检测来做多阶段RUL预测，用贝叶斯更新方法实时调整阶段模型的参数，变点检测精度直接提升了85%。</w:t>
      </w:r>
      <w:r>
        <w:t>Yin等</w:t>
      </w:r>
      <w:r>
        <w:rPr>
          <w:vertAlign w:val="superscript"/>
        </w:rPr>
        <w:fldChar w:fldCharType="begin"/>
      </w:r>
      <w:r>
        <w:instrText xml:space="preserve"> REF _Ref5979 \r \h  \* MERGEFORMAT</w:instrText>
      </w:r>
      <w:r>
        <w:rPr>
          <w:vertAlign w:val="superscript"/>
        </w:rPr>
        <w:fldChar w:fldCharType="separate"/>
      </w:r>
      <w:r>
        <w:rPr>
          <w:vertAlign w:val="superscript"/>
        </w:rPr>
        <w:t>[30]</w:t>
      </w:r>
      <w:r>
        <w:rPr>
          <w:vertAlign w:val="superscript"/>
        </w:rPr>
        <w:fldChar w:fldCharType="end"/>
      </w:r>
      <w:r>
        <w:rPr>
          <w:rFonts w:hint="eastAsia"/>
        </w:rPr>
        <w:t>做深度集成学习的时候，把GRU、BiGRU、LSTM和BiLSTM都拉来当基学习器，再引入误差校正策略和移动平均滤波来平滑预测趋势，在PHM2012和IMS数据集上R²分别冲到0.9947和0.9783，这个精度确实惊人。</w:t>
      </w:r>
      <w:r>
        <w:t>Cao等</w:t>
      </w:r>
      <w:r>
        <w:rPr>
          <w:vertAlign w:val="superscript"/>
        </w:rPr>
        <w:fldChar w:fldCharType="begin"/>
      </w:r>
      <w:r>
        <w:instrText xml:space="preserve"> REF _Ref6015 \r \h  \* MERGEFORMAT</w:instrText>
      </w:r>
      <w:r>
        <w:rPr>
          <w:vertAlign w:val="superscript"/>
        </w:rPr>
        <w:fldChar w:fldCharType="separate"/>
      </w:r>
      <w:r>
        <w:rPr>
          <w:vertAlign w:val="superscript"/>
        </w:rPr>
        <w:t>[31]</w:t>
      </w:r>
      <w:r>
        <w:rPr>
          <w:vertAlign w:val="superscript"/>
        </w:rPr>
        <w:fldChar w:fldCharType="end"/>
      </w:r>
      <w:r>
        <w:rPr>
          <w:rFonts w:hint="eastAsia"/>
        </w:rPr>
        <w:t>则从数字孪生角度出发，基于赫兹接触理论建立轴承动力学和缺陷演化模型，用雪雁算法来更新动态模型参数，在一定程度上缓解了全生命周期轴承数据获取困难的问题。</w:t>
      </w:r>
    </w:p>
    <w:p w14:paraId="221C6011">
      <w:pPr>
        <w:pStyle w:val="4"/>
        <w:spacing w:before="120" w:after="120"/>
      </w:pPr>
      <w:bookmarkStart w:id="13" w:name="_Toc11873"/>
      <w:bookmarkStart w:id="14" w:name="_Toc12789"/>
      <w:r>
        <w:t>1.2.2 国内研究现状</w:t>
      </w:r>
      <w:bookmarkEnd w:id="13"/>
      <w:bookmarkEnd w:id="14"/>
    </w:p>
    <w:p w14:paraId="43372C59">
      <w:pPr>
        <w:ind w:firstLine="480"/>
        <w:rPr>
          <w:rFonts w:hint="eastAsia"/>
        </w:rPr>
      </w:pPr>
      <w:r>
        <w:rPr>
          <w:rFonts w:hint="eastAsia"/>
        </w:rPr>
        <w:t>国内学者在这个领域也做了大量扎实的工作，在信号处理、特征工程、深度学习模型创新以及工程应用落地等方面都积累了不少有特色的成果，可以说已经形成了一个颇具中国特色的研究体系。</w:t>
      </w:r>
    </w:p>
    <w:p w14:paraId="12EB44E6">
      <w:pPr>
        <w:ind w:firstLine="480"/>
      </w:pPr>
      <w:r>
        <w:rPr>
          <w:rFonts w:hint="eastAsia"/>
        </w:rPr>
        <w:t>在信号处理与特征工程技术这个方向上，国内学者的工作做得相当细致。</w:t>
      </w:r>
      <w:r>
        <w:t>赖冬梅</w:t>
      </w:r>
      <w:r>
        <w:rPr>
          <w:vertAlign w:val="superscript"/>
        </w:rPr>
        <w:fldChar w:fldCharType="begin"/>
      </w:r>
      <w:r>
        <w:instrText xml:space="preserve"> REF _Ref6054 \r \h  \* MERGEFORMAT</w:instrText>
      </w:r>
      <w:r>
        <w:rPr>
          <w:vertAlign w:val="superscript"/>
        </w:rPr>
        <w:fldChar w:fldCharType="separate"/>
      </w:r>
      <w:r>
        <w:rPr>
          <w:vertAlign w:val="superscript"/>
        </w:rPr>
        <w:t>[32]</w:t>
      </w:r>
      <w:r>
        <w:rPr>
          <w:vertAlign w:val="superscript"/>
        </w:rPr>
        <w:fldChar w:fldCharType="end"/>
      </w:r>
      <w:r>
        <w:rPr>
          <w:rFonts w:hint="eastAsia"/>
        </w:rPr>
        <w:t>提出用同步压缩短时傅里叶变换来处理振动信号，然后提取颜色特征值跟传统时域特征融合，构建出一个信息更全面的特征向量，同时还用自适应指数加权移动平均算法去平滑特征值，这样就能比较精准地定位轻度退化和严重退化的分界点。</w:t>
      </w:r>
      <w:r>
        <w:t>李沁远等</w:t>
      </w:r>
      <w:r>
        <w:rPr>
          <w:vertAlign w:val="superscript"/>
        </w:rPr>
        <w:fldChar w:fldCharType="begin"/>
      </w:r>
      <w:r>
        <w:instrText xml:space="preserve"> REF _Ref6126 \r \h  \* MERGEFORMAT</w:instrText>
      </w:r>
      <w:r>
        <w:rPr>
          <w:vertAlign w:val="superscript"/>
        </w:rPr>
        <w:fldChar w:fldCharType="separate"/>
      </w:r>
      <w:r>
        <w:rPr>
          <w:vertAlign w:val="superscript"/>
        </w:rPr>
        <w:t>[33]</w:t>
      </w:r>
      <w:r>
        <w:rPr>
          <w:vertAlign w:val="superscript"/>
        </w:rPr>
        <w:fldChar w:fldCharType="end"/>
      </w:r>
      <w:r>
        <w:rPr>
          <w:rFonts w:hint="eastAsia"/>
        </w:rPr>
        <w:t>从特征筛选的角度切入，基于单调性、趋势性和最大相关最小冗余算法，对时域、频域和时频域的特征系统性地排序筛选，有效地捕捉了特征与剩余寿命之间、以及特征与特征之间的相互关系。</w:t>
      </w:r>
      <w:r>
        <w:t>唐贵基等</w:t>
      </w:r>
      <w:r>
        <w:rPr>
          <w:vertAlign w:val="superscript"/>
        </w:rPr>
        <w:fldChar w:fldCharType="begin"/>
      </w:r>
      <w:r>
        <w:rPr>
          <w:vertAlign w:val="superscript"/>
        </w:rPr>
        <w:instrText xml:space="preserve"> REF _Ref6162 \r \h  \* MERGEFORMAT</w:instrText>
      </w:r>
      <w:r>
        <w:rPr>
          <w:vertAlign w:val="superscript"/>
        </w:rPr>
        <w:fldChar w:fldCharType="separate"/>
      </w:r>
      <w:r>
        <w:rPr>
          <w:vertAlign w:val="superscript"/>
        </w:rPr>
        <w:t>[34]</w:t>
      </w:r>
      <w:r>
        <w:rPr>
          <w:vertAlign w:val="superscript"/>
        </w:rPr>
        <w:fldChar w:fldCharType="end"/>
      </w:r>
      <w:r>
        <w:rPr>
          <w:rFonts w:hint="eastAsia"/>
        </w:rPr>
        <w:t>建立了一套多域特征评价指标体系来筛选敏感特征，再用自编码降维来压缩数据复杂度，给后续预测环节提供了高质量的输入。</w:t>
      </w:r>
      <w:r>
        <w:t>张菀等</w:t>
      </w:r>
      <w:r>
        <w:rPr>
          <w:vertAlign w:val="superscript"/>
        </w:rPr>
        <w:fldChar w:fldCharType="begin"/>
      </w:r>
      <w:r>
        <w:instrText xml:space="preserve"> REF _Ref6211 \r \h  \* MERGEFORMAT</w:instrText>
      </w:r>
      <w:r>
        <w:rPr>
          <w:vertAlign w:val="superscript"/>
        </w:rPr>
        <w:fldChar w:fldCharType="separate"/>
      </w:r>
      <w:r>
        <w:rPr>
          <w:vertAlign w:val="superscript"/>
        </w:rPr>
        <w:t>[35]</w:t>
      </w:r>
      <w:r>
        <w:rPr>
          <w:vertAlign w:val="superscript"/>
        </w:rPr>
        <w:fldChar w:fldCharType="end"/>
      </w:r>
      <w:r>
        <w:t>基于马氏距离确定性能退化起始点，融合振动信号、电机电流与轴承温度构成多源信息特征矩阵，显著提升了电机轴承RUL预测的准确性。</w:t>
      </w:r>
    </w:p>
    <w:p w14:paraId="18C9D2FB">
      <w:pPr>
        <w:ind w:firstLine="480"/>
        <w:rPr>
          <w:rFonts w:hint="eastAsia"/>
        </w:rPr>
      </w:pPr>
      <w:r>
        <w:rPr>
          <w:rFonts w:hint="eastAsia"/>
        </w:rPr>
        <w:t>在深度学习混合模型创新方面，国内学者很擅长把不同模型的优势揉到一起。</w:t>
      </w:r>
      <w:r>
        <w:t>李敬一等</w:t>
      </w:r>
      <w:r>
        <w:rPr>
          <w:vertAlign w:val="superscript"/>
        </w:rPr>
        <w:fldChar w:fldCharType="begin"/>
      </w:r>
      <w:r>
        <w:instrText xml:space="preserve"> REF _Ref6244 \r \h  \* MERGEFORMAT</w:instrText>
      </w:r>
      <w:r>
        <w:rPr>
          <w:vertAlign w:val="superscript"/>
        </w:rPr>
        <w:fldChar w:fldCharType="separate"/>
      </w:r>
      <w:r>
        <w:rPr>
          <w:vertAlign w:val="superscript"/>
        </w:rPr>
        <w:t>[36]</w:t>
      </w:r>
      <w:r>
        <w:rPr>
          <w:vertAlign w:val="superscript"/>
        </w:rPr>
        <w:fldChar w:fldCharType="end"/>
      </w:r>
      <w:r>
        <w:t>提出了灰狼优化算法优化的CNN-BiLSTM-Attention模型，</w:t>
      </w:r>
      <w:r>
        <w:rPr>
          <w:rFonts w:hint="eastAsia"/>
        </w:rPr>
        <w:t>思路很清晰——先通过综合评价指标筛出退化敏感特征，再用灰狼算法去优化超参数，最终平均绝对误差和均方根误差分别降了28.8%和24.3%。</w:t>
      </w:r>
      <w:r>
        <w:t>刘业峰等</w:t>
      </w:r>
      <w:r>
        <w:rPr>
          <w:vertAlign w:val="superscript"/>
        </w:rPr>
        <w:fldChar w:fldCharType="begin"/>
      </w:r>
      <w:r>
        <w:rPr>
          <w:vertAlign w:val="superscript"/>
        </w:rPr>
        <w:instrText xml:space="preserve"> REF _Ref6289 \r \h  \* MERGEFORMAT</w:instrText>
      </w:r>
      <w:r>
        <w:rPr>
          <w:vertAlign w:val="superscript"/>
        </w:rPr>
        <w:fldChar w:fldCharType="separate"/>
      </w:r>
      <w:r>
        <w:rPr>
          <w:vertAlign w:val="superscript"/>
        </w:rPr>
        <w:t>[37]</w:t>
      </w:r>
      <w:r>
        <w:rPr>
          <w:vertAlign w:val="superscript"/>
        </w:rPr>
        <w:fldChar w:fldCharType="end"/>
      </w:r>
      <w:r>
        <w:rPr>
          <w:rFonts w:hint="eastAsia"/>
        </w:rPr>
        <w:t>则在TCN里嵌入自注意力来突出关键特征，同时引入Bi-GRU来补上TCN抓不到双向时序信息的短板，在PHM 2012数据集上多项指标都优于已有方法</w:t>
      </w:r>
      <w:r>
        <w:t>。邓飞跃等</w:t>
      </w:r>
      <w:r>
        <w:rPr>
          <w:vertAlign w:val="superscript"/>
        </w:rPr>
        <w:fldChar w:fldCharType="begin"/>
      </w:r>
      <w:r>
        <w:instrText xml:space="preserve"> REF _Ref6394 \r \h  \* MERGEFORMAT</w:instrText>
      </w:r>
      <w:r>
        <w:rPr>
          <w:vertAlign w:val="superscript"/>
        </w:rPr>
        <w:fldChar w:fldCharType="separate"/>
      </w:r>
      <w:r>
        <w:rPr>
          <w:vertAlign w:val="superscript"/>
        </w:rPr>
        <w:t>[38]</w:t>
      </w:r>
      <w:r>
        <w:rPr>
          <w:vertAlign w:val="superscript"/>
        </w:rPr>
        <w:fldChar w:fldCharType="end"/>
      </w:r>
      <w:r>
        <w:rPr>
          <w:rFonts w:hint="eastAsia"/>
        </w:rPr>
        <w:t>把多尺度时间卷积和Transformer做了融合，设计多尺度膨胀因果卷积单元来自适应地挖掘时序特征，再利用Transformer克服预测序列的记忆力退化问题，变工况下的泛化表现相当不错。周哲韬</w:t>
      </w:r>
      <w:r>
        <w:t>等</w:t>
      </w:r>
      <w:r>
        <w:rPr>
          <w:vertAlign w:val="superscript"/>
        </w:rPr>
        <w:fldChar w:fldCharType="begin"/>
      </w:r>
      <w:r>
        <w:instrText xml:space="preserve"> REF _Ref6423 \r \h  \* MERGEFORMAT</w:instrText>
      </w:r>
      <w:r>
        <w:rPr>
          <w:vertAlign w:val="superscript"/>
        </w:rPr>
        <w:fldChar w:fldCharType="separate"/>
      </w:r>
      <w:r>
        <w:rPr>
          <w:vertAlign w:val="superscript"/>
        </w:rPr>
        <w:t>[39]</w:t>
      </w:r>
      <w:r>
        <w:rPr>
          <w:vertAlign w:val="superscript"/>
        </w:rPr>
        <w:fldChar w:fldCharType="end"/>
      </w:r>
      <w:r>
        <w:rPr>
          <w:rFonts w:hint="eastAsia"/>
        </w:rPr>
        <w:t>直接用Transformer来做RUL预测，用三角函数变换和累积变换去修正输入特征的单调性和趋势性，在PHM 2012和XJTU-SY两个数据集上平均得分分别提高了19.79%和18.6%</w:t>
      </w:r>
      <w:r>
        <w:t>。黄宇等</w:t>
      </w:r>
      <w:r>
        <w:rPr>
          <w:vertAlign w:val="superscript"/>
        </w:rPr>
        <w:fldChar w:fldCharType="begin"/>
      </w:r>
      <w:r>
        <w:instrText xml:space="preserve"> REF _Ref6462 \r \h  \* MERGEFORMAT</w:instrText>
      </w:r>
      <w:r>
        <w:rPr>
          <w:vertAlign w:val="superscript"/>
        </w:rPr>
        <w:fldChar w:fldCharType="separate"/>
      </w:r>
      <w:r>
        <w:rPr>
          <w:vertAlign w:val="superscript"/>
        </w:rPr>
        <w:t>[40]</w:t>
      </w:r>
      <w:r>
        <w:rPr>
          <w:vertAlign w:val="superscript"/>
        </w:rPr>
        <w:fldChar w:fldCharType="end"/>
      </w:r>
      <w:r>
        <w:rPr>
          <w:rFonts w:hint="eastAsia"/>
        </w:rPr>
        <w:t>结合了LSTM和自注意力机制，先包络解调提取退化特征，再通过自注意力筛选关键信息，在PHM 2012数据集上平均绝对误差降了43.18%以上，降幅相当可观。</w:t>
      </w:r>
    </w:p>
    <w:p w14:paraId="0A91286F">
      <w:pPr>
        <w:ind w:firstLine="480"/>
        <w:rPr>
          <w:rFonts w:hint="eastAsia"/>
        </w:rPr>
      </w:pPr>
      <w:r>
        <w:rPr>
          <w:rFonts w:hint="eastAsia"/>
        </w:rPr>
        <w:t>在跨工况泛化与域适应技术方面，国内学者也做了不少有针对性的探索。</w:t>
      </w:r>
      <w:r>
        <w:t>姜苗等</w:t>
      </w:r>
      <w:r>
        <w:rPr>
          <w:vertAlign w:val="superscript"/>
        </w:rPr>
        <w:fldChar w:fldCharType="begin"/>
      </w:r>
      <w:r>
        <w:rPr>
          <w:vertAlign w:val="superscript"/>
        </w:rPr>
        <w:instrText xml:space="preserve"> REF _Ref6505 \r \h  \* MERGEFORMAT</w:instrText>
      </w:r>
      <w:r>
        <w:rPr>
          <w:vertAlign w:val="superscript"/>
        </w:rPr>
        <w:fldChar w:fldCharType="separate"/>
      </w:r>
      <w:r>
        <w:rPr>
          <w:vertAlign w:val="superscript"/>
        </w:rPr>
        <w:t>[41]</w:t>
      </w:r>
      <w:r>
        <w:rPr>
          <w:vertAlign w:val="superscript"/>
        </w:rPr>
        <w:fldChar w:fldCharType="end"/>
      </w:r>
      <w:r>
        <w:rPr>
          <w:rFonts w:hint="eastAsia"/>
        </w:rPr>
        <w:t>提出了一种迁移轴承状态知识的RUL预测方法，用时域、频域特征加上模糊熵作为预测特征，用</w:t>
      </w:r>
      <w:r>
        <w:rPr>
          <w:rFonts w:hint="eastAsia"/>
          <w:position w:val="-6"/>
        </w:rPr>
        <w:object>
          <v:shape id="_x0000_i1025" o:spt="75" type="#_x0000_t75" style="height:13.95pt;width:17pt;" o:ole="t" filled="f" o:preferrelative="t" stroked="f" coordsize="21600,21600">
            <v:path/>
            <v:fill on="f" focussize="0,0"/>
            <v:stroke on="f"/>
            <v:imagedata r:id="rId23" o:title=""/>
            <o:lock v:ext="edit" aspectratio="t"/>
            <w10:wrap type="none"/>
            <w10:anchorlock/>
          </v:shape>
          <o:OLEObject Type="Embed" ProgID="DSEquations" ShapeID="_x0000_i1025" DrawAspect="Content" ObjectID="_1468075725" r:id="rId22">
            <o:LockedField>false</o:LockedField>
          </o:OLEObject>
        </w:object>
      </w:r>
      <w:r>
        <w:rPr>
          <w:rFonts w:hint="eastAsia"/>
        </w:rPr>
        <w:t>准则划开健康期和退化期，平均均方根误差减小了52.53%。</w:t>
      </w:r>
      <w:r>
        <w:t>李广福等</w:t>
      </w:r>
      <w:r>
        <w:rPr>
          <w:vertAlign w:val="superscript"/>
        </w:rPr>
        <w:fldChar w:fldCharType="begin"/>
      </w:r>
      <w:r>
        <w:instrText xml:space="preserve"> REF _Ref6547 \r \h  \* MERGEFORMAT</w:instrText>
      </w:r>
      <w:r>
        <w:rPr>
          <w:vertAlign w:val="superscript"/>
        </w:rPr>
        <w:fldChar w:fldCharType="separate"/>
      </w:r>
      <w:r>
        <w:rPr>
          <w:vertAlign w:val="superscript"/>
        </w:rPr>
        <w:t>[42]</w:t>
      </w:r>
      <w:r>
        <w:rPr>
          <w:vertAlign w:val="superscript"/>
        </w:rPr>
        <w:fldChar w:fldCharType="end"/>
      </w:r>
      <w:r>
        <w:rPr>
          <w:rFonts w:hint="eastAsia"/>
        </w:rPr>
        <w:t>提出了多尺度退化指标结合Informer模型的思路，通过皮尔逊相关系数和核主成分分析法来得到多尺度退化指标，预测精度有比较实在的提升。</w:t>
      </w:r>
      <w:r>
        <w:t>康守强等</w:t>
      </w:r>
      <w:r>
        <w:rPr>
          <w:vertAlign w:val="superscript"/>
        </w:rPr>
        <w:fldChar w:fldCharType="begin"/>
      </w:r>
      <w:r>
        <w:rPr>
          <w:vertAlign w:val="superscript"/>
        </w:rPr>
        <w:instrText xml:space="preserve"> REF _Ref6586 \r \h  \* MERGEFORMAT</w:instrText>
      </w:r>
      <w:r>
        <w:rPr>
          <w:vertAlign w:val="superscript"/>
        </w:rPr>
        <w:fldChar w:fldCharType="separate"/>
      </w:r>
      <w:r>
        <w:rPr>
          <w:vertAlign w:val="superscript"/>
        </w:rPr>
        <w:t>[43]</w:t>
      </w:r>
      <w:r>
        <w:rPr>
          <w:vertAlign w:val="superscript"/>
        </w:rPr>
        <w:fldChar w:fldCharType="end"/>
      </w:r>
      <w:r>
        <w:rPr>
          <w:rFonts w:hint="eastAsia"/>
        </w:rPr>
        <w:t>在改进SAE和双向LSTM的基础上做RUL预测，用Tan函数换掉sigmoid激活函数来避免梯度消失，以dropout机制替代KL散度来实现网络稀疏性，在两个轴承数据集上都取得了较低的预测误差。</w:t>
      </w:r>
      <w:r>
        <w:t>王奉涛等</w:t>
      </w:r>
      <w:r>
        <w:rPr>
          <w:vertAlign w:val="superscript"/>
        </w:rPr>
        <w:fldChar w:fldCharType="begin"/>
      </w:r>
      <w:r>
        <w:instrText xml:space="preserve"> REF _Ref6626 \r \h  \* MERGEFORMAT</w:instrText>
      </w:r>
      <w:r>
        <w:rPr>
          <w:vertAlign w:val="superscript"/>
        </w:rPr>
        <w:fldChar w:fldCharType="separate"/>
      </w:r>
      <w:r>
        <w:rPr>
          <w:vertAlign w:val="superscript"/>
        </w:rPr>
        <w:t>[44]</w:t>
      </w:r>
      <w:r>
        <w:rPr>
          <w:vertAlign w:val="superscript"/>
        </w:rPr>
        <w:fldChar w:fldCharType="end"/>
      </w:r>
      <w:r>
        <w:rPr>
          <w:rFonts w:hint="eastAsia"/>
        </w:rPr>
        <w:t>则从特征评估的角度切入，定义三个评价指标来定量评估特征参数效果，筛选出最优退化特征集后，再用长短期记忆网络做寿命预测，精度做得很高。</w:t>
      </w:r>
    </w:p>
    <w:p w14:paraId="5C0A8562">
      <w:pPr>
        <w:ind w:firstLine="480"/>
        <w:rPr>
          <w:rFonts w:hint="eastAsia"/>
        </w:rPr>
      </w:pPr>
      <w:r>
        <w:rPr>
          <w:rFonts w:hint="eastAsia"/>
        </w:rPr>
        <w:t>在工程应用</w:t>
      </w:r>
      <w:r>
        <w:rPr>
          <w:rFonts w:hint="eastAsia"/>
          <w:lang w:val="en-US" w:eastAsia="zh-CN"/>
        </w:rPr>
        <w:t>和</w:t>
      </w:r>
      <w:r>
        <w:rPr>
          <w:rFonts w:hint="eastAsia"/>
        </w:rPr>
        <w:t>系统集成</w:t>
      </w:r>
      <w:r>
        <w:rPr>
          <w:rFonts w:hint="eastAsia"/>
          <w:lang w:val="en-US" w:eastAsia="zh-CN"/>
        </w:rPr>
        <w:t>这两个</w:t>
      </w:r>
      <w:r>
        <w:rPr>
          <w:rFonts w:hint="eastAsia"/>
        </w:rPr>
        <w:t>方面，国内学者</w:t>
      </w:r>
      <w:r>
        <w:rPr>
          <w:rFonts w:hint="eastAsia"/>
          <w:lang w:val="en-US" w:eastAsia="zh-CN"/>
        </w:rPr>
        <w:t>也在</w:t>
      </w:r>
      <w:r>
        <w:rPr>
          <w:rFonts w:hint="eastAsia"/>
        </w:rPr>
        <w:t>很积极地</w:t>
      </w:r>
      <w:r>
        <w:rPr>
          <w:rFonts w:hint="eastAsia"/>
          <w:lang w:val="en-US" w:eastAsia="zh-CN"/>
        </w:rPr>
        <w:t>去</w:t>
      </w:r>
      <w:r>
        <w:rPr>
          <w:rFonts w:hint="eastAsia"/>
        </w:rPr>
        <w:t>推动技术落地。</w:t>
      </w:r>
      <w:r>
        <w:t>拓云天等</w:t>
      </w:r>
      <w:r>
        <w:rPr>
          <w:vertAlign w:val="superscript"/>
        </w:rPr>
        <w:fldChar w:fldCharType="begin"/>
      </w:r>
      <w:r>
        <w:instrText xml:space="preserve"> REF _Ref6678 \r \h  \* MERGEFORMAT</w:instrText>
      </w:r>
      <w:r>
        <w:rPr>
          <w:vertAlign w:val="superscript"/>
        </w:rPr>
        <w:fldChar w:fldCharType="separate"/>
      </w:r>
      <w:r>
        <w:rPr>
          <w:vertAlign w:val="superscript"/>
        </w:rPr>
        <w:t>[45]</w:t>
      </w:r>
      <w:r>
        <w:rPr>
          <w:vertAlign w:val="superscript"/>
        </w:rPr>
        <w:fldChar w:fldCharType="end"/>
      </w:r>
      <w:r>
        <w:rPr>
          <w:rFonts w:hint="eastAsia"/>
        </w:rPr>
        <w:t>提出了滚动轴承健康状态实时预测方法，建立了一个能考虑实时工况变化的数字孪生模型，用非线性布朗运动和贝叶斯理论来</w:t>
      </w:r>
      <w:r>
        <w:rPr>
          <w:rFonts w:hint="eastAsia"/>
          <w:lang w:val="en-US" w:eastAsia="zh-CN"/>
        </w:rPr>
        <w:t>实时</w:t>
      </w:r>
      <w:r>
        <w:rPr>
          <w:rFonts w:hint="eastAsia"/>
        </w:rPr>
        <w:t>更新模型</w:t>
      </w:r>
      <w:r>
        <w:rPr>
          <w:rFonts w:hint="eastAsia"/>
          <w:lang w:val="en-US" w:eastAsia="zh-CN"/>
        </w:rPr>
        <w:t>的</w:t>
      </w:r>
      <w:r>
        <w:rPr>
          <w:rFonts w:hint="eastAsia"/>
        </w:rPr>
        <w:t>参数，</w:t>
      </w:r>
      <w:r>
        <w:rPr>
          <w:rFonts w:hint="eastAsia"/>
          <w:lang w:val="en-US" w:eastAsia="zh-CN"/>
        </w:rPr>
        <w:t>做到了</w:t>
      </w:r>
      <w:r>
        <w:rPr>
          <w:rFonts w:hint="eastAsia"/>
        </w:rPr>
        <w:t>剩余寿命的实时预测。</w:t>
      </w:r>
      <w:r>
        <w:t>陈远航</w:t>
      </w:r>
      <w:r>
        <w:rPr>
          <w:vertAlign w:val="superscript"/>
        </w:rPr>
        <w:fldChar w:fldCharType="begin"/>
      </w:r>
      <w:r>
        <w:instrText xml:space="preserve"> REF _Ref6707 \r \h  \* MERGEFORMAT</w:instrText>
      </w:r>
      <w:r>
        <w:rPr>
          <w:vertAlign w:val="superscript"/>
        </w:rPr>
        <w:fldChar w:fldCharType="separate"/>
      </w:r>
      <w:r>
        <w:rPr>
          <w:vertAlign w:val="superscript"/>
        </w:rPr>
        <w:t>[46]</w:t>
      </w:r>
      <w:r>
        <w:rPr>
          <w:vertAlign w:val="superscript"/>
        </w:rPr>
        <w:fldChar w:fldCharType="end"/>
      </w:r>
      <w:r>
        <w:rPr>
          <w:rFonts w:hint="eastAsia"/>
          <w:lang w:val="en-US" w:eastAsia="zh-CN"/>
        </w:rPr>
        <w:t>则</w:t>
      </w:r>
      <w:r>
        <w:rPr>
          <w:rFonts w:hint="eastAsia"/>
        </w:rPr>
        <w:t>开发了一套完整的实时监测及剩余寿命预测软件系统，采用模块化、接口化编程摆脱了对特定采集卡的依赖，</w:t>
      </w:r>
      <w:r>
        <w:rPr>
          <w:rFonts w:hint="eastAsia"/>
          <w:lang w:val="en-US" w:eastAsia="zh-CN"/>
        </w:rPr>
        <w:t>在</w:t>
      </w:r>
      <w:r>
        <w:rPr>
          <w:rFonts w:hint="eastAsia"/>
        </w:rPr>
        <w:t>嵌入神经网络算法后就直接实现了实时预测。</w:t>
      </w:r>
      <w:r>
        <w:t>宋宏智</w:t>
      </w:r>
      <w:r>
        <w:rPr>
          <w:vertAlign w:val="superscript"/>
        </w:rPr>
        <w:fldChar w:fldCharType="begin"/>
      </w:r>
      <w:r>
        <w:instrText xml:space="preserve"> REF _Ref6753 \r \h  \* MERGEFORMAT</w:instrText>
      </w:r>
      <w:r>
        <w:rPr>
          <w:vertAlign w:val="superscript"/>
        </w:rPr>
        <w:fldChar w:fldCharType="separate"/>
      </w:r>
      <w:r>
        <w:rPr>
          <w:vertAlign w:val="superscript"/>
        </w:rPr>
        <w:t>[47]</w:t>
      </w:r>
      <w:r>
        <w:rPr>
          <w:vertAlign w:val="superscript"/>
        </w:rPr>
        <w:fldChar w:fldCharType="end"/>
      </w:r>
      <w:r>
        <w:rPr>
          <w:rFonts w:hint="eastAsia"/>
        </w:rPr>
        <w:t>专门针对机车车辆走行部轴承做了性能退化及寿命预测研究，建立了损伤—振动耦合的性能退化模型，并提出了一种基于多尺度符号动力学熵的损伤程度识别方法，给铁路轴承的健康管理提供了很有针对性的技术支撑。</w:t>
      </w:r>
    </w:p>
    <w:p w14:paraId="1AABEE39">
      <w:pPr>
        <w:pStyle w:val="4"/>
        <w:spacing w:before="120" w:after="120"/>
      </w:pPr>
      <w:bookmarkStart w:id="15" w:name="_Toc5382"/>
      <w:bookmarkStart w:id="16" w:name="_Toc12205"/>
      <w:r>
        <w:t>1.2.3 研究现状总结与核心问题提炼</w:t>
      </w:r>
      <w:bookmarkEnd w:id="15"/>
      <w:bookmarkEnd w:id="16"/>
    </w:p>
    <w:p w14:paraId="50DED094">
      <w:pPr>
        <w:ind w:firstLine="482"/>
        <w:rPr>
          <w:b/>
          <w:bCs/>
        </w:rPr>
      </w:pPr>
      <w:r>
        <w:rPr>
          <w:b/>
          <w:bCs/>
        </w:rPr>
        <w:t>（1）研究现状总结</w:t>
      </w:r>
    </w:p>
    <w:p w14:paraId="0EF4AFBC">
      <w:pPr>
        <w:ind w:firstLine="480"/>
      </w:pPr>
      <w:r>
        <w:rPr>
          <w:rFonts w:hint="eastAsia"/>
        </w:rPr>
        <w:t>滚动轴承RUL预测几十年走下来，从依赖物理模型和统计方法，到机器学习，再到全面拥抱深度学习，演进脉络已经很清楚。国外在理论创新和前沿探索上起步更早，深度架构设计、跨工况域适应、物理信息融合等方面相继提出了并行特征提取、自监督学习、联邦学习等很有分量的方法</w:t>
      </w:r>
      <w:r>
        <w:rPr>
          <w:vertAlign w:val="superscript"/>
        </w:rPr>
        <w:fldChar w:fldCharType="begin"/>
      </w:r>
      <w:r>
        <w:instrText xml:space="preserve"> REF _Ref5192 \r \h  \* MERGEFORMAT</w:instrText>
      </w:r>
      <w:r>
        <w:rPr>
          <w:vertAlign w:val="superscript"/>
        </w:rPr>
        <w:fldChar w:fldCharType="separate"/>
      </w:r>
      <w:r>
        <w:rPr>
          <w:vertAlign w:val="superscript"/>
        </w:rPr>
        <w:t>[12]</w:t>
      </w:r>
      <w:r>
        <w:rPr>
          <w:vertAlign w:val="superscript"/>
        </w:rPr>
        <w:fldChar w:fldCharType="end"/>
      </w:r>
      <w:r>
        <w:rPr>
          <w:vertAlign w:val="superscript"/>
        </w:rPr>
        <w:fldChar w:fldCharType="begin"/>
      </w:r>
      <w:r>
        <w:instrText xml:space="preserve"> REF _Ref5310 \r \h  \* MERGEFORMAT</w:instrText>
      </w:r>
      <w:r>
        <w:rPr>
          <w:vertAlign w:val="superscript"/>
        </w:rPr>
        <w:fldChar w:fldCharType="separate"/>
      </w:r>
      <w:r>
        <w:rPr>
          <w:vertAlign w:val="superscript"/>
        </w:rPr>
        <w:t>[15]</w:t>
      </w:r>
      <w:r>
        <w:rPr>
          <w:vertAlign w:val="superscript"/>
        </w:rPr>
        <w:fldChar w:fldCharType="end"/>
      </w:r>
      <w:r>
        <w:rPr>
          <w:vertAlign w:val="superscript"/>
        </w:rPr>
        <w:fldChar w:fldCharType="begin"/>
      </w:r>
      <w:r>
        <w:instrText xml:space="preserve"> REF _Ref5574 \r \h  \* MERGEFORMAT</w:instrText>
      </w:r>
      <w:r>
        <w:rPr>
          <w:vertAlign w:val="superscript"/>
        </w:rPr>
        <w:fldChar w:fldCharType="separate"/>
      </w:r>
      <w:r>
        <w:rPr>
          <w:vertAlign w:val="superscript"/>
        </w:rPr>
        <w:t>[21]</w:t>
      </w:r>
      <w:r>
        <w:rPr>
          <w:vertAlign w:val="superscript"/>
        </w:rPr>
        <w:fldChar w:fldCharType="end"/>
      </w:r>
      <w:r>
        <w:rPr>
          <w:vertAlign w:val="superscript"/>
        </w:rPr>
        <w:fldChar w:fldCharType="begin"/>
      </w:r>
      <w:r>
        <w:instrText xml:space="preserve"> REF _Ref5633 \r \h  \* MERGEFORMAT</w:instrText>
      </w:r>
      <w:r>
        <w:rPr>
          <w:vertAlign w:val="superscript"/>
        </w:rPr>
        <w:fldChar w:fldCharType="separate"/>
      </w:r>
      <w:r>
        <w:rPr>
          <w:vertAlign w:val="superscript"/>
        </w:rPr>
        <w:t>[23]</w:t>
      </w:r>
      <w:r>
        <w:rPr>
          <w:vertAlign w:val="superscript"/>
        </w:rPr>
        <w:fldChar w:fldCharType="end"/>
      </w:r>
      <w:r>
        <w:t>。</w:t>
      </w:r>
      <w:r>
        <w:rPr>
          <w:rFonts w:hint="eastAsia"/>
        </w:rPr>
        <w:t>国内优势则更多体现在信号处理的深度、混合模型的花样翻新以及实实在在的工程落地——高水平的降噪和特征提取方法出了不少，卷积、循环、注意力模块的各种组合也玩得很透，并在风电、轨交、机床这些场景里确实落地了</w:t>
      </w:r>
      <w:r>
        <w:rPr>
          <w:vertAlign w:val="superscript"/>
        </w:rPr>
        <w:fldChar w:fldCharType="begin"/>
      </w:r>
      <w:r>
        <w:instrText xml:space="preserve"> REF _Ref6054 \r \h  \* MERGEFORMAT</w:instrText>
      </w:r>
      <w:r>
        <w:rPr>
          <w:vertAlign w:val="superscript"/>
        </w:rPr>
        <w:fldChar w:fldCharType="separate"/>
      </w:r>
      <w:r>
        <w:rPr>
          <w:vertAlign w:val="superscript"/>
        </w:rPr>
        <w:t>[32]</w:t>
      </w:r>
      <w:r>
        <w:rPr>
          <w:vertAlign w:val="superscript"/>
        </w:rPr>
        <w:fldChar w:fldCharType="end"/>
      </w:r>
      <w:r>
        <w:rPr>
          <w:vertAlign w:val="superscript"/>
        </w:rPr>
        <w:fldChar w:fldCharType="begin"/>
      </w:r>
      <w:r>
        <w:instrText xml:space="preserve"> REF _Ref6126 \r \h  \* MERGEFORMAT</w:instrText>
      </w:r>
      <w:r>
        <w:rPr>
          <w:vertAlign w:val="superscript"/>
        </w:rPr>
        <w:fldChar w:fldCharType="separate"/>
      </w:r>
      <w:r>
        <w:rPr>
          <w:vertAlign w:val="superscript"/>
        </w:rPr>
        <w:t>[33]</w:t>
      </w:r>
      <w:r>
        <w:rPr>
          <w:vertAlign w:val="superscript"/>
        </w:rPr>
        <w:fldChar w:fldCharType="end"/>
      </w:r>
      <w:r>
        <w:rPr>
          <w:vertAlign w:val="superscript"/>
        </w:rPr>
        <w:fldChar w:fldCharType="begin"/>
      </w:r>
      <w:r>
        <w:instrText xml:space="preserve"> REF _Ref6211 \r \h  \* MERGEFORMAT</w:instrText>
      </w:r>
      <w:r>
        <w:rPr>
          <w:vertAlign w:val="superscript"/>
        </w:rPr>
        <w:fldChar w:fldCharType="separate"/>
      </w:r>
      <w:r>
        <w:rPr>
          <w:vertAlign w:val="superscript"/>
        </w:rPr>
        <w:t>[35]</w:t>
      </w:r>
      <w:r>
        <w:rPr>
          <w:vertAlign w:val="superscript"/>
        </w:rPr>
        <w:fldChar w:fldCharType="end"/>
      </w:r>
      <w:r>
        <w:rPr>
          <w:vertAlign w:val="superscript"/>
        </w:rPr>
        <w:fldChar w:fldCharType="begin"/>
      </w:r>
      <w:r>
        <w:instrText xml:space="preserve"> REF _Ref6244 \r \h  \* MERGEFORMAT</w:instrText>
      </w:r>
      <w:r>
        <w:rPr>
          <w:vertAlign w:val="superscript"/>
        </w:rPr>
        <w:fldChar w:fldCharType="separate"/>
      </w:r>
      <w:r>
        <w:rPr>
          <w:vertAlign w:val="superscript"/>
        </w:rPr>
        <w:t>[36]</w:t>
      </w:r>
      <w:r>
        <w:rPr>
          <w:vertAlign w:val="superscript"/>
        </w:rPr>
        <w:fldChar w:fldCharType="end"/>
      </w:r>
      <w:r>
        <w:rPr>
          <w:vertAlign w:val="superscript"/>
        </w:rPr>
        <w:fldChar w:fldCharType="begin"/>
      </w:r>
      <w:r>
        <w:instrText xml:space="preserve"> REF _Ref6394 \r \h  \* MERGEFORMAT</w:instrText>
      </w:r>
      <w:r>
        <w:rPr>
          <w:vertAlign w:val="superscript"/>
        </w:rPr>
        <w:fldChar w:fldCharType="separate"/>
      </w:r>
      <w:r>
        <w:rPr>
          <w:vertAlign w:val="superscript"/>
        </w:rPr>
        <w:t>[38]</w:t>
      </w:r>
      <w:r>
        <w:rPr>
          <w:vertAlign w:val="superscript"/>
        </w:rPr>
        <w:fldChar w:fldCharType="end"/>
      </w:r>
      <w:r>
        <w:t>。</w:t>
      </w:r>
    </w:p>
    <w:p w14:paraId="5C067D56">
      <w:pPr>
        <w:ind w:firstLine="480"/>
        <w:rPr>
          <w:b w:val="0"/>
          <w:bCs w:val="0"/>
        </w:rPr>
      </w:pPr>
      <w:r>
        <w:rPr>
          <w:rFonts w:hint="eastAsia"/>
          <w:b w:val="0"/>
          <w:bCs w:val="0"/>
        </w:rPr>
        <w:t>当前，数据驱动方法已经</w:t>
      </w:r>
      <w:r>
        <w:rPr>
          <w:rFonts w:hint="eastAsia"/>
          <w:b w:val="0"/>
          <w:bCs w:val="0"/>
          <w:lang w:val="en-US" w:eastAsia="zh-CN"/>
        </w:rPr>
        <w:t>成为</w:t>
      </w:r>
      <w:r>
        <w:rPr>
          <w:rFonts w:hint="eastAsia"/>
          <w:b w:val="0"/>
          <w:bCs w:val="0"/>
        </w:rPr>
        <w:t>绝对主流了。SE注意力、残差连接、双向GRU/LSTM这些模块几乎成了标</w:t>
      </w:r>
      <w:r>
        <w:rPr>
          <w:rFonts w:hint="eastAsia"/>
          <w:b w:val="0"/>
          <w:bCs w:val="0"/>
          <w:lang w:val="en-US" w:eastAsia="zh-CN"/>
        </w:rPr>
        <w:t>准</w:t>
      </w:r>
      <w:r>
        <w:rPr>
          <w:rFonts w:hint="eastAsia"/>
          <w:b w:val="0"/>
          <w:bCs w:val="0"/>
        </w:rPr>
        <w:t>配</w:t>
      </w:r>
      <w:r>
        <w:rPr>
          <w:rFonts w:hint="eastAsia"/>
          <w:b w:val="0"/>
          <w:bCs w:val="0"/>
          <w:lang w:val="en-US" w:eastAsia="zh-CN"/>
        </w:rPr>
        <w:t>制</w:t>
      </w:r>
      <w:r>
        <w:rPr>
          <w:rFonts w:hint="eastAsia"/>
          <w:b w:val="0"/>
          <w:bCs w:val="0"/>
        </w:rPr>
        <w:t>，</w:t>
      </w:r>
      <w:r>
        <w:rPr>
          <w:rFonts w:hint="eastAsia"/>
          <w:b w:val="0"/>
          <w:bCs w:val="0"/>
          <w:lang w:val="en-US" w:eastAsia="zh-CN"/>
        </w:rPr>
        <w:t>模型的</w:t>
      </w:r>
      <w:r>
        <w:rPr>
          <w:rFonts w:hint="eastAsia"/>
          <w:b w:val="0"/>
          <w:bCs w:val="0"/>
        </w:rPr>
        <w:t>预测精度和鲁棒性也确实在不断刷新</w:t>
      </w:r>
      <w:r>
        <w:rPr>
          <w:b w:val="0"/>
          <w:bCs w:val="0"/>
          <w:vertAlign w:val="superscript"/>
        </w:rPr>
        <w:fldChar w:fldCharType="begin"/>
      </w:r>
      <w:r>
        <w:rPr>
          <w:b w:val="0"/>
          <w:bCs w:val="0"/>
        </w:rPr>
        <w:instrText xml:space="preserve"> REF _Ref5411 \r \h  \* MERGEFORMAT</w:instrText>
      </w:r>
      <w:r>
        <w:rPr>
          <w:b w:val="0"/>
          <w:bCs w:val="0"/>
          <w:vertAlign w:val="superscript"/>
        </w:rPr>
        <w:fldChar w:fldCharType="separate"/>
      </w:r>
      <w:r>
        <w:rPr>
          <w:b w:val="0"/>
          <w:bCs w:val="0"/>
          <w:vertAlign w:val="superscript"/>
        </w:rPr>
        <w:t>[17]</w:t>
      </w:r>
      <w:r>
        <w:rPr>
          <w:b w:val="0"/>
          <w:bCs w:val="0"/>
          <w:vertAlign w:val="superscript"/>
        </w:rPr>
        <w:fldChar w:fldCharType="end"/>
      </w:r>
      <w:r>
        <w:rPr>
          <w:b w:val="0"/>
          <w:bCs w:val="0"/>
          <w:vertAlign w:val="superscript"/>
        </w:rPr>
        <w:fldChar w:fldCharType="begin"/>
      </w:r>
      <w:r>
        <w:rPr>
          <w:b w:val="0"/>
          <w:bCs w:val="0"/>
        </w:rPr>
        <w:instrText xml:space="preserve"> REF _Ref5447 \r \h  \* MERGEFORMAT</w:instrText>
      </w:r>
      <w:r>
        <w:rPr>
          <w:b w:val="0"/>
          <w:bCs w:val="0"/>
          <w:vertAlign w:val="superscript"/>
        </w:rPr>
        <w:fldChar w:fldCharType="separate"/>
      </w:r>
      <w:r>
        <w:rPr>
          <w:b w:val="0"/>
          <w:bCs w:val="0"/>
          <w:vertAlign w:val="superscript"/>
        </w:rPr>
        <w:t>[18]</w:t>
      </w:r>
      <w:r>
        <w:rPr>
          <w:b w:val="0"/>
          <w:bCs w:val="0"/>
          <w:vertAlign w:val="superscript"/>
        </w:rPr>
        <w:fldChar w:fldCharType="end"/>
      </w:r>
      <w:r>
        <w:rPr>
          <w:b w:val="0"/>
          <w:bCs w:val="0"/>
          <w:vertAlign w:val="superscript"/>
        </w:rPr>
        <w:fldChar w:fldCharType="begin"/>
      </w:r>
      <w:r>
        <w:rPr>
          <w:b w:val="0"/>
          <w:bCs w:val="0"/>
        </w:rPr>
        <w:instrText xml:space="preserve"> REF _Ref5496 \r \h  \* MERGEFORMAT</w:instrText>
      </w:r>
      <w:r>
        <w:rPr>
          <w:b w:val="0"/>
          <w:bCs w:val="0"/>
          <w:vertAlign w:val="superscript"/>
        </w:rPr>
        <w:fldChar w:fldCharType="separate"/>
      </w:r>
      <w:r>
        <w:rPr>
          <w:b w:val="0"/>
          <w:bCs w:val="0"/>
          <w:vertAlign w:val="superscript"/>
        </w:rPr>
        <w:t>[19]</w:t>
      </w:r>
      <w:r>
        <w:rPr>
          <w:b w:val="0"/>
          <w:bCs w:val="0"/>
          <w:vertAlign w:val="superscript"/>
        </w:rPr>
        <w:fldChar w:fldCharType="end"/>
      </w:r>
      <w:r>
        <w:rPr>
          <w:b w:val="0"/>
          <w:bCs w:val="0"/>
        </w:rPr>
        <w:t>。</w:t>
      </w:r>
      <w:r>
        <w:rPr>
          <w:rFonts w:hint="eastAsia"/>
          <w:b w:val="0"/>
          <w:bCs w:val="0"/>
        </w:rPr>
        <w:t>跨工况域适应和迁移学习的发展，</w:t>
      </w:r>
      <w:r>
        <w:rPr>
          <w:rFonts w:hint="eastAsia"/>
          <w:b w:val="0"/>
          <w:bCs w:val="0"/>
          <w:lang w:eastAsia="zh-CN"/>
        </w:rPr>
        <w:t>使</w:t>
      </w:r>
      <w:r>
        <w:rPr>
          <w:rFonts w:hint="eastAsia"/>
          <w:b w:val="0"/>
          <w:bCs w:val="0"/>
        </w:rPr>
        <w:t>多工况这个</w:t>
      </w:r>
      <w:r>
        <w:rPr>
          <w:rFonts w:hint="eastAsia"/>
          <w:b w:val="0"/>
          <w:bCs w:val="0"/>
          <w:lang w:val="en-US" w:eastAsia="zh-CN"/>
        </w:rPr>
        <w:t>困</w:t>
      </w:r>
      <w:r>
        <w:rPr>
          <w:rFonts w:hint="eastAsia"/>
          <w:b w:val="0"/>
          <w:bCs w:val="0"/>
        </w:rPr>
        <w:t>难问题总算看到了解决的希望</w:t>
      </w:r>
      <w:r>
        <w:rPr>
          <w:rFonts w:hint="eastAsia"/>
          <w:b w:val="0"/>
          <w:bCs w:val="0"/>
          <w:vertAlign w:val="superscript"/>
          <w:lang w:eastAsia="zh-CN"/>
        </w:rPr>
        <w:fldChar w:fldCharType="begin"/>
      </w:r>
      <w:r>
        <w:rPr>
          <w:b w:val="0"/>
          <w:bCs w:val="0"/>
        </w:rPr>
        <w:instrText xml:space="preserve"> REF _Ref5688 \r \h  \* MERGEFORMAT</w:instrText>
      </w:r>
      <w:r>
        <w:rPr>
          <w:rFonts w:hint="eastAsia"/>
          <w:b w:val="0"/>
          <w:bCs w:val="0"/>
          <w:vertAlign w:val="superscript"/>
          <w:lang w:eastAsia="zh-CN"/>
        </w:rPr>
        <w:fldChar w:fldCharType="separate"/>
      </w:r>
      <w:r>
        <w:rPr>
          <w:rFonts w:hint="eastAsia"/>
          <w:b w:val="0"/>
          <w:bCs w:val="0"/>
          <w:vertAlign w:val="superscript"/>
          <w:lang w:eastAsia="zh-CN"/>
        </w:rPr>
        <w:t>[24]</w:t>
      </w:r>
      <w:r>
        <w:rPr>
          <w:rFonts w:hint="eastAsia"/>
          <w:b w:val="0"/>
          <w:bCs w:val="0"/>
          <w:vertAlign w:val="superscript"/>
          <w:lang w:eastAsia="zh-CN"/>
        </w:rPr>
        <w:fldChar w:fldCharType="end"/>
      </w:r>
      <w:r>
        <w:rPr>
          <w:b w:val="0"/>
          <w:bCs w:val="0"/>
        </w:rPr>
        <w:t>。</w:t>
      </w:r>
      <w:r>
        <w:rPr>
          <w:rFonts w:hint="eastAsia"/>
          <w:b w:val="0"/>
          <w:bCs w:val="0"/>
        </w:rPr>
        <w:t>再加上不确定性量化、物理信息融合</w:t>
      </w:r>
      <w:r>
        <w:rPr>
          <w:rFonts w:hint="eastAsia"/>
          <w:b w:val="0"/>
          <w:bCs w:val="0"/>
          <w:lang w:val="en-US" w:eastAsia="zh-CN"/>
        </w:rPr>
        <w:t>和</w:t>
      </w:r>
      <w:r>
        <w:rPr>
          <w:rFonts w:hint="eastAsia"/>
          <w:b w:val="0"/>
          <w:bCs w:val="0"/>
        </w:rPr>
        <w:t>数字孪生</w:t>
      </w:r>
      <w:r>
        <w:rPr>
          <w:rFonts w:hint="eastAsia"/>
          <w:b w:val="0"/>
          <w:bCs w:val="0"/>
          <w:lang w:val="en-US" w:eastAsia="zh-CN"/>
        </w:rPr>
        <w:t>等</w:t>
      </w:r>
      <w:r>
        <w:rPr>
          <w:rFonts w:hint="eastAsia"/>
          <w:b w:val="0"/>
          <w:bCs w:val="0"/>
        </w:rPr>
        <w:t>新</w:t>
      </w:r>
      <w:r>
        <w:rPr>
          <w:rFonts w:hint="eastAsia"/>
          <w:b w:val="0"/>
          <w:bCs w:val="0"/>
          <w:lang w:val="en-US" w:eastAsia="zh-CN"/>
        </w:rPr>
        <w:t>东西</w:t>
      </w:r>
      <w:r>
        <w:rPr>
          <w:rFonts w:hint="eastAsia"/>
          <w:b w:val="0"/>
          <w:bCs w:val="0"/>
        </w:rPr>
        <w:t>的</w:t>
      </w:r>
      <w:r>
        <w:rPr>
          <w:rFonts w:hint="eastAsia"/>
          <w:b w:val="0"/>
          <w:bCs w:val="0"/>
          <w:lang w:val="en-US" w:eastAsia="zh-CN"/>
        </w:rPr>
        <w:t>加入</w:t>
      </w:r>
      <w:r>
        <w:rPr>
          <w:rFonts w:hint="eastAsia"/>
          <w:b w:val="0"/>
          <w:bCs w:val="0"/>
        </w:rPr>
        <w:t>，模型</w:t>
      </w:r>
      <w:r>
        <w:rPr>
          <w:rFonts w:hint="eastAsia"/>
          <w:b w:val="0"/>
          <w:bCs w:val="0"/>
          <w:lang w:val="en-US" w:eastAsia="zh-CN"/>
        </w:rPr>
        <w:t>的</w:t>
      </w:r>
      <w:r>
        <w:rPr>
          <w:rFonts w:hint="eastAsia"/>
          <w:b w:val="0"/>
          <w:bCs w:val="0"/>
        </w:rPr>
        <w:t>可解释性和工程可用性正</w:t>
      </w:r>
      <w:r>
        <w:rPr>
          <w:rFonts w:hint="eastAsia"/>
          <w:b w:val="0"/>
          <w:bCs w:val="0"/>
          <w:lang w:val="en-US" w:eastAsia="zh-CN"/>
        </w:rPr>
        <w:t>在变得越来越</w:t>
      </w:r>
      <w:r>
        <w:rPr>
          <w:rFonts w:hint="eastAsia"/>
          <w:b w:val="0"/>
          <w:bCs w:val="0"/>
        </w:rPr>
        <w:t>好</w:t>
      </w:r>
      <w:r>
        <w:rPr>
          <w:b w:val="0"/>
          <w:bCs w:val="0"/>
          <w:vertAlign w:val="superscript"/>
        </w:rPr>
        <w:fldChar w:fldCharType="begin"/>
      </w:r>
      <w:r>
        <w:rPr>
          <w:b w:val="0"/>
          <w:bCs w:val="0"/>
        </w:rPr>
        <w:instrText xml:space="preserve"> REF _Ref5783 \r \h  \* MERGEFORMAT</w:instrText>
      </w:r>
      <w:r>
        <w:rPr>
          <w:b w:val="0"/>
          <w:bCs w:val="0"/>
          <w:vertAlign w:val="superscript"/>
        </w:rPr>
        <w:fldChar w:fldCharType="separate"/>
      </w:r>
      <w:r>
        <w:rPr>
          <w:b w:val="0"/>
          <w:bCs w:val="0"/>
          <w:vertAlign w:val="superscript"/>
        </w:rPr>
        <w:t>[26]</w:t>
      </w:r>
      <w:r>
        <w:rPr>
          <w:b w:val="0"/>
          <w:bCs w:val="0"/>
          <w:vertAlign w:val="superscript"/>
        </w:rPr>
        <w:fldChar w:fldCharType="end"/>
      </w:r>
      <w:r>
        <w:rPr>
          <w:b w:val="0"/>
          <w:bCs w:val="0"/>
          <w:vertAlign w:val="superscript"/>
        </w:rPr>
        <w:fldChar w:fldCharType="begin"/>
      </w:r>
      <w:r>
        <w:rPr>
          <w:b w:val="0"/>
          <w:bCs w:val="0"/>
        </w:rPr>
        <w:instrText xml:space="preserve"> REF _Ref5819 \r \h  \* MERGEFORMAT</w:instrText>
      </w:r>
      <w:r>
        <w:rPr>
          <w:b w:val="0"/>
          <w:bCs w:val="0"/>
          <w:vertAlign w:val="superscript"/>
        </w:rPr>
        <w:fldChar w:fldCharType="separate"/>
      </w:r>
      <w:r>
        <w:rPr>
          <w:b w:val="0"/>
          <w:bCs w:val="0"/>
          <w:vertAlign w:val="superscript"/>
        </w:rPr>
        <w:t>[27]</w:t>
      </w:r>
      <w:r>
        <w:rPr>
          <w:b w:val="0"/>
          <w:bCs w:val="0"/>
          <w:vertAlign w:val="superscript"/>
        </w:rPr>
        <w:fldChar w:fldCharType="end"/>
      </w:r>
      <w:r>
        <w:rPr>
          <w:b w:val="0"/>
          <w:bCs w:val="0"/>
          <w:vertAlign w:val="superscript"/>
        </w:rPr>
        <w:fldChar w:fldCharType="begin"/>
      </w:r>
      <w:r>
        <w:rPr>
          <w:b w:val="0"/>
          <w:bCs w:val="0"/>
        </w:rPr>
        <w:instrText xml:space="preserve"> REF _Ref5891 \r \h  \* MERGEFORMAT</w:instrText>
      </w:r>
      <w:r>
        <w:rPr>
          <w:b w:val="0"/>
          <w:bCs w:val="0"/>
          <w:vertAlign w:val="superscript"/>
        </w:rPr>
        <w:fldChar w:fldCharType="separate"/>
      </w:r>
      <w:r>
        <w:rPr>
          <w:b w:val="0"/>
          <w:bCs w:val="0"/>
          <w:vertAlign w:val="superscript"/>
        </w:rPr>
        <w:t>[28]</w:t>
      </w:r>
      <w:r>
        <w:rPr>
          <w:b w:val="0"/>
          <w:bCs w:val="0"/>
          <w:vertAlign w:val="superscript"/>
        </w:rPr>
        <w:fldChar w:fldCharType="end"/>
      </w:r>
      <w:r>
        <w:rPr>
          <w:b w:val="0"/>
          <w:bCs w:val="0"/>
          <w:vertAlign w:val="superscript"/>
        </w:rPr>
        <w:fldChar w:fldCharType="begin"/>
      </w:r>
      <w:r>
        <w:rPr>
          <w:b w:val="0"/>
          <w:bCs w:val="0"/>
        </w:rPr>
        <w:instrText xml:space="preserve"> REF _Ref5979 \r \h  \* MERGEFORMAT</w:instrText>
      </w:r>
      <w:r>
        <w:rPr>
          <w:b w:val="0"/>
          <w:bCs w:val="0"/>
          <w:vertAlign w:val="superscript"/>
        </w:rPr>
        <w:fldChar w:fldCharType="separate"/>
      </w:r>
      <w:r>
        <w:rPr>
          <w:b w:val="0"/>
          <w:bCs w:val="0"/>
          <w:vertAlign w:val="superscript"/>
        </w:rPr>
        <w:t>[30]</w:t>
      </w:r>
      <w:r>
        <w:rPr>
          <w:b w:val="0"/>
          <w:bCs w:val="0"/>
          <w:vertAlign w:val="superscript"/>
        </w:rPr>
        <w:fldChar w:fldCharType="end"/>
      </w:r>
      <w:r>
        <w:rPr>
          <w:b w:val="0"/>
          <w:bCs w:val="0"/>
          <w:vertAlign w:val="superscript"/>
        </w:rPr>
        <w:fldChar w:fldCharType="begin"/>
      </w:r>
      <w:r>
        <w:rPr>
          <w:b w:val="0"/>
          <w:bCs w:val="0"/>
        </w:rPr>
        <w:instrText xml:space="preserve"> REF _Ref6015 \r \h  \* MERGEFORMAT</w:instrText>
      </w:r>
      <w:r>
        <w:rPr>
          <w:b w:val="0"/>
          <w:bCs w:val="0"/>
          <w:vertAlign w:val="superscript"/>
        </w:rPr>
        <w:fldChar w:fldCharType="separate"/>
      </w:r>
      <w:r>
        <w:rPr>
          <w:b w:val="0"/>
          <w:bCs w:val="0"/>
          <w:vertAlign w:val="superscript"/>
        </w:rPr>
        <w:t>[31]</w:t>
      </w:r>
      <w:r>
        <w:rPr>
          <w:b w:val="0"/>
          <w:bCs w:val="0"/>
          <w:vertAlign w:val="superscript"/>
        </w:rPr>
        <w:fldChar w:fldCharType="end"/>
      </w:r>
      <w:r>
        <w:rPr>
          <w:b w:val="0"/>
          <w:bCs w:val="0"/>
        </w:rPr>
        <w:t>。</w:t>
      </w:r>
    </w:p>
    <w:p w14:paraId="0003355F">
      <w:pPr>
        <w:ind w:firstLine="482"/>
        <w:rPr>
          <w:b/>
          <w:bCs/>
        </w:rPr>
      </w:pPr>
      <w:r>
        <w:rPr>
          <w:b/>
          <w:bCs/>
        </w:rPr>
        <w:t>（2）现存核心问题提炼</w:t>
      </w:r>
    </w:p>
    <w:p w14:paraId="6B7277A0">
      <w:pPr>
        <w:ind w:firstLine="480"/>
        <w:rPr>
          <w:rFonts w:hint="eastAsia"/>
          <w:b w:val="0"/>
          <w:bCs w:val="0"/>
        </w:rPr>
      </w:pPr>
      <w:r>
        <w:rPr>
          <w:rFonts w:hint="eastAsia"/>
          <w:b w:val="0"/>
          <w:bCs w:val="0"/>
        </w:rPr>
        <w:t>尽管当前进展显著，但在真实工业现场应用中仍面临若干难题。</w:t>
      </w:r>
    </w:p>
    <w:p w14:paraId="3FEBBC08">
      <w:pPr>
        <w:ind w:firstLine="480"/>
        <w:rPr>
          <w:b w:val="0"/>
          <w:bCs w:val="0"/>
        </w:rPr>
      </w:pPr>
      <w:r>
        <w:rPr>
          <w:rFonts w:hint="eastAsia"/>
          <w:b w:val="0"/>
          <w:bCs w:val="0"/>
        </w:rPr>
        <w:t>早期微弱退化特征的识别长期存在困难。轴承早期故障信号实在太弱了，</w:t>
      </w:r>
      <w:r>
        <w:rPr>
          <w:rFonts w:hint="eastAsia"/>
          <w:b w:val="0"/>
          <w:bCs w:val="0"/>
          <w:lang w:val="en-US" w:eastAsia="zh-CN"/>
        </w:rPr>
        <w:t>所以</w:t>
      </w:r>
      <w:r>
        <w:rPr>
          <w:rFonts w:hint="eastAsia"/>
          <w:b w:val="0"/>
          <w:bCs w:val="0"/>
        </w:rPr>
        <w:t>很容易被强背景噪声整个吞掉，现有方法在这个阶段的识别精度普遍偏低，距离可靠的事先预警仍有</w:t>
      </w:r>
      <w:r>
        <w:rPr>
          <w:rFonts w:hint="eastAsia"/>
          <w:b w:val="0"/>
          <w:bCs w:val="0"/>
          <w:lang w:val="en-US" w:eastAsia="zh-CN"/>
        </w:rPr>
        <w:t>一些</w:t>
      </w:r>
      <w:r>
        <w:rPr>
          <w:rFonts w:hint="eastAsia"/>
          <w:b w:val="0"/>
          <w:bCs w:val="0"/>
        </w:rPr>
        <w:t>差距</w:t>
      </w:r>
      <w:r>
        <w:rPr>
          <w:b w:val="0"/>
          <w:bCs w:val="0"/>
          <w:vertAlign w:val="superscript"/>
        </w:rPr>
        <w:fldChar w:fldCharType="begin"/>
      </w:r>
      <w:r>
        <w:rPr>
          <w:b w:val="0"/>
          <w:bCs w:val="0"/>
        </w:rPr>
        <w:instrText xml:space="preserve"> REF _Ref5280 \r \h  \* MERGEFORMAT</w:instrText>
      </w:r>
      <w:r>
        <w:rPr>
          <w:b w:val="0"/>
          <w:bCs w:val="0"/>
          <w:vertAlign w:val="superscript"/>
        </w:rPr>
        <w:fldChar w:fldCharType="separate"/>
      </w:r>
      <w:r>
        <w:rPr>
          <w:b w:val="0"/>
          <w:bCs w:val="0"/>
          <w:vertAlign w:val="superscript"/>
        </w:rPr>
        <w:t>[14]</w:t>
      </w:r>
      <w:r>
        <w:rPr>
          <w:b w:val="0"/>
          <w:bCs w:val="0"/>
          <w:vertAlign w:val="superscript"/>
        </w:rPr>
        <w:fldChar w:fldCharType="end"/>
      </w:r>
      <w:r>
        <w:rPr>
          <w:b w:val="0"/>
          <w:bCs w:val="0"/>
          <w:vertAlign w:val="superscript"/>
        </w:rPr>
        <w:fldChar w:fldCharType="begin"/>
      </w:r>
      <w:r>
        <w:rPr>
          <w:b w:val="0"/>
          <w:bCs w:val="0"/>
        </w:rPr>
        <w:instrText xml:space="preserve"> REF _Ref5496 \r \h  \* MERGEFORMAT</w:instrText>
      </w:r>
      <w:r>
        <w:rPr>
          <w:b w:val="0"/>
          <w:bCs w:val="0"/>
          <w:vertAlign w:val="superscript"/>
        </w:rPr>
        <w:fldChar w:fldCharType="separate"/>
      </w:r>
      <w:r>
        <w:rPr>
          <w:b w:val="0"/>
          <w:bCs w:val="0"/>
          <w:vertAlign w:val="superscript"/>
        </w:rPr>
        <w:t>[19]</w:t>
      </w:r>
      <w:r>
        <w:rPr>
          <w:b w:val="0"/>
          <w:bCs w:val="0"/>
          <w:vertAlign w:val="superscript"/>
        </w:rPr>
        <w:fldChar w:fldCharType="end"/>
      </w:r>
      <w:r>
        <w:rPr>
          <w:b w:val="0"/>
          <w:bCs w:val="0"/>
          <w:vertAlign w:val="superscript"/>
        </w:rPr>
        <w:fldChar w:fldCharType="begin"/>
      </w:r>
      <w:r>
        <w:rPr>
          <w:b w:val="0"/>
          <w:bCs w:val="0"/>
        </w:rPr>
        <w:instrText xml:space="preserve"> REF _Ref15155 \r \h  \* MERGEFORMAT</w:instrText>
      </w:r>
      <w:r>
        <w:rPr>
          <w:b w:val="0"/>
          <w:bCs w:val="0"/>
          <w:vertAlign w:val="superscript"/>
        </w:rPr>
        <w:fldChar w:fldCharType="separate"/>
      </w:r>
      <w:r>
        <w:rPr>
          <w:b w:val="0"/>
          <w:bCs w:val="0"/>
          <w:vertAlign w:val="superscript"/>
        </w:rPr>
        <w:t>[50]</w:t>
      </w:r>
      <w:r>
        <w:rPr>
          <w:b w:val="0"/>
          <w:bCs w:val="0"/>
          <w:vertAlign w:val="superscript"/>
        </w:rPr>
        <w:fldChar w:fldCharType="end"/>
      </w:r>
      <w:r>
        <w:rPr>
          <w:b w:val="0"/>
          <w:bCs w:val="0"/>
        </w:rPr>
        <w:t>。</w:t>
      </w:r>
    </w:p>
    <w:p w14:paraId="7CDED036">
      <w:pPr>
        <w:ind w:firstLine="480"/>
        <w:rPr>
          <w:rFonts w:hint="eastAsia"/>
          <w:b w:val="0"/>
          <w:bCs w:val="0"/>
        </w:rPr>
      </w:pPr>
      <w:r>
        <w:rPr>
          <w:rFonts w:hint="eastAsia"/>
          <w:b w:val="0"/>
          <w:bCs w:val="0"/>
        </w:rPr>
        <w:t>跨工况泛化能力不足</w:t>
      </w:r>
      <w:r>
        <w:rPr>
          <w:rFonts w:hint="eastAsia"/>
          <w:b w:val="0"/>
          <w:bCs w:val="0"/>
          <w:lang w:val="en-US" w:eastAsia="zh-CN"/>
        </w:rPr>
        <w:t>是</w:t>
      </w:r>
      <w:r>
        <w:rPr>
          <w:rFonts w:hint="eastAsia"/>
          <w:b w:val="0"/>
          <w:bCs w:val="0"/>
        </w:rPr>
        <w:t>做这项研究时的一个痛</w:t>
      </w:r>
      <w:r>
        <w:rPr>
          <w:rFonts w:hint="eastAsia"/>
          <w:b w:val="0"/>
          <w:bCs w:val="0"/>
          <w:lang w:val="en-US" w:eastAsia="zh-CN"/>
        </w:rPr>
        <w:t>难</w:t>
      </w:r>
      <w:r>
        <w:rPr>
          <w:rFonts w:hint="eastAsia"/>
          <w:b w:val="0"/>
          <w:bCs w:val="0"/>
        </w:rPr>
        <w:t>点。实际工业场景里，轴承几乎不可能只在一种固定工况下跑，转速、载荷一变，寿命跨度、退化速率和故障演化模式全</w:t>
      </w:r>
      <w:r>
        <w:rPr>
          <w:rFonts w:hint="eastAsia"/>
          <w:b w:val="0"/>
          <w:bCs w:val="0"/>
          <w:lang w:val="en-US" w:eastAsia="zh-CN"/>
        </w:rPr>
        <w:t>都</w:t>
      </w:r>
      <w:r>
        <w:rPr>
          <w:rFonts w:hint="eastAsia"/>
          <w:b w:val="0"/>
          <w:bCs w:val="0"/>
        </w:rPr>
        <w:t>跟着变。一个单一工况下训出来的模型，换到没见过的工况时，性能</w:t>
      </w:r>
      <w:r>
        <w:rPr>
          <w:rFonts w:hint="eastAsia"/>
          <w:b w:val="0"/>
          <w:bCs w:val="0"/>
          <w:lang w:val="en-US" w:eastAsia="zh-CN"/>
        </w:rPr>
        <w:t>往往</w:t>
      </w:r>
      <w:r>
        <w:rPr>
          <w:rFonts w:hint="eastAsia"/>
          <w:b w:val="0"/>
          <w:bCs w:val="0"/>
        </w:rPr>
        <w:t>断崖式</w:t>
      </w:r>
      <w:r>
        <w:rPr>
          <w:rFonts w:hint="eastAsia"/>
          <w:b w:val="0"/>
          <w:bCs w:val="0"/>
          <w:lang w:val="en-US" w:eastAsia="zh-CN"/>
        </w:rPr>
        <w:t>变差</w:t>
      </w:r>
      <w:r>
        <w:rPr>
          <w:b w:val="0"/>
          <w:bCs w:val="0"/>
          <w:vertAlign w:val="superscript"/>
        </w:rPr>
        <w:fldChar w:fldCharType="begin"/>
      </w:r>
      <w:r>
        <w:rPr>
          <w:b w:val="0"/>
          <w:bCs w:val="0"/>
        </w:rPr>
        <w:instrText xml:space="preserve"> REF _Ref5574 \r \h  \* MERGEFORMAT</w:instrText>
      </w:r>
      <w:r>
        <w:rPr>
          <w:b w:val="0"/>
          <w:bCs w:val="0"/>
          <w:vertAlign w:val="superscript"/>
        </w:rPr>
        <w:fldChar w:fldCharType="separate"/>
      </w:r>
      <w:r>
        <w:rPr>
          <w:b w:val="0"/>
          <w:bCs w:val="0"/>
          <w:vertAlign w:val="superscript"/>
        </w:rPr>
        <w:t>[21]</w:t>
      </w:r>
      <w:r>
        <w:rPr>
          <w:b w:val="0"/>
          <w:bCs w:val="0"/>
          <w:vertAlign w:val="superscript"/>
        </w:rPr>
        <w:fldChar w:fldCharType="end"/>
      </w:r>
      <w:r>
        <w:rPr>
          <w:b w:val="0"/>
          <w:bCs w:val="0"/>
          <w:vertAlign w:val="superscript"/>
        </w:rPr>
        <w:fldChar w:fldCharType="begin"/>
      </w:r>
      <w:r>
        <w:rPr>
          <w:b w:val="0"/>
          <w:bCs w:val="0"/>
        </w:rPr>
        <w:instrText xml:space="preserve"> REF _Ref5604 \r \h  \* MERGEFORMAT</w:instrText>
      </w:r>
      <w:r>
        <w:rPr>
          <w:b w:val="0"/>
          <w:bCs w:val="0"/>
          <w:vertAlign w:val="superscript"/>
        </w:rPr>
        <w:fldChar w:fldCharType="separate"/>
      </w:r>
      <w:r>
        <w:rPr>
          <w:b w:val="0"/>
          <w:bCs w:val="0"/>
          <w:vertAlign w:val="superscript"/>
        </w:rPr>
        <w:t>[22]</w:t>
      </w:r>
      <w:r>
        <w:rPr>
          <w:b w:val="0"/>
          <w:bCs w:val="0"/>
          <w:vertAlign w:val="superscript"/>
        </w:rPr>
        <w:fldChar w:fldCharType="end"/>
      </w:r>
      <w:r>
        <w:rPr>
          <w:b w:val="0"/>
          <w:bCs w:val="0"/>
          <w:vertAlign w:val="superscript"/>
        </w:rPr>
        <w:fldChar w:fldCharType="begin"/>
      </w:r>
      <w:r>
        <w:rPr>
          <w:b w:val="0"/>
          <w:bCs w:val="0"/>
        </w:rPr>
        <w:instrText xml:space="preserve"> REF _Ref5633 \r \h  \* MERGEFORMAT</w:instrText>
      </w:r>
      <w:r>
        <w:rPr>
          <w:b w:val="0"/>
          <w:bCs w:val="0"/>
          <w:vertAlign w:val="superscript"/>
        </w:rPr>
        <w:fldChar w:fldCharType="separate"/>
      </w:r>
      <w:r>
        <w:rPr>
          <w:b w:val="0"/>
          <w:bCs w:val="0"/>
          <w:vertAlign w:val="superscript"/>
        </w:rPr>
        <w:t>[23]</w:t>
      </w:r>
      <w:r>
        <w:rPr>
          <w:b w:val="0"/>
          <w:bCs w:val="0"/>
          <w:vertAlign w:val="superscript"/>
        </w:rPr>
        <w:fldChar w:fldCharType="end"/>
      </w:r>
      <w:r>
        <w:rPr>
          <w:b w:val="0"/>
          <w:bCs w:val="0"/>
          <w:vertAlign w:val="superscript"/>
        </w:rPr>
        <w:fldChar w:fldCharType="begin"/>
      </w:r>
      <w:r>
        <w:rPr>
          <w:b w:val="0"/>
          <w:bCs w:val="0"/>
        </w:rPr>
        <w:instrText xml:space="preserve"> REF _Ref5688 \r \h  \* MERGEFORMAT</w:instrText>
      </w:r>
      <w:r>
        <w:rPr>
          <w:b w:val="0"/>
          <w:bCs w:val="0"/>
          <w:vertAlign w:val="superscript"/>
        </w:rPr>
        <w:fldChar w:fldCharType="separate"/>
      </w:r>
      <w:r>
        <w:rPr>
          <w:b w:val="0"/>
          <w:bCs w:val="0"/>
          <w:vertAlign w:val="superscript"/>
        </w:rPr>
        <w:t>[24]</w:t>
      </w:r>
      <w:r>
        <w:rPr>
          <w:b w:val="0"/>
          <w:bCs w:val="0"/>
          <w:vertAlign w:val="superscript"/>
        </w:rPr>
        <w:fldChar w:fldCharType="end"/>
      </w:r>
      <w:r>
        <w:rPr>
          <w:b w:val="0"/>
          <w:bCs w:val="0"/>
        </w:rPr>
        <w:t>。</w:t>
      </w:r>
      <w:r>
        <w:rPr>
          <w:rFonts w:hint="eastAsia"/>
          <w:b w:val="0"/>
          <w:bCs w:val="0"/>
        </w:rPr>
        <w:t>现有的域适应方法虽然能缓解一些域偏移，但工况差异一旦拉大，效果还是不</w:t>
      </w:r>
      <w:r>
        <w:rPr>
          <w:rFonts w:hint="eastAsia"/>
          <w:b w:val="0"/>
          <w:bCs w:val="0"/>
          <w:lang w:val="en-US" w:eastAsia="zh-CN"/>
        </w:rPr>
        <w:t>太好</w:t>
      </w:r>
      <w:r>
        <w:rPr>
          <w:rFonts w:hint="eastAsia"/>
          <w:b w:val="0"/>
          <w:bCs w:val="0"/>
        </w:rPr>
        <w:t>，</w:t>
      </w:r>
      <w:r>
        <w:rPr>
          <w:rFonts w:hint="eastAsia"/>
          <w:b w:val="0"/>
          <w:bCs w:val="0"/>
          <w:lang w:val="en-US" w:eastAsia="zh-CN"/>
        </w:rPr>
        <w:t>而且</w:t>
      </w:r>
      <w:r>
        <w:rPr>
          <w:rFonts w:hint="eastAsia"/>
          <w:b w:val="0"/>
          <w:bCs w:val="0"/>
        </w:rPr>
        <w:t>多源域融合训练的理论和方法也远谈不上成熟。</w:t>
      </w:r>
    </w:p>
    <w:p w14:paraId="444B1D6E">
      <w:pPr>
        <w:ind w:firstLine="480"/>
        <w:rPr>
          <w:rFonts w:hint="eastAsia"/>
          <w:b w:val="0"/>
          <w:bCs w:val="0"/>
        </w:rPr>
      </w:pPr>
      <w:r>
        <w:rPr>
          <w:rFonts w:hint="eastAsia"/>
          <w:b w:val="0"/>
          <w:bCs w:val="0"/>
        </w:rPr>
        <w:t>RUL标签设计不合理，这个问题比较</w:t>
      </w:r>
      <w:r>
        <w:rPr>
          <w:rFonts w:hint="eastAsia"/>
          <w:b w:val="0"/>
          <w:bCs w:val="0"/>
          <w:lang w:val="en-US" w:eastAsia="zh-CN"/>
        </w:rPr>
        <w:t>难发现</w:t>
      </w:r>
      <w:r>
        <w:rPr>
          <w:rFonts w:hint="eastAsia"/>
          <w:b w:val="0"/>
          <w:bCs w:val="0"/>
        </w:rPr>
        <w:t>，但影响</w:t>
      </w:r>
      <w:r>
        <w:rPr>
          <w:rFonts w:hint="eastAsia"/>
          <w:b w:val="0"/>
          <w:bCs w:val="0"/>
          <w:lang w:val="en-US" w:eastAsia="zh-CN"/>
        </w:rPr>
        <w:t>却</w:t>
      </w:r>
      <w:r>
        <w:rPr>
          <w:rFonts w:hint="eastAsia"/>
          <w:b w:val="0"/>
          <w:bCs w:val="0"/>
        </w:rPr>
        <w:t>是根源性的。大多数研究还在用全生命周期线性递减的标签，等于默认轴承一启动就</w:t>
      </w:r>
      <w:r>
        <w:rPr>
          <w:rFonts w:hint="eastAsia"/>
          <w:b w:val="0"/>
          <w:bCs w:val="0"/>
          <w:lang w:val="en-US" w:eastAsia="zh-CN"/>
        </w:rPr>
        <w:t>开始</w:t>
      </w:r>
      <w:r>
        <w:rPr>
          <w:rFonts w:hint="eastAsia"/>
          <w:b w:val="0"/>
          <w:bCs w:val="0"/>
        </w:rPr>
        <w:t>匀速</w:t>
      </w:r>
      <w:r>
        <w:rPr>
          <w:rFonts w:hint="eastAsia"/>
          <w:b w:val="0"/>
          <w:bCs w:val="0"/>
          <w:lang w:val="en-US" w:eastAsia="zh-CN"/>
        </w:rPr>
        <w:t>减少寿命</w:t>
      </w:r>
      <w:r>
        <w:rPr>
          <w:rFonts w:hint="eastAsia"/>
          <w:b w:val="0"/>
          <w:bCs w:val="0"/>
          <w:lang w:eastAsia="zh-CN"/>
        </w:rPr>
        <w:t>。</w:t>
      </w:r>
      <w:r>
        <w:rPr>
          <w:rFonts w:hint="eastAsia"/>
          <w:b w:val="0"/>
          <w:bCs w:val="0"/>
          <w:lang w:val="en-US" w:eastAsia="zh-CN"/>
        </w:rPr>
        <w:t>但是这</w:t>
      </w:r>
      <w:r>
        <w:rPr>
          <w:rFonts w:hint="eastAsia"/>
          <w:b w:val="0"/>
          <w:bCs w:val="0"/>
        </w:rPr>
        <w:t>跟它“前80%稳定、后20%急变”的实际退化节奏严重对不上，会引入大量系统性误差。到了跨工况场景，不同寿命尺度的标签分布差异还会把这些误差再放大一次</w:t>
      </w:r>
      <w:r>
        <w:rPr>
          <w:b w:val="0"/>
          <w:bCs w:val="0"/>
          <w:vertAlign w:val="superscript"/>
        </w:rPr>
        <w:fldChar w:fldCharType="begin"/>
      </w:r>
      <w:r>
        <w:rPr>
          <w:b w:val="0"/>
          <w:bCs w:val="0"/>
        </w:rPr>
        <w:instrText xml:space="preserve"> REF _Ref5891 \r \h  \* MERGEFORMAT</w:instrText>
      </w:r>
      <w:r>
        <w:rPr>
          <w:b w:val="0"/>
          <w:bCs w:val="0"/>
          <w:vertAlign w:val="superscript"/>
        </w:rPr>
        <w:fldChar w:fldCharType="separate"/>
      </w:r>
      <w:r>
        <w:rPr>
          <w:b w:val="0"/>
          <w:bCs w:val="0"/>
          <w:vertAlign w:val="superscript"/>
        </w:rPr>
        <w:t>[28]</w:t>
      </w:r>
      <w:r>
        <w:rPr>
          <w:b w:val="0"/>
          <w:bCs w:val="0"/>
          <w:vertAlign w:val="superscript"/>
        </w:rPr>
        <w:fldChar w:fldCharType="end"/>
      </w:r>
      <w:r>
        <w:rPr>
          <w:b w:val="0"/>
          <w:bCs w:val="0"/>
          <w:vertAlign w:val="superscript"/>
        </w:rPr>
        <w:fldChar w:fldCharType="begin"/>
      </w:r>
      <w:r>
        <w:rPr>
          <w:b w:val="0"/>
          <w:bCs w:val="0"/>
        </w:rPr>
        <w:instrText xml:space="preserve"> REF _Ref22549 \r \h  \* MERGEFORMAT</w:instrText>
      </w:r>
      <w:r>
        <w:rPr>
          <w:b w:val="0"/>
          <w:bCs w:val="0"/>
          <w:vertAlign w:val="superscript"/>
        </w:rPr>
        <w:fldChar w:fldCharType="separate"/>
      </w:r>
      <w:r>
        <w:rPr>
          <w:b w:val="0"/>
          <w:bCs w:val="0"/>
          <w:vertAlign w:val="superscript"/>
        </w:rPr>
        <w:t>[51]</w:t>
      </w:r>
      <w:r>
        <w:rPr>
          <w:b w:val="0"/>
          <w:bCs w:val="0"/>
          <w:vertAlign w:val="superscript"/>
        </w:rPr>
        <w:fldChar w:fldCharType="end"/>
      </w:r>
      <w:r>
        <w:rPr>
          <w:b w:val="0"/>
          <w:bCs w:val="0"/>
        </w:rPr>
        <w:t>。</w:t>
      </w:r>
      <w:r>
        <w:rPr>
          <w:rFonts w:hint="eastAsia"/>
          <w:b w:val="0"/>
          <w:bCs w:val="0"/>
        </w:rPr>
        <w:t>分段线性标签这类改进方案虽然已经有人提了，但标签设计的理论依据和更系统的优化方法，还有不少值得</w:t>
      </w:r>
      <w:r>
        <w:rPr>
          <w:rFonts w:hint="eastAsia"/>
          <w:b w:val="0"/>
          <w:bCs w:val="0"/>
          <w:lang w:val="en-US" w:eastAsia="zh-CN"/>
        </w:rPr>
        <w:t>深入研究</w:t>
      </w:r>
      <w:r>
        <w:rPr>
          <w:rFonts w:hint="eastAsia"/>
          <w:b w:val="0"/>
          <w:bCs w:val="0"/>
        </w:rPr>
        <w:t>的地方。</w:t>
      </w:r>
    </w:p>
    <w:p w14:paraId="12C1B420">
      <w:pPr>
        <w:ind w:firstLine="480"/>
      </w:pPr>
      <w:r>
        <w:rPr>
          <w:rFonts w:hint="eastAsia"/>
        </w:rPr>
        <w:t>模型可解释性和不确定性量化，是工业界一直不太满意的地方。深度学习模型在工程师眼里就是个黑箱，很难问出个“为什么”和“有多大把握”。多数工作也只盯着点预测的精度，预测结果里的不确定性到底分布成什么样、在不同工况下怎么变，回答得很不够——而这些恰恰是运维决策最需要的风险参考</w:t>
      </w:r>
      <w:r>
        <w:rPr>
          <w:vertAlign w:val="superscript"/>
        </w:rPr>
        <w:fldChar w:fldCharType="begin"/>
      </w:r>
      <w:r>
        <w:instrText xml:space="preserve"> REF _Ref5342 \r \h  \* MERGEFORMAT</w:instrText>
      </w:r>
      <w:r>
        <w:rPr>
          <w:vertAlign w:val="superscript"/>
        </w:rPr>
        <w:fldChar w:fldCharType="separate"/>
      </w:r>
      <w:r>
        <w:rPr>
          <w:vertAlign w:val="superscript"/>
        </w:rPr>
        <w:t>[16]</w:t>
      </w:r>
      <w:r>
        <w:rPr>
          <w:vertAlign w:val="superscript"/>
        </w:rPr>
        <w:fldChar w:fldCharType="end"/>
      </w:r>
      <w:r>
        <w:rPr>
          <w:vertAlign w:val="superscript"/>
        </w:rPr>
        <w:fldChar w:fldCharType="begin"/>
      </w:r>
      <w:r>
        <w:instrText xml:space="preserve"> REF _Ref5783 \r \h  \* MERGEFORMAT</w:instrText>
      </w:r>
      <w:r>
        <w:rPr>
          <w:vertAlign w:val="superscript"/>
        </w:rPr>
        <w:fldChar w:fldCharType="separate"/>
      </w:r>
      <w:r>
        <w:rPr>
          <w:vertAlign w:val="superscript"/>
        </w:rPr>
        <w:t>[26]</w:t>
      </w:r>
      <w:r>
        <w:rPr>
          <w:vertAlign w:val="superscript"/>
        </w:rPr>
        <w:fldChar w:fldCharType="end"/>
      </w:r>
      <w:r>
        <w:rPr>
          <w:vertAlign w:val="superscript"/>
        </w:rPr>
        <w:fldChar w:fldCharType="begin"/>
      </w:r>
      <w:r>
        <w:instrText xml:space="preserve"> REF _Ref6015 \r \h  \* MERGEFORMAT</w:instrText>
      </w:r>
      <w:r>
        <w:rPr>
          <w:vertAlign w:val="superscript"/>
        </w:rPr>
        <w:fldChar w:fldCharType="separate"/>
      </w:r>
      <w:r>
        <w:rPr>
          <w:vertAlign w:val="superscript"/>
        </w:rPr>
        <w:t>[31]</w:t>
      </w:r>
      <w:r>
        <w:rPr>
          <w:vertAlign w:val="superscript"/>
        </w:rPr>
        <w:fldChar w:fldCharType="end"/>
      </w:r>
      <w:r>
        <w:t>。</w:t>
      </w:r>
    </w:p>
    <w:p w14:paraId="2C27F23D">
      <w:pPr>
        <w:ind w:firstLine="480"/>
      </w:pPr>
      <w:r>
        <w:rPr>
          <w:rFonts w:hint="eastAsia"/>
        </w:rPr>
        <w:t>小样本与数据稀缺，是另一重现实</w:t>
      </w:r>
      <w:r>
        <w:rPr>
          <w:rFonts w:hint="eastAsia"/>
          <w:lang w:val="en-US" w:eastAsia="zh-CN"/>
        </w:rPr>
        <w:t>难题</w:t>
      </w:r>
      <w:r>
        <w:rPr>
          <w:rFonts w:hint="eastAsia"/>
        </w:rPr>
        <w:t>。工业上获取全寿命的轴承失效数据成本极高、周期又长，真正可用的标注数据少得可怜，而现有模型在这种条件下泛化能力明显撑不住</w:t>
      </w:r>
      <w:r>
        <w:rPr>
          <w:vertAlign w:val="superscript"/>
        </w:rPr>
        <w:fldChar w:fldCharType="begin"/>
      </w:r>
      <w:r>
        <w:instrText xml:space="preserve"> REF _Ref5310 \r \h  \* MERGEFORMAT</w:instrText>
      </w:r>
      <w:r>
        <w:rPr>
          <w:vertAlign w:val="superscript"/>
        </w:rPr>
        <w:fldChar w:fldCharType="separate"/>
      </w:r>
      <w:r>
        <w:rPr>
          <w:vertAlign w:val="superscript"/>
        </w:rPr>
        <w:t>[15]</w:t>
      </w:r>
      <w:r>
        <w:rPr>
          <w:vertAlign w:val="superscript"/>
        </w:rPr>
        <w:fldChar w:fldCharType="end"/>
      </w:r>
      <w:r>
        <w:rPr>
          <w:vertAlign w:val="superscript"/>
        </w:rPr>
        <w:fldChar w:fldCharType="begin"/>
      </w:r>
      <w:r>
        <w:instrText xml:space="preserve"> REF _Ref5633 \r \h  \* MERGEFORMAT</w:instrText>
      </w:r>
      <w:r>
        <w:rPr>
          <w:vertAlign w:val="superscript"/>
        </w:rPr>
        <w:fldChar w:fldCharType="separate"/>
      </w:r>
      <w:r>
        <w:rPr>
          <w:vertAlign w:val="superscript"/>
        </w:rPr>
        <w:t>[23]</w:t>
      </w:r>
      <w:r>
        <w:rPr>
          <w:vertAlign w:val="superscript"/>
        </w:rPr>
        <w:fldChar w:fldCharType="end"/>
      </w:r>
      <w:r>
        <w:rPr>
          <w:vertAlign w:val="superscript"/>
        </w:rPr>
        <w:fldChar w:fldCharType="begin"/>
      </w:r>
      <w:r>
        <w:instrText xml:space="preserve"> REF _Ref5724 \r \h  \* MERGEFORMAT</w:instrText>
      </w:r>
      <w:r>
        <w:rPr>
          <w:vertAlign w:val="superscript"/>
        </w:rPr>
        <w:fldChar w:fldCharType="separate"/>
      </w:r>
      <w:r>
        <w:rPr>
          <w:vertAlign w:val="superscript"/>
        </w:rPr>
        <w:t>[25]</w:t>
      </w:r>
      <w:r>
        <w:rPr>
          <w:vertAlign w:val="superscript"/>
        </w:rPr>
        <w:fldChar w:fldCharType="end"/>
      </w:r>
      <w:r>
        <w:t>。</w:t>
      </w:r>
      <w:r>
        <w:rPr>
          <w:rFonts w:hint="eastAsia"/>
        </w:rPr>
        <w:t>自监督学习、元学习这些</w:t>
      </w:r>
      <w:r>
        <w:rPr>
          <w:rFonts w:hint="eastAsia"/>
          <w:lang w:val="en-US" w:eastAsia="zh-CN"/>
        </w:rPr>
        <w:t>方法</w:t>
      </w:r>
      <w:r>
        <w:rPr>
          <w:rFonts w:hint="eastAsia"/>
        </w:rPr>
        <w:t>倒是给了些希望，可放在滚动轴承RUL预测这个具体领域里，</w:t>
      </w:r>
      <w:r>
        <w:rPr>
          <w:rFonts w:hint="eastAsia"/>
          <w:lang w:val="en-US" w:eastAsia="zh-CN"/>
        </w:rPr>
        <w:t>但它仍</w:t>
      </w:r>
      <w:r>
        <w:rPr>
          <w:rFonts w:hint="eastAsia"/>
        </w:rPr>
        <w:t>处于相当早期的摸索阶段。</w:t>
      </w:r>
    </w:p>
    <w:p w14:paraId="1384D3FF">
      <w:pPr>
        <w:ind w:firstLine="480"/>
      </w:pPr>
      <w:r>
        <w:br w:type="page"/>
      </w:r>
    </w:p>
    <w:p w14:paraId="5D064411">
      <w:pPr>
        <w:pStyle w:val="3"/>
        <w:spacing w:before="120" w:after="120"/>
      </w:pPr>
      <w:bookmarkStart w:id="17" w:name="_Toc25081"/>
      <w:bookmarkStart w:id="18" w:name="_Toc15365"/>
      <w:r>
        <w:t>1.3 技术路线</w:t>
      </w:r>
      <w:bookmarkEnd w:id="17"/>
      <w:bookmarkEnd w:id="18"/>
    </w:p>
    <w:p w14:paraId="546E1D76">
      <w:pPr>
        <w:ind w:firstLine="480"/>
      </w:pPr>
      <w:r>
        <w:t>本文的技术路线如图1-1所示。</w:t>
      </w:r>
    </w:p>
    <w:p w14:paraId="773D1341">
      <w:pPr>
        <w:spacing w:line="240" w:lineRule="auto"/>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5272405" cy="7150735"/>
            <wp:effectExtent l="0" t="0" r="635" b="12065"/>
            <wp:docPr id="2" name="图片 2" descr="技术路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技术路线图"/>
                    <pic:cNvPicPr>
                      <a:picLocks noChangeAspect="1"/>
                    </pic:cNvPicPr>
                  </pic:nvPicPr>
                  <pic:blipFill>
                    <a:blip r:embed="rId24"/>
                    <a:stretch>
                      <a:fillRect/>
                    </a:stretch>
                  </pic:blipFill>
                  <pic:spPr>
                    <a:xfrm>
                      <a:off x="0" y="0"/>
                      <a:ext cx="5272405" cy="7150735"/>
                    </a:xfrm>
                    <a:prstGeom prst="rect">
                      <a:avLst/>
                    </a:prstGeom>
                  </pic:spPr>
                </pic:pic>
              </a:graphicData>
            </a:graphic>
          </wp:inline>
        </w:drawing>
      </w:r>
    </w:p>
    <w:p w14:paraId="1F6D172E">
      <w:pPr>
        <w:pStyle w:val="8"/>
        <w:rPr>
          <w:rFonts w:ascii="Times New Roman" w:hAnsi="Times New Roman"/>
        </w:rPr>
      </w:pPr>
      <w:r>
        <w:rPr>
          <w:rFonts w:ascii="Times New Roman" w:hAnsi="Times New Roman"/>
        </w:rPr>
        <w:t>图 1-</w:t>
      </w:r>
      <w:r>
        <w:rPr>
          <w:rFonts w:ascii="Times New Roman" w:hAnsi="Times New Roman"/>
        </w:rPr>
        <w:fldChar w:fldCharType="begin"/>
      </w:r>
      <w:r>
        <w:rPr>
          <w:rFonts w:ascii="Times New Roman" w:hAnsi="Times New Roman"/>
        </w:rPr>
        <w:instrText xml:space="preserve"> SEQ 图 \* ARABIC \s 1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bookmarkStart w:id="19" w:name="_Toc7407"/>
      <w:r>
        <w:rPr>
          <w:rFonts w:ascii="Times New Roman" w:hAnsi="Times New Roman"/>
        </w:rPr>
        <w:t xml:space="preserve"> 技术路线图</w:t>
      </w:r>
      <w:bookmarkEnd w:id="19"/>
    </w:p>
    <w:p w14:paraId="371EF4FC">
      <w:pPr>
        <w:ind w:firstLine="480"/>
      </w:pPr>
      <w:r>
        <w:br w:type="page"/>
      </w:r>
    </w:p>
    <w:p w14:paraId="4B40AF63">
      <w:pPr>
        <w:bidi w:val="0"/>
        <w:rPr>
          <w:rFonts w:hint="eastAsia"/>
        </w:rPr>
      </w:pPr>
      <w:bookmarkStart w:id="20" w:name="_Toc24079"/>
      <w:r>
        <w:rPr>
          <w:rFonts w:hint="eastAsia"/>
        </w:rPr>
        <w:t>整个工作的推进大致分</w:t>
      </w:r>
      <w:r>
        <w:rPr>
          <w:rFonts w:hint="eastAsia"/>
          <w:lang w:val="en-US" w:eastAsia="zh-CN"/>
        </w:rPr>
        <w:t>为</w:t>
      </w:r>
      <w:r>
        <w:rPr>
          <w:rFonts w:hint="eastAsia"/>
        </w:rPr>
        <w:t>三步。</w:t>
      </w:r>
    </w:p>
    <w:p w14:paraId="1E032184">
      <w:pPr>
        <w:bidi w:val="0"/>
        <w:rPr>
          <w:rFonts w:hint="eastAsia"/>
          <w:b/>
          <w:bCs/>
        </w:rPr>
      </w:pPr>
      <w:r>
        <w:rPr>
          <w:rFonts w:hint="eastAsia"/>
          <w:b/>
          <w:bCs/>
        </w:rPr>
        <w:t>（1）基础理论与研究准备阶段</w:t>
      </w:r>
    </w:p>
    <w:p w14:paraId="24614C25">
      <w:pPr>
        <w:bidi w:val="0"/>
        <w:rPr>
          <w:rFonts w:hint="eastAsia"/>
        </w:rPr>
      </w:pPr>
      <w:r>
        <w:rPr>
          <w:rFonts w:hint="eastAsia"/>
        </w:rPr>
        <w:t>以深度学习、故障诊断和可靠性工程为理论基础，系统梳理了轴承寿命预测、注意力机制应用以及多工况适应性方面的已有工作，搞清楚当前卡在哪些地方、该往哪个方向改，给后面的模型设计和实验打个底。</w:t>
      </w:r>
    </w:p>
    <w:p w14:paraId="398968E1">
      <w:pPr>
        <w:bidi w:val="0"/>
        <w:rPr>
          <w:rFonts w:hint="eastAsia"/>
          <w:b/>
          <w:bCs/>
        </w:rPr>
      </w:pPr>
      <w:r>
        <w:rPr>
          <w:rFonts w:hint="eastAsia"/>
          <w:b/>
          <w:bCs/>
        </w:rPr>
        <w:t>（2）模型构建与数据预处理阶段</w:t>
      </w:r>
    </w:p>
    <w:p w14:paraId="43BF5EE2">
      <w:pPr>
        <w:bidi w:val="0"/>
        <w:rPr>
          <w:rFonts w:hint="eastAsia"/>
        </w:rPr>
      </w:pPr>
      <w:r>
        <w:rPr>
          <w:rFonts w:hint="eastAsia"/>
        </w:rPr>
        <w:t>数据</w:t>
      </w:r>
      <w:r>
        <w:rPr>
          <w:rFonts w:hint="eastAsia"/>
          <w:lang w:val="en-US" w:eastAsia="zh-CN"/>
        </w:rPr>
        <w:t>上</w:t>
      </w:r>
      <w:r>
        <w:rPr>
          <w:rFonts w:hint="eastAsia"/>
        </w:rPr>
        <w:t>，用XJTU-SY数据集三种工况下15个轴承的全寿命振动信号。先对每个样本做32768点FFT，取水平和垂直方向各64维频域幅值，凑出128维频域特征；同时提取时域统计、频域统计、小波包能量、熵等42维多域特征，再用mRMR筛出跟退化最相关的12维，拼上那128维频域特征，最终形成一个140维的特征向量。</w:t>
      </w:r>
    </w:p>
    <w:p w14:paraId="16E43B54">
      <w:pPr>
        <w:bidi w:val="0"/>
        <w:rPr>
          <w:rFonts w:hint="eastAsia"/>
        </w:rPr>
      </w:pPr>
      <w:r>
        <w:rPr>
          <w:rFonts w:hint="eastAsia"/>
        </w:rPr>
        <w:t>标签</w:t>
      </w:r>
      <w:r>
        <w:rPr>
          <w:rFonts w:hint="eastAsia"/>
          <w:lang w:val="en-US" w:eastAsia="zh-CN"/>
        </w:rPr>
        <w:t>上</w:t>
      </w:r>
      <w:r>
        <w:rPr>
          <w:rFonts w:hint="eastAsia"/>
        </w:rPr>
        <w:t>，用PCA对140维特征降维取累积最大值，构建单调递增的健康指标HI。所有数据做全局Z-Score标准化，再以32为窗口长度、步长为1切出时序样本，把输入格式统一好。</w:t>
      </w:r>
    </w:p>
    <w:p w14:paraId="4535DBBC">
      <w:pPr>
        <w:bidi w:val="0"/>
        <w:rPr>
          <w:rFonts w:hint="eastAsia"/>
        </w:rPr>
      </w:pPr>
      <w:r>
        <w:rPr>
          <w:rFonts w:hint="eastAsia"/>
        </w:rPr>
        <w:t>模型上，主体是一维SE-ResNet加两层BiGRU。SE-ResNet里塞了两个残差块，通道数分别是64和128，每个块里嵌了SE注意力模块，用来强化关键退化特征；后面接BiGRU做双向时序建模，隐层维度64，取最后一个时间步的输出过全连接层，直接预测HI。跨工况训练时，在SE-ResNet输出的特征空间上算源域和目标域的MK-MMD损失当作正则项，损失函数用加权MSE，配上ReduceLROnPlateau调度和早停策略来控制训练节奏。</w:t>
      </w:r>
    </w:p>
    <w:p w14:paraId="725AD8A5">
      <w:pPr>
        <w:bidi w:val="0"/>
        <w:rPr>
          <w:rFonts w:hint="eastAsia"/>
          <w:b/>
          <w:bCs/>
        </w:rPr>
      </w:pPr>
      <w:r>
        <w:rPr>
          <w:rFonts w:hint="eastAsia"/>
          <w:b/>
          <w:bCs/>
        </w:rPr>
        <w:t>（3）实验验证与结论总结阶段</w:t>
      </w:r>
    </w:p>
    <w:p w14:paraId="5E4D4BCB">
      <w:pPr>
        <w:bidi w:val="0"/>
        <w:rPr>
          <w:rFonts w:hint="eastAsia"/>
        </w:rPr>
      </w:pPr>
      <w:r>
        <w:rPr>
          <w:rFonts w:hint="eastAsia"/>
        </w:rPr>
        <w:t>验证在XJTU-SY数据集上全流程走了一遍。单工况实验，每种工况下拿轴承1~3当训练集、轴承4做验证、轴承5留作测试，5个种子集成评估。跨工况实验设计了6组单源域和3组双源域迁移任务，源域用轴承1~4训练、轴承5验证，目标域全轴承测试，再基于验证集算缩放因子对测试集预测值做后处理校正。最后从对比实验、消融实验、多工况适应性几个维度，把模型的有效性、泛化性和鲁棒性都过了一遍。</w:t>
      </w:r>
    </w:p>
    <w:p w14:paraId="3FF328E7">
      <w:pPr>
        <w:pStyle w:val="3"/>
        <w:bidi w:val="0"/>
      </w:pPr>
      <w:bookmarkStart w:id="21" w:name="_Toc28210"/>
      <w:r>
        <w:t>1.</w:t>
      </w:r>
      <w:r>
        <w:rPr>
          <w:rFonts w:hint="eastAsia"/>
          <w:lang w:val="en-US" w:eastAsia="zh-CN"/>
        </w:rPr>
        <w:t>4</w:t>
      </w:r>
      <w:r>
        <w:t xml:space="preserve"> </w:t>
      </w:r>
      <w:r>
        <w:rPr>
          <w:color w:val="auto"/>
        </w:rPr>
        <w:t>可能的创新点</w:t>
      </w:r>
      <w:bookmarkEnd w:id="20"/>
      <w:bookmarkEnd w:id="21"/>
    </w:p>
    <w:p w14:paraId="21AF4B22">
      <w:pPr>
        <w:ind w:firstLine="480"/>
        <w:rPr>
          <w:rFonts w:hint="eastAsia"/>
        </w:rPr>
      </w:pPr>
      <w:r>
        <w:rPr>
          <w:rFonts w:hint="eastAsia"/>
        </w:rPr>
        <w:t>本文的在以下几个方面可能有些</w:t>
      </w:r>
      <w:r>
        <w:rPr>
          <w:rFonts w:hint="eastAsia"/>
          <w:lang w:val="en-US" w:eastAsia="zh-CN"/>
        </w:rPr>
        <w:t>创新</w:t>
      </w:r>
      <w:r>
        <w:rPr>
          <w:rFonts w:hint="eastAsia"/>
        </w:rPr>
        <w:t>。</w:t>
      </w:r>
    </w:p>
    <w:p w14:paraId="32D3A254">
      <w:pPr>
        <w:ind w:firstLine="480"/>
        <w:rPr>
          <w:rFonts w:hint="eastAsia"/>
        </w:rPr>
      </w:pPr>
      <w:r>
        <w:rPr>
          <w:rFonts w:hint="eastAsia"/>
        </w:rPr>
        <w:t>一是把SE注意力嵌进残差网络，再跟BiGRU接起来，搭了个端到端的跨工况RUL预测模型。SE模块</w:t>
      </w:r>
      <w:r>
        <w:rPr>
          <w:rFonts w:hint="eastAsia"/>
          <w:lang w:eastAsia="zh-CN"/>
        </w:rPr>
        <w:t>使</w:t>
      </w:r>
      <w:r>
        <w:rPr>
          <w:rFonts w:hint="eastAsia"/>
        </w:rPr>
        <w:t>网络能根据不同工况的输入，自适应地调通道权重</w:t>
      </w:r>
      <w:r>
        <w:rPr>
          <w:rFonts w:hint="eastAsia"/>
          <w:lang w:eastAsia="zh-CN"/>
        </w:rPr>
        <w:t>。</w:t>
      </w:r>
      <w:r>
        <w:rPr>
          <w:rFonts w:hint="eastAsia"/>
        </w:rPr>
        <w:t>BiGRU则靠双向结构把退化过程的时序依赖抓得更全</w:t>
      </w:r>
      <w:r>
        <w:rPr>
          <w:rFonts w:hint="eastAsia"/>
          <w:lang w:val="en-US" w:eastAsia="zh-CN"/>
        </w:rPr>
        <w:t>些</w:t>
      </w:r>
      <w:r>
        <w:rPr>
          <w:rFonts w:hint="eastAsia"/>
        </w:rPr>
        <w:t>，整体上对工况变化的适应性有</w:t>
      </w:r>
      <w:r>
        <w:rPr>
          <w:rFonts w:hint="eastAsia"/>
          <w:lang w:val="en-US" w:eastAsia="zh-CN"/>
        </w:rPr>
        <w:t>些</w:t>
      </w:r>
      <w:r>
        <w:rPr>
          <w:rFonts w:hint="eastAsia"/>
        </w:rPr>
        <w:t>提升。</w:t>
      </w:r>
    </w:p>
    <w:p w14:paraId="26259CBA">
      <w:pPr>
        <w:ind w:firstLine="480"/>
        <w:rPr>
          <w:rFonts w:hint="eastAsia"/>
        </w:rPr>
      </w:pPr>
      <w:r>
        <w:rPr>
          <w:rFonts w:hint="eastAsia"/>
        </w:rPr>
        <w:t>二是在深层特征空间引入了MK-MMD约束，把源域的监督损失和域分布对齐损失联合起来优化，逼着模型去学跟具体工况无关的退化表示，域漂移的问题在一定程度上得到了缓解</w:t>
      </w:r>
      <w:r>
        <w:rPr>
          <w:rFonts w:hint="eastAsia"/>
          <w:lang w:eastAsia="zh-CN"/>
        </w:rPr>
        <w:t>，</w:t>
      </w:r>
      <w:r>
        <w:t>增强</w:t>
      </w:r>
      <w:r>
        <w:rPr>
          <w:rFonts w:hint="eastAsia"/>
          <w:lang w:val="en-US" w:eastAsia="zh-CN"/>
        </w:rPr>
        <w:t>了</w:t>
      </w:r>
      <w:r>
        <w:t>跨工况泛化能力</w:t>
      </w:r>
      <w:r>
        <w:rPr>
          <w:rFonts w:hint="eastAsia"/>
        </w:rPr>
        <w:t>。</w:t>
      </w:r>
    </w:p>
    <w:p w14:paraId="41ECD16E">
      <w:pPr>
        <w:ind w:firstLine="480"/>
      </w:pPr>
      <w:r>
        <w:rPr>
          <w:rFonts w:hint="eastAsia"/>
        </w:rPr>
        <w:t>还有一个比较实用的处理：基于源域验证集算了个缩放因子——就是预测值和真实值的中位数比值——然后用它去线性校正目标域的预测输出。这件事计算量几乎可以忽略，但对</w:t>
      </w:r>
      <w:r>
        <w:rPr>
          <w:rFonts w:hint="eastAsia"/>
          <w:lang w:val="en-US" w:eastAsia="zh-CN"/>
        </w:rPr>
        <w:t>降</w:t>
      </w:r>
      <w:r>
        <w:rPr>
          <w:rFonts w:hint="eastAsia"/>
        </w:rPr>
        <w:t>低跨工况预测里的系统性偏差，</w:t>
      </w:r>
      <w:r>
        <w:rPr>
          <w:rFonts w:hint="eastAsia"/>
          <w:lang w:val="en-US" w:eastAsia="zh-CN"/>
        </w:rPr>
        <w:t>有一些</w:t>
      </w:r>
      <w:r>
        <w:rPr>
          <w:rFonts w:hint="eastAsia"/>
        </w:rPr>
        <w:t>效果。</w:t>
      </w:r>
    </w:p>
    <w:p w14:paraId="352B4726">
      <w:pPr>
        <w:ind w:firstLine="480"/>
      </w:pPr>
      <w:r>
        <w:br w:type="page"/>
      </w:r>
    </w:p>
    <w:p w14:paraId="58553CA4">
      <w:pPr>
        <w:pStyle w:val="2"/>
        <w:spacing w:after="120"/>
        <w:rPr>
          <w:rFonts w:ascii="Times New Roman" w:hAnsi="Times New Roman"/>
        </w:rPr>
      </w:pPr>
      <w:bookmarkStart w:id="22" w:name="_Toc31328"/>
      <w:bookmarkStart w:id="23" w:name="_Toc32620"/>
      <w:r>
        <w:rPr>
          <w:rFonts w:ascii="Times New Roman" w:hAnsi="Times New Roman"/>
        </w:rPr>
        <w:t>滚动轴承退化机理、多工况信号特征与理论基础</w:t>
      </w:r>
      <w:bookmarkEnd w:id="22"/>
      <w:bookmarkEnd w:id="23"/>
    </w:p>
    <w:p w14:paraId="5904567D">
      <w:pPr>
        <w:pStyle w:val="3"/>
        <w:spacing w:before="120" w:after="120"/>
      </w:pPr>
      <w:bookmarkStart w:id="24" w:name="_Toc25889"/>
      <w:bookmarkStart w:id="25" w:name="_Toc31960"/>
      <w:r>
        <w:t>2.1 滚动轴承退化机理与 RUL 预测基本原理</w:t>
      </w:r>
      <w:bookmarkEnd w:id="24"/>
      <w:bookmarkEnd w:id="25"/>
    </w:p>
    <w:p w14:paraId="1676DD5E">
      <w:pPr>
        <w:pStyle w:val="4"/>
        <w:spacing w:before="120" w:after="120"/>
      </w:pPr>
      <w:bookmarkStart w:id="26" w:name="_Toc20656"/>
      <w:bookmarkStart w:id="27" w:name="_Toc9919"/>
      <w:r>
        <w:t>2.1.1 滚动轴承典型失效形式与退化过程</w:t>
      </w:r>
      <w:bookmarkEnd w:id="26"/>
      <w:bookmarkEnd w:id="27"/>
    </w:p>
    <w:p w14:paraId="73840E68">
      <w:pPr>
        <w:ind w:firstLine="480"/>
        <w:jc w:val="both"/>
        <w:rPr>
          <w:rFonts w:hint="eastAsia"/>
        </w:rPr>
      </w:pPr>
      <w:r>
        <w:rPr>
          <w:rFonts w:hint="eastAsia"/>
        </w:rPr>
        <w:t>滚动轴承由内圈、外圈、滚动体和保持架四部分组成，常见的失效形式有疲劳剥落、磨损、塑性变形、腐蚀、断裂和胶合等。这里面，疲劳剥落占了六成以上，是最主要的一种。它的根源是循环接触应力作用下，次表层裂纹慢慢萌生、扩展，最终材料剥落形成点蚀或剥落坑。剥落区一旦扩大，振动和噪声就跟着起来，温度也往上走，直到轴承丧失运转精度或者干脆卡死。</w:t>
      </w:r>
    </w:p>
    <w:p w14:paraId="5D7CC609">
      <w:pPr>
        <w:spacing w:line="240" w:lineRule="auto"/>
        <w:ind w:firstLine="480"/>
        <w:jc w:val="both"/>
        <w:rPr>
          <w:rFonts w:hint="eastAsia"/>
          <w:lang w:eastAsia="zh-CN"/>
        </w:rPr>
      </w:pPr>
      <w:r>
        <w:rPr>
          <w:rFonts w:hint="eastAsia"/>
        </w:rPr>
        <w:t>在轴承加速寿命试验分析中，通常将退化过程划分为四个阶段</w:t>
      </w:r>
      <w:r>
        <w:rPr>
          <w:rFonts w:hint="eastAsia"/>
          <w:vertAlign w:val="superscript"/>
          <w:lang w:eastAsia="zh-CN"/>
        </w:rPr>
        <w:fldChar w:fldCharType="begin"/>
      </w:r>
      <w:r>
        <w:instrText xml:space="preserve"> REF _Ref3500 \r \h  \* MERGEFORMAT</w:instrText>
      </w:r>
      <w:r>
        <w:rPr>
          <w:rFonts w:hint="eastAsia"/>
          <w:vertAlign w:val="superscript"/>
          <w:lang w:eastAsia="zh-CN"/>
        </w:rPr>
        <w:fldChar w:fldCharType="separate"/>
      </w:r>
      <w:r>
        <w:rPr>
          <w:rFonts w:hint="eastAsia"/>
          <w:vertAlign w:val="superscript"/>
          <w:lang w:eastAsia="zh-CN"/>
        </w:rPr>
        <w:t>[1]</w:t>
      </w:r>
      <w:r>
        <w:rPr>
          <w:rFonts w:hint="eastAsia"/>
          <w:vertAlign w:val="superscript"/>
          <w:lang w:eastAsia="zh-CN"/>
        </w:rPr>
        <w:fldChar w:fldCharType="end"/>
      </w:r>
      <w:r>
        <w:rPr>
          <w:rFonts w:hint="eastAsia"/>
          <w:vertAlign w:val="superscript"/>
          <w:lang w:eastAsia="zh-CN"/>
        </w:rPr>
        <w:fldChar w:fldCharType="begin"/>
      </w:r>
      <w:r>
        <w:instrText xml:space="preserve"> REF _Ref4924 \r \h  \* MERGEFORMAT</w:instrText>
      </w:r>
      <w:r>
        <w:rPr>
          <w:rFonts w:hint="eastAsia"/>
          <w:vertAlign w:val="superscript"/>
          <w:lang w:eastAsia="zh-CN"/>
        </w:rPr>
        <w:fldChar w:fldCharType="separate"/>
      </w:r>
      <w:r>
        <w:rPr>
          <w:rFonts w:hint="eastAsia"/>
          <w:vertAlign w:val="superscript"/>
          <w:lang w:eastAsia="zh-CN"/>
        </w:rPr>
        <w:t>[9]</w:t>
      </w:r>
      <w:r>
        <w:rPr>
          <w:rFonts w:hint="eastAsia"/>
          <w:vertAlign w:val="superscript"/>
          <w:lang w:eastAsia="zh-CN"/>
        </w:rPr>
        <w:fldChar w:fldCharType="end"/>
      </w:r>
      <w:r>
        <w:rPr>
          <w:rFonts w:hint="eastAsia"/>
          <w:lang w:eastAsia="zh-CN"/>
        </w:rPr>
        <w:t>，如</w:t>
      </w:r>
      <w:r>
        <w:rPr>
          <w:rFonts w:hint="eastAsia"/>
          <w:lang w:val="en-US" w:eastAsia="zh-CN"/>
        </w:rPr>
        <w:t>下</w:t>
      </w:r>
      <w:r>
        <w:rPr>
          <w:rFonts w:hint="eastAsia"/>
          <w:lang w:eastAsia="zh-CN"/>
        </w:rPr>
        <w:t>图所示。</w:t>
      </w:r>
    </w:p>
    <w:p w14:paraId="125F0DBA">
      <w:pPr>
        <w:spacing w:line="240" w:lineRule="auto"/>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5276850" cy="3947160"/>
            <wp:effectExtent l="0" t="0" r="11430" b="0"/>
            <wp:docPr id="3" name="图片 3"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1"/>
                    <pic:cNvPicPr>
                      <a:picLocks noChangeAspect="1"/>
                    </pic:cNvPicPr>
                  </pic:nvPicPr>
                  <pic:blipFill>
                    <a:blip r:embed="rId25"/>
                    <a:stretch>
                      <a:fillRect/>
                    </a:stretch>
                  </pic:blipFill>
                  <pic:spPr>
                    <a:xfrm>
                      <a:off x="0" y="0"/>
                      <a:ext cx="5276850" cy="3947160"/>
                    </a:xfrm>
                    <a:prstGeom prst="rect">
                      <a:avLst/>
                    </a:prstGeom>
                  </pic:spPr>
                </pic:pic>
              </a:graphicData>
            </a:graphic>
          </wp:inline>
        </w:drawing>
      </w:r>
    </w:p>
    <w:p w14:paraId="0F89FC1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eastAsia="宋体"/>
          <w:lang w:eastAsia="zh-CN"/>
        </w:rPr>
      </w:pPr>
    </w:p>
    <w:p w14:paraId="21170E46">
      <w:pPr>
        <w:pStyle w:val="8"/>
        <w:bidi w:val="0"/>
        <w:rPr>
          <w:rFonts w:hint="eastAsia" w:ascii="宋体" w:hAnsi="宋体" w:eastAsia="宋体" w:cs="宋体"/>
          <w:sz w:val="21"/>
          <w:szCs w:val="21"/>
        </w:rPr>
      </w:pPr>
      <w:r>
        <w:rPr>
          <w:rFonts w:hint="eastAsia" w:ascii="宋体" w:hAnsi="宋体" w:eastAsia="宋体" w:cs="宋体"/>
          <w:sz w:val="21"/>
          <w:szCs w:val="21"/>
        </w:rPr>
        <w:t>图 2-</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图 \* ARABIC \s 1 </w:instrText>
      </w:r>
      <w:r>
        <w:rPr>
          <w:rFonts w:hint="eastAsia" w:ascii="宋体" w:hAnsi="宋体" w:eastAsia="宋体" w:cs="宋体"/>
          <w:sz w:val="21"/>
          <w:szCs w:val="21"/>
        </w:rPr>
        <w:fldChar w:fldCharType="separate"/>
      </w:r>
      <w:r>
        <w:rPr>
          <w:rFonts w:hint="eastAsia" w:ascii="宋体" w:hAnsi="宋体" w:eastAsia="宋体" w:cs="宋体"/>
          <w:sz w:val="21"/>
          <w:szCs w:val="21"/>
        </w:rPr>
        <w:t>1</w:t>
      </w:r>
      <w:r>
        <w:rPr>
          <w:rFonts w:hint="eastAsia" w:ascii="宋体" w:hAnsi="宋体" w:eastAsia="宋体" w:cs="宋体"/>
          <w:sz w:val="21"/>
          <w:szCs w:val="21"/>
        </w:rPr>
        <w:fldChar w:fldCharType="end"/>
      </w:r>
      <w:bookmarkStart w:id="28" w:name="_Toc23710"/>
      <w:r>
        <w:rPr>
          <w:rFonts w:hint="eastAsia" w:ascii="宋体" w:hAnsi="宋体" w:eastAsia="宋体" w:cs="宋体"/>
          <w:sz w:val="21"/>
          <w:szCs w:val="21"/>
        </w:rPr>
        <w:t xml:space="preserve"> 滚动轴承四阶段退化过程时域波形图</w:t>
      </w:r>
      <w:bookmarkEnd w:id="28"/>
    </w:p>
    <w:p w14:paraId="55FD3479">
      <w:pPr>
        <w:ind w:firstLine="480"/>
        <w:rPr>
          <w:rFonts w:hint="eastAsia" w:eastAsia="宋体"/>
          <w:lang w:eastAsia="zh-CN"/>
        </w:rPr>
      </w:pPr>
      <w:r>
        <w:rPr>
          <w:rFonts w:hint="eastAsia"/>
        </w:rPr>
        <w:t>阶段Ⅰ是正常运转期，振动幅值大概在±0.5g，信号以随机噪声为主，频域上还看不出明显的故障特征。进入阶段Ⅱ，也就是早期微弱故障期，信号里开始出现零星的高频冲击尖峰，故障特征频率的幅值开始抬头，但整体变化还很细微。到了阶段Ⅲ，退化明显加快，剥落区继续扩展，冲击能量显著增强，故障特征频率和它的倍频都变得清晰可辨，幅值升到±2g上下。阶段Ⅳ为临近失效期，剥落区急剧扩大，振动幅值剧烈振荡，可达±5g甚至更高，温度迅速升高，轴承在极短时间内完全失效。</w:t>
      </w:r>
    </w:p>
    <w:p w14:paraId="2EB14635">
      <w:pPr>
        <w:ind w:firstLine="480"/>
      </w:pPr>
      <w:r>
        <w:rPr>
          <w:rFonts w:hint="eastAsia"/>
        </w:rPr>
        <w:t>理想的RUL预测，最好</w:t>
      </w:r>
      <w:r>
        <w:rPr>
          <w:rFonts w:hint="eastAsia"/>
          <w:lang w:val="en-US" w:eastAsia="zh-CN"/>
        </w:rPr>
        <w:t>是</w:t>
      </w:r>
      <w:r>
        <w:rPr>
          <w:rFonts w:hint="eastAsia"/>
        </w:rPr>
        <w:t>在阶段Ⅱ或阶段Ⅲ早期就捕捉到这些退化迹象，这样才</w:t>
      </w:r>
      <w:r>
        <w:rPr>
          <w:rFonts w:hint="eastAsia"/>
          <w:lang w:val="en-US" w:eastAsia="zh-CN"/>
        </w:rPr>
        <w:t>可以</w:t>
      </w:r>
      <w:r>
        <w:rPr>
          <w:rFonts w:hint="eastAsia"/>
        </w:rPr>
        <w:t>给维护决策留出足够的时间</w:t>
      </w:r>
      <w:r>
        <w:rPr>
          <w:vertAlign w:val="superscript"/>
        </w:rPr>
        <w:fldChar w:fldCharType="begin"/>
      </w:r>
      <w:r>
        <w:instrText xml:space="preserve"> REF _Ref4777 \r \h  \* MERGEFORMAT</w:instrText>
      </w:r>
      <w:r>
        <w:rPr>
          <w:vertAlign w:val="superscript"/>
        </w:rPr>
        <w:fldChar w:fldCharType="separate"/>
      </w:r>
      <w:r>
        <w:rPr>
          <w:vertAlign w:val="superscript"/>
        </w:rPr>
        <w:t>[7]</w:t>
      </w:r>
      <w:r>
        <w:rPr>
          <w:vertAlign w:val="superscript"/>
        </w:rPr>
        <w:fldChar w:fldCharType="end"/>
      </w:r>
      <w:r>
        <w:t>。</w:t>
      </w:r>
      <w:r>
        <w:rPr>
          <w:rFonts w:hint="eastAsia"/>
        </w:rPr>
        <w:t>不过，在多工况条件下，转速和载荷的变化会调制振动信号的幅值和频率分布，各阶段的特征界限也因此变得模糊起来，这</w:t>
      </w:r>
      <w:r>
        <w:rPr>
          <w:rFonts w:hint="eastAsia"/>
          <w:lang w:val="en-US" w:eastAsia="zh-CN"/>
        </w:rPr>
        <w:t>确实</w:t>
      </w:r>
      <w:r>
        <w:rPr>
          <w:rFonts w:hint="eastAsia"/>
        </w:rPr>
        <w:t>加大了早期退化检测的难度。</w:t>
      </w:r>
    </w:p>
    <w:p w14:paraId="61DF2E87">
      <w:pPr>
        <w:pStyle w:val="4"/>
        <w:spacing w:before="120" w:after="120"/>
      </w:pPr>
      <w:bookmarkStart w:id="29" w:name="_Toc11898"/>
      <w:bookmarkStart w:id="30" w:name="_Toc15747"/>
      <w:r>
        <w:t>2.1.2 滚动轴承RUL预测的基本流程与核心要素</w:t>
      </w:r>
      <w:bookmarkEnd w:id="29"/>
      <w:bookmarkEnd w:id="30"/>
    </w:p>
    <w:p w14:paraId="4A08D1A0">
      <w:pPr>
        <w:ind w:firstLine="480"/>
      </w:pPr>
      <w:r>
        <w:rPr>
          <w:rFonts w:hint="eastAsia"/>
        </w:rPr>
        <w:t>滚动轴承RUL预测这件事，拆开来看，大体上逃不开四个环节——数据采集、特征提取、健康指标构建、剩余寿命预估。这套框架在工业PHM领域基本上已经是共识了</w:t>
      </w:r>
      <w:r>
        <w:rPr>
          <w:vertAlign w:val="superscript"/>
        </w:rPr>
        <w:fldChar w:fldCharType="begin"/>
      </w:r>
      <w:r>
        <w:instrText xml:space="preserve"> REF _Ref3500 \r \h  \* MERGEFORMAT</w:instrText>
      </w:r>
      <w:r>
        <w:rPr>
          <w:vertAlign w:val="superscript"/>
        </w:rPr>
        <w:fldChar w:fldCharType="separate"/>
      </w:r>
      <w:r>
        <w:rPr>
          <w:vertAlign w:val="superscript"/>
        </w:rPr>
        <w:t>[1]</w:t>
      </w:r>
      <w:r>
        <w:rPr>
          <w:vertAlign w:val="superscript"/>
        </w:rPr>
        <w:fldChar w:fldCharType="end"/>
      </w:r>
      <w:r>
        <w:rPr>
          <w:vertAlign w:val="superscript"/>
        </w:rPr>
        <w:fldChar w:fldCharType="begin"/>
      </w:r>
      <w:r>
        <w:instrText xml:space="preserve"> REF _Ref3719 \r \h  \* MERGEFORMAT</w:instrText>
      </w:r>
      <w:r>
        <w:rPr>
          <w:vertAlign w:val="superscript"/>
        </w:rPr>
        <w:fldChar w:fldCharType="separate"/>
      </w:r>
      <w:r>
        <w:rPr>
          <w:vertAlign w:val="superscript"/>
        </w:rPr>
        <w:t>[2]</w:t>
      </w:r>
      <w:r>
        <w:rPr>
          <w:vertAlign w:val="superscript"/>
        </w:rPr>
        <w:fldChar w:fldCharType="end"/>
      </w:r>
      <w:r>
        <w:t>。</w:t>
      </w:r>
    </w:p>
    <w:p w14:paraId="3B03AB4C">
      <w:pPr>
        <w:ind w:firstLine="480"/>
        <w:rPr>
          <w:rFonts w:hint="eastAsia"/>
        </w:rPr>
      </w:pPr>
      <w:r>
        <w:rPr>
          <w:rFonts w:hint="eastAsia"/>
        </w:rPr>
        <w:t>数据采集上，通常是用加速度传感器把轴承全寿命的振动信号录下来。采样频率得满足奈奎斯特定理，一般至少是故障特征频率的10倍。本文用的XJTU-SY数据集采样率是25.6kHz，捕捉轴承早期故障引发的高频共振是够用的。</w:t>
      </w:r>
    </w:p>
    <w:p w14:paraId="43AE5998">
      <w:pPr>
        <w:ind w:firstLine="480"/>
        <w:rPr>
          <w:rFonts w:hint="eastAsia"/>
        </w:rPr>
      </w:pPr>
      <w:r>
        <w:rPr>
          <w:rFonts w:hint="eastAsia"/>
        </w:rPr>
        <w:t>特征提取可以说是整个流程里最吃功夫的一步了。目标就一个：从原始振动信号里把那些对退化敏感的信息挖出来，同时把数据维度</w:t>
      </w:r>
      <w:r>
        <w:rPr>
          <w:rFonts w:hint="eastAsia"/>
          <w:lang w:val="en-US" w:eastAsia="zh-CN"/>
        </w:rPr>
        <w:t>降</w:t>
      </w:r>
      <w:r>
        <w:rPr>
          <w:rFonts w:hint="eastAsia"/>
        </w:rPr>
        <w:t>下去。常用的特征分几大类——时域的有均值、峰值、峭度这些，频域的有频谱幅值、重心频率，时频域的则包括小波包能量、EMD能量熵等。</w:t>
      </w:r>
    </w:p>
    <w:p w14:paraId="1FF3F444">
      <w:pPr>
        <w:ind w:firstLine="480"/>
      </w:pPr>
      <w:r>
        <w:rPr>
          <w:rFonts w:hint="eastAsia"/>
        </w:rPr>
        <w:t>有了特征之后，怎么量化轴承到底“病”到什么程度？这就轮到健康指标HI上场了。一个理想的HI，最好具备三个特点：单调性、趋势性和鲁棒性</w:t>
      </w:r>
      <w:r>
        <w:rPr>
          <w:vertAlign w:val="superscript"/>
        </w:rPr>
        <w:fldChar w:fldCharType="begin"/>
      </w:r>
      <w:r>
        <w:instrText xml:space="preserve"> REF _Ref4846 \r \h  \* MERGEFORMAT</w:instrText>
      </w:r>
      <w:r>
        <w:rPr>
          <w:vertAlign w:val="superscript"/>
        </w:rPr>
        <w:fldChar w:fldCharType="separate"/>
      </w:r>
      <w:r>
        <w:rPr>
          <w:vertAlign w:val="superscript"/>
        </w:rPr>
        <w:t>[8]</w:t>
      </w:r>
      <w:r>
        <w:rPr>
          <w:vertAlign w:val="superscript"/>
        </w:rPr>
        <w:fldChar w:fldCharType="end"/>
      </w:r>
      <w:r>
        <w:t>。</w:t>
      </w:r>
      <w:r>
        <w:rPr>
          <w:rFonts w:hint="eastAsia"/>
        </w:rPr>
        <w:t>构建方法也分好几派，有直接用单一特征（像峭度、RMS）的，有拿多特征做PCA或自编码器降维的，也有</w:t>
      </w:r>
      <w:r>
        <w:rPr>
          <w:rFonts w:hint="eastAsia"/>
          <w:lang w:eastAsia="zh-CN"/>
        </w:rPr>
        <w:t>使</w:t>
      </w:r>
      <w:r>
        <w:rPr>
          <w:rFonts w:hint="eastAsia"/>
        </w:rPr>
        <w:t>深度网络端到端直接输出HI的。本论文采用的方式是PCA融合多域特征再取累积最大值，这能保证HI是单调递增的，物理上也比较直观——轴承只会越用越坏，不会往回走。</w:t>
      </w:r>
    </w:p>
    <w:p w14:paraId="6CEE966A">
      <w:pPr>
        <w:ind w:firstLine="480"/>
      </w:pPr>
      <w:r>
        <w:rPr>
          <w:rFonts w:hint="eastAsia"/>
        </w:rPr>
        <w:t>最后一步是剩余寿命预估。有了HI曲线之后，要么去拟合退化轨迹，要么建个时序映射模型，预测HI什么时候会达到失效阈值。</w:t>
      </w:r>
      <w:r>
        <w:t>设当前时刻为t，预测HI为</w:t>
      </w:r>
      <w:r>
        <w:rPr>
          <w:position w:val="-6"/>
        </w:rPr>
        <w:object>
          <v:shape id="_x0000_i1026" o:spt="75" type="#_x0000_t75" style="height:17pt;width:12pt;" o:ole="t" filled="f" o:preferrelative="t" stroked="f" coordsize="21600,21600">
            <v:path/>
            <v:fill on="f" focussize="0,0"/>
            <v:stroke on="f" joinstyle="miter"/>
            <v:imagedata r:id="rId27" o:title=""/>
            <o:lock v:ext="edit" aspectratio="t"/>
            <w10:wrap type="none"/>
            <w10:anchorlock/>
          </v:shape>
          <o:OLEObject Type="Embed" ProgID="Equation.DSMT4" ShapeID="_x0000_i1026" DrawAspect="Content" ObjectID="_1468075726" r:id="rId26">
            <o:LockedField>false</o:LockedField>
          </o:OLEObject>
        </w:object>
      </w:r>
      <w:r>
        <w:t>，轴承全寿命周期时长为</w:t>
      </w:r>
      <w:r>
        <w:rPr>
          <w:position w:val="-6"/>
        </w:rPr>
        <w:object>
          <v:shape id="_x0000_i1027" o:spt="75" type="#_x0000_t75" style="height:13.95pt;width:23pt;" o:ole="t" filled="f" o:preferrelative="t" stroked="f" coordsize="21600,21600">
            <v:path/>
            <v:fill on="f" focussize="0,0"/>
            <v:stroke on="f" joinstyle="miter"/>
            <v:imagedata r:id="rId29" o:title=""/>
            <o:lock v:ext="edit" aspectratio="t"/>
            <w10:wrap type="none"/>
            <w10:anchorlock/>
          </v:shape>
          <o:OLEObject Type="Embed" ProgID="Equation.DSMT4" ShapeID="_x0000_i1027" DrawAspect="Content" ObjectID="_1468075727" r:id="rId28">
            <o:LockedField>false</o:LockedField>
          </o:OLEObject>
        </w:object>
      </w:r>
      <w:r>
        <w:t>，则剩余使用寿命为</w:t>
      </w:r>
      <w:r>
        <w:rPr>
          <w:position w:val="-10"/>
        </w:rPr>
        <w:object>
          <v:shape id="_x0000_i1028" o:spt="75" type="#_x0000_t75" style="height:20pt;width:103pt;" o:ole="t" filled="f" o:preferrelative="t" stroked="f" coordsize="21600,21600">
            <v:path/>
            <v:fill on="f" focussize="0,0"/>
            <v:stroke on="f" joinstyle="miter"/>
            <v:imagedata r:id="rId31" o:title=""/>
            <o:lock v:ext="edit" aspectratio="t"/>
            <w10:wrap type="none"/>
            <w10:anchorlock/>
          </v:shape>
          <o:OLEObject Type="Embed" ProgID="Equation.DSMT4" ShapeID="_x0000_i1028" DrawAspect="Content" ObjectID="_1468075728" r:id="rId30">
            <o:LockedField>false</o:LockedField>
          </o:OLEObject>
        </w:object>
      </w:r>
      <w:r>
        <w:t>。</w:t>
      </w:r>
      <w:r>
        <w:rPr>
          <w:rFonts w:hint="eastAsia"/>
        </w:rPr>
        <w:t>整个逻辑链条不复杂，但每个环节的质量都会直接影响最后的预测效果。</w:t>
      </w:r>
    </w:p>
    <w:p w14:paraId="180D5CD1">
      <w:pPr>
        <w:pStyle w:val="3"/>
        <w:spacing w:before="120" w:after="120"/>
      </w:pPr>
      <w:bookmarkStart w:id="31" w:name="_Toc804"/>
      <w:bookmarkStart w:id="32" w:name="_Toc4025"/>
      <w:r>
        <w:t>2.2 深度学习相关核心理论</w:t>
      </w:r>
      <w:bookmarkEnd w:id="31"/>
      <w:bookmarkEnd w:id="32"/>
    </w:p>
    <w:p w14:paraId="53AE7E97">
      <w:pPr>
        <w:pStyle w:val="4"/>
        <w:spacing w:before="120" w:after="120"/>
      </w:pPr>
      <w:bookmarkStart w:id="33" w:name="_Toc3332"/>
      <w:bookmarkStart w:id="34" w:name="_Toc6520"/>
      <w:r>
        <w:t>2.2.1 残差网络（ResNet）原理与特征提取优势</w:t>
      </w:r>
      <w:bookmarkEnd w:id="33"/>
      <w:bookmarkEnd w:id="34"/>
    </w:p>
    <w:p w14:paraId="683B3754">
      <w:pPr>
        <w:ind w:firstLine="480"/>
      </w:pPr>
      <w:r>
        <w:rPr>
          <w:rFonts w:hint="eastAsia"/>
        </w:rPr>
        <w:t>残差网络</w:t>
      </w:r>
      <w:r>
        <w:t>（Residual Network, ResNet）</w:t>
      </w:r>
      <w:r>
        <w:rPr>
          <w:rFonts w:hint="eastAsia"/>
        </w:rPr>
        <w:t>是He等人在2016年提出来的，它的核心想法其实很朴素——在层与层之间加一条“捷径”（Skip Connection），</w:t>
      </w:r>
      <w:r>
        <w:rPr>
          <w:rFonts w:hint="eastAsia"/>
          <w:lang w:eastAsia="zh-CN"/>
        </w:rPr>
        <w:t>使</w:t>
      </w:r>
      <w:r>
        <w:rPr>
          <w:rFonts w:hint="eastAsia"/>
        </w:rPr>
        <w:t>信息可以跳过中间层直接往后传</w:t>
      </w:r>
      <w:r>
        <w:t>。</w:t>
      </w:r>
      <w:r>
        <w:rPr>
          <w:rFonts w:hint="eastAsia"/>
        </w:rPr>
        <w:t>这个设计解决了一个当时很头疼的问题：传统卷积网络堆到一定深度之后，训练误差不但不降，反而往上走，也就是所谓的网络退化。ResNet的做法是把学习目标从直接映射改成残差映射，这样就算残差部分学不到什么东西，至少还能走恒等映射这条“后门”，网络加深后起码不会比浅层更差。梯度回传也因此受益——残差连接给梯度留了一条“高速通道”，很大程度上缓解了深层网络的梯度消失问题</w:t>
      </w:r>
      <w:r>
        <w:rPr>
          <w:rFonts w:hint="eastAsia"/>
          <w:vertAlign w:val="superscript"/>
          <w:lang w:eastAsia="zh-CN"/>
        </w:rPr>
        <w:fldChar w:fldCharType="begin"/>
      </w:r>
      <w:r>
        <w:instrText xml:space="preserve"> REF _Ref14029 \r \h  \* MERGEFORMAT</w:instrText>
      </w:r>
      <w:r>
        <w:rPr>
          <w:rFonts w:hint="eastAsia"/>
          <w:vertAlign w:val="superscript"/>
          <w:lang w:eastAsia="zh-CN"/>
        </w:rPr>
        <w:fldChar w:fldCharType="separate"/>
      </w:r>
      <w:r>
        <w:rPr>
          <w:rFonts w:hint="eastAsia"/>
          <w:vertAlign w:val="superscript"/>
          <w:lang w:eastAsia="zh-CN"/>
        </w:rPr>
        <w:t>[49]</w:t>
      </w:r>
      <w:r>
        <w:rPr>
          <w:rFonts w:hint="eastAsia"/>
          <w:vertAlign w:val="superscript"/>
          <w:lang w:eastAsia="zh-CN"/>
        </w:rPr>
        <w:fldChar w:fldCharType="end"/>
      </w:r>
      <w:r>
        <w:rPr>
          <w:rFonts w:hint="eastAsia"/>
        </w:rPr>
        <w:t>。</w:t>
      </w:r>
      <w:r>
        <w:rPr>
          <w:b/>
          <w:vanish/>
          <w:sz w:val="24"/>
        </w:rPr>
        <w:fldChar w:fldCharType="begin"/>
      </w:r>
      <w:r>
        <w:rPr>
          <w:b/>
          <w:vanish/>
          <w:sz w:val="24"/>
        </w:rPr>
        <w:instrText xml:space="preserve"> MACROBUTTON MTEditEquationSection2 </w:instrText>
      </w:r>
      <w:r>
        <w:rPr>
          <w:rStyle w:val="34"/>
          <w:b/>
          <w:vanish/>
          <w:sz w:val="24"/>
        </w:rPr>
        <w:instrText xml:space="preserve">公式章 2 节 1</w:instrText>
      </w:r>
      <w:r>
        <w:rPr>
          <w:b/>
          <w:vanish/>
          <w:sz w:val="24"/>
        </w:rPr>
        <w:fldChar w:fldCharType="begin"/>
      </w:r>
      <w:r>
        <w:rPr>
          <w:b/>
          <w:vanish/>
          <w:sz w:val="24"/>
        </w:rPr>
        <w:instrText xml:space="preserve"> SEQ MTEqn \r \h \* MERGEFORMAT </w:instrText>
      </w:r>
      <w:r>
        <w:rPr>
          <w:b/>
          <w:vanish/>
          <w:sz w:val="24"/>
        </w:rPr>
        <w:fldChar w:fldCharType="separate"/>
      </w:r>
      <w:r>
        <w:rPr>
          <w:b/>
          <w:vanish/>
          <w:sz w:val="24"/>
        </w:rPr>
        <w:fldChar w:fldCharType="end"/>
      </w:r>
      <w:r>
        <w:rPr>
          <w:b/>
          <w:vanish/>
          <w:sz w:val="24"/>
        </w:rPr>
        <w:fldChar w:fldCharType="begin"/>
      </w:r>
      <w:r>
        <w:rPr>
          <w:b/>
          <w:vanish/>
          <w:sz w:val="24"/>
        </w:rPr>
        <w:instrText xml:space="preserve"> SEQ MTSec \r 1 \h \* MERGEFORMAT </w:instrText>
      </w:r>
      <w:r>
        <w:rPr>
          <w:b/>
          <w:vanish/>
          <w:sz w:val="24"/>
        </w:rPr>
        <w:fldChar w:fldCharType="separate"/>
      </w:r>
      <w:r>
        <w:rPr>
          <w:b/>
          <w:vanish/>
          <w:sz w:val="24"/>
        </w:rPr>
        <w:fldChar w:fldCharType="end"/>
      </w:r>
      <w:r>
        <w:rPr>
          <w:b/>
          <w:vanish/>
          <w:sz w:val="24"/>
        </w:rPr>
        <w:fldChar w:fldCharType="begin"/>
      </w:r>
      <w:r>
        <w:rPr>
          <w:b/>
          <w:vanish/>
          <w:sz w:val="24"/>
        </w:rPr>
        <w:instrText xml:space="preserve"> SEQ MTChap \r 2 \h \* MERGEFORMAT </w:instrText>
      </w:r>
      <w:r>
        <w:rPr>
          <w:b/>
          <w:vanish/>
          <w:sz w:val="24"/>
        </w:rPr>
        <w:fldChar w:fldCharType="separate"/>
      </w:r>
      <w:r>
        <w:rPr>
          <w:b/>
          <w:vanish/>
          <w:sz w:val="24"/>
        </w:rPr>
        <w:fldChar w:fldCharType="end"/>
      </w:r>
      <w:r>
        <w:rPr>
          <w:b/>
          <w:vanish/>
          <w:sz w:val="24"/>
        </w:rPr>
        <w:fldChar w:fldCharType="separate"/>
      </w:r>
      <w:r>
        <w:rPr>
          <w:b/>
          <w:vanish/>
          <w:sz w:val="24"/>
        </w:rPr>
        <w:fldChar w:fldCharType="end"/>
      </w:r>
    </w:p>
    <w:p w14:paraId="42C66E80">
      <w:pPr>
        <w:ind w:firstLine="480"/>
      </w:pPr>
      <w:r>
        <w:t>设输入为</w:t>
      </w:r>
      <w:r>
        <w:rPr>
          <w:position w:val="-4"/>
        </w:rPr>
        <w:object>
          <v:shape id="_x0000_i1029" o:spt="75" type="#_x0000_t75" style="height:10pt;width:10pt;" o:ole="t" filled="f" o:preferrelative="t" stroked="f" coordsize="21600,21600">
            <v:path/>
            <v:fill on="f" focussize="0,0"/>
            <v:stroke on="f" joinstyle="miter"/>
            <v:imagedata r:id="rId33" o:title=""/>
            <o:lock v:ext="edit" aspectratio="t"/>
            <w10:wrap type="none"/>
            <w10:anchorlock/>
          </v:shape>
          <o:OLEObject Type="Embed" ProgID="Equation.DSMT4" ShapeID="_x0000_i1029" DrawAspect="Content" ObjectID="_1468075729" r:id="rId32">
            <o:LockedField>false</o:LockedField>
          </o:OLEObject>
        </w:object>
      </w:r>
      <w:r>
        <w:t>，传统卷积层试图直接学习底层映射</w:t>
      </w:r>
      <w:r>
        <w:rPr>
          <w:position w:val="-10"/>
        </w:rPr>
        <w:object>
          <v:shape id="_x0000_i1030" o:spt="75" type="#_x0000_t75" style="height:16pt;width:29pt;" o:ole="t" filled="f" o:preferrelative="t" stroked="f" coordsize="21600,21600">
            <v:path/>
            <v:fill on="f" focussize="0,0"/>
            <v:stroke on="f" joinstyle="miter"/>
            <v:imagedata r:id="rId35" o:title=""/>
            <o:lock v:ext="edit" aspectratio="t"/>
            <w10:wrap type="none"/>
            <w10:anchorlock/>
          </v:shape>
          <o:OLEObject Type="Embed" ProgID="Equation.DSMT4" ShapeID="_x0000_i1030" DrawAspect="Content" ObjectID="_1468075730" r:id="rId34">
            <o:LockedField>false</o:LockedField>
          </o:OLEObject>
        </w:object>
      </w:r>
      <w:r>
        <w:t>。ResNet将其重构为：</w:t>
      </w:r>
    </w:p>
    <w:p w14:paraId="518A0E4C">
      <w:pPr>
        <w:pStyle w:val="30"/>
        <w:spacing w:before="0" w:beforeLines="0" w:after="0" w:afterLines="0"/>
      </w:pPr>
      <w:r>
        <w:tab/>
      </w:r>
      <w:r>
        <w:rPr>
          <w:position w:val="-10"/>
        </w:rPr>
        <w:object>
          <v:shape id="_x0000_i1031" o:spt="75" type="#_x0000_t75" style="height:16pt;width:83pt;" o:ole="t" filled="f" o:preferrelative="t" stroked="f" coordsize="21600,21600">
            <v:path/>
            <v:fill on="f" focussize="0,0"/>
            <v:stroke on="f" joinstyle="miter"/>
            <v:imagedata r:id="rId37" o:title=""/>
            <o:lock v:ext="edit" aspectratio="t"/>
            <w10:wrap type="none"/>
            <w10:anchorlock/>
          </v:shape>
          <o:OLEObject Type="Embed" ProgID="Equation.DSMT4" ShapeID="_x0000_i1031" DrawAspect="Content" ObjectID="_1468075731" r:id="rId36">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separate"/>
      </w:r>
      <w:r>
        <w:fldChar w:fldCharType="end"/>
      </w:r>
      <w:r>
        <w:rPr>
          <w:rFonts w:hint="eastAsia"/>
          <w:lang w:eastAsia="zh-CN"/>
        </w:rPr>
        <w:instrText xml:space="preserve">(</w:instrText>
      </w:r>
      <w:r>
        <w:rPr>
          <w:rFonts w:hint="eastAsia"/>
          <w:lang w:eastAsia="zh-CN"/>
        </w:rPr>
        <w:fldChar w:fldCharType="begin"/>
      </w:r>
      <w:r>
        <w:rPr>
          <w:rFonts w:hint="eastAsia"/>
          <w:lang w:eastAsia="zh-CN"/>
        </w:rPr>
        <w:instrText xml:space="preserve"> SEQ MTChap \c \* Arabic \* MERGEFORMAT </w:instrText>
      </w:r>
      <w:r>
        <w:rPr>
          <w:rFonts w:hint="eastAsia"/>
          <w:lang w:eastAsia="zh-CN"/>
        </w:rPr>
        <w:fldChar w:fldCharType="separate"/>
      </w:r>
      <w:r>
        <w:instrText xml:space="preserve">2</w:instrText>
      </w:r>
      <w:r>
        <w:rPr>
          <w:rFonts w:hint="eastAsia"/>
          <w:lang w:eastAsia="zh-CN"/>
        </w:rPr>
        <w:fldChar w:fldCharType="end"/>
      </w:r>
      <w:r>
        <w:rPr>
          <w:rFonts w:hint="eastAsia"/>
          <w:lang w:eastAsia="zh-CN"/>
        </w:rPr>
        <w:instrText xml:space="preserve">-</w:instrText>
      </w:r>
      <w:r>
        <w:rPr>
          <w:rFonts w:hint="eastAsia"/>
          <w:lang w:eastAsia="zh-CN"/>
        </w:rPr>
        <w:fldChar w:fldCharType="begin"/>
      </w:r>
      <w:r>
        <w:rPr>
          <w:rFonts w:hint="eastAsia"/>
          <w:lang w:eastAsia="zh-CN"/>
        </w:rPr>
        <w:instrText xml:space="preserve"> SEQ MTEqn \c \* Arabic \* MERGEFORMAT </w:instrText>
      </w:r>
      <w:r>
        <w:rPr>
          <w:rFonts w:hint="eastAsia"/>
          <w:lang w:eastAsia="zh-CN"/>
        </w:rPr>
        <w:fldChar w:fldCharType="separate"/>
      </w:r>
      <w:r>
        <w:instrText xml:space="preserve">1</w:instrText>
      </w:r>
      <w:r>
        <w:rPr>
          <w:rFonts w:hint="eastAsia"/>
          <w:lang w:eastAsia="zh-CN"/>
        </w:rPr>
        <w:fldChar w:fldCharType="end"/>
      </w:r>
      <w:r>
        <w:rPr>
          <w:rFonts w:hint="eastAsia"/>
          <w:lang w:eastAsia="zh-CN"/>
        </w:rPr>
        <w:instrText xml:space="preserve">)</w:instrText>
      </w:r>
      <w:r>
        <w:fldChar w:fldCharType="separate"/>
      </w:r>
      <w:r>
        <w:fldChar w:fldCharType="end"/>
      </w:r>
    </w:p>
    <w:p w14:paraId="385365BB">
      <w:pPr>
        <w:ind w:firstLine="480"/>
      </w:pPr>
      <w:r>
        <w:t>式中</w:t>
      </w:r>
      <w:r>
        <w:rPr>
          <w:color w:val="4F81BD" w:themeColor="accent1"/>
          <w14:textFill>
            <w14:solidFill>
              <w14:schemeClr w14:val="accent1"/>
            </w14:solidFill>
          </w14:textFill>
        </w:rPr>
        <w:t>，</w:t>
      </w:r>
      <w:r>
        <w:rPr>
          <w:position w:val="-10"/>
        </w:rPr>
        <w:object>
          <v:shape id="_x0000_i1032" o:spt="75" type="#_x0000_t75" style="height:16pt;width:82pt;" o:ole="t" filled="f" o:preferrelative="t" stroked="f" coordsize="21600,21600">
            <v:path/>
            <v:fill on="f" focussize="0,0"/>
            <v:stroke on="f" joinstyle="miter"/>
            <v:imagedata r:id="rId39" o:title=""/>
            <o:lock v:ext="edit" aspectratio="t"/>
            <w10:wrap type="none"/>
            <w10:anchorlock/>
          </v:shape>
          <o:OLEObject Type="Embed" ProgID="Equation.DSMT4" ShapeID="_x0000_i1032" DrawAspect="Content" ObjectID="_1468075732" r:id="rId38">
            <o:LockedField>false</o:LockedField>
          </o:OLEObject>
        </w:object>
      </w:r>
      <w:r>
        <w:t>为残差函数。当残差</w:t>
      </w:r>
      <w:r>
        <w:rPr>
          <w:position w:val="-10"/>
        </w:rPr>
        <w:object>
          <v:shape id="_x0000_i1033" o:spt="75" type="#_x0000_t75" style="height:16pt;width:47pt;" o:ole="t" filled="f" o:preferrelative="t" stroked="f" coordsize="21600,21600">
            <v:path/>
            <v:fill on="f" focussize="0,0"/>
            <v:stroke on="f" joinstyle="miter"/>
            <v:imagedata r:id="rId41" o:title=""/>
            <o:lock v:ext="edit" aspectratio="t"/>
            <w10:wrap type="none"/>
            <w10:anchorlock/>
          </v:shape>
          <o:OLEObject Type="Embed" ProgID="Equation.DSMT4" ShapeID="_x0000_i1033" DrawAspect="Content" ObjectID="_1468075733" r:id="rId40">
            <o:LockedField>false</o:LockedField>
          </o:OLEObject>
        </w:object>
      </w:r>
      <w:r>
        <w:t>时，该层退化为恒等映射，网络在加深时至少不会比浅层网络更差。残差连接将输入直接传递至输出，为梯度提供了恒等回传路径：</w:t>
      </w:r>
    </w:p>
    <w:p w14:paraId="727294E4">
      <w:pPr>
        <w:pStyle w:val="30"/>
        <w:spacing w:before="240" w:after="240"/>
      </w:pPr>
      <w:r>
        <w:tab/>
      </w:r>
      <w:r>
        <w:rPr>
          <w:position w:val="-28"/>
        </w:rPr>
        <w:object>
          <v:shape id="_x0000_i1034" o:spt="75" type="#_x0000_t75" style="height:34pt;width:99pt;" o:ole="t" filled="f" o:preferrelative="t" stroked="f" coordsize="21600,21600">
            <v:path/>
            <v:fill on="f" focussize="0,0"/>
            <v:stroke on="f" joinstyle="miter"/>
            <v:imagedata r:id="rId43" o:title=""/>
            <o:lock v:ext="edit" aspectratio="t"/>
            <w10:wrap type="none"/>
            <w10:anchorlock/>
          </v:shape>
          <o:OLEObject Type="Embed" ProgID="Equation.DSMT4" ShapeID="_x0000_i1034" DrawAspect="Content" ObjectID="_1468075734" r:id="rId42">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separate"/>
      </w:r>
      <w:r>
        <w:fldChar w:fldCharType="end"/>
      </w:r>
      <w:r>
        <w:rPr>
          <w:rFonts w:hint="eastAsia"/>
          <w:lang w:eastAsia="zh-CN"/>
        </w:rPr>
        <w:instrText xml:space="preserve">(</w:instrText>
      </w:r>
      <w:r>
        <w:rPr>
          <w:rFonts w:hint="eastAsia"/>
          <w:lang w:eastAsia="zh-CN"/>
        </w:rPr>
        <w:fldChar w:fldCharType="begin"/>
      </w:r>
      <w:r>
        <w:rPr>
          <w:rFonts w:hint="eastAsia"/>
          <w:lang w:eastAsia="zh-CN"/>
        </w:rPr>
        <w:instrText xml:space="preserve"> SEQ MTChap \c \* Arabic \* MERGEFORMAT </w:instrText>
      </w:r>
      <w:r>
        <w:rPr>
          <w:rFonts w:hint="eastAsia"/>
          <w:lang w:eastAsia="zh-CN"/>
        </w:rPr>
        <w:fldChar w:fldCharType="separate"/>
      </w:r>
      <w:r>
        <w:instrText xml:space="preserve">2</w:instrText>
      </w:r>
      <w:r>
        <w:rPr>
          <w:rFonts w:hint="eastAsia"/>
          <w:lang w:eastAsia="zh-CN"/>
        </w:rPr>
        <w:fldChar w:fldCharType="end"/>
      </w:r>
      <w:r>
        <w:rPr>
          <w:rFonts w:hint="eastAsia"/>
          <w:lang w:eastAsia="zh-CN"/>
        </w:rPr>
        <w:instrText xml:space="preserve">-</w:instrText>
      </w:r>
      <w:r>
        <w:rPr>
          <w:rFonts w:hint="eastAsia"/>
          <w:lang w:eastAsia="zh-CN"/>
        </w:rPr>
        <w:fldChar w:fldCharType="begin"/>
      </w:r>
      <w:r>
        <w:rPr>
          <w:rFonts w:hint="eastAsia"/>
          <w:lang w:eastAsia="zh-CN"/>
        </w:rPr>
        <w:instrText xml:space="preserve"> SEQ MTEqn \c \* Arabic \* MERGEFORMAT </w:instrText>
      </w:r>
      <w:r>
        <w:rPr>
          <w:rFonts w:hint="eastAsia"/>
          <w:lang w:eastAsia="zh-CN"/>
        </w:rPr>
        <w:fldChar w:fldCharType="separate"/>
      </w:r>
      <w:r>
        <w:instrText xml:space="preserve">2</w:instrText>
      </w:r>
      <w:r>
        <w:rPr>
          <w:rFonts w:hint="eastAsia"/>
          <w:lang w:eastAsia="zh-CN"/>
        </w:rPr>
        <w:fldChar w:fldCharType="end"/>
      </w:r>
      <w:r>
        <w:rPr>
          <w:rFonts w:hint="eastAsia"/>
          <w:lang w:eastAsia="zh-CN"/>
        </w:rPr>
        <w:instrText xml:space="preserve">)</w:instrText>
      </w:r>
      <w:r>
        <w:fldChar w:fldCharType="separate"/>
      </w:r>
      <w:r>
        <w:fldChar w:fldCharType="end"/>
      </w:r>
    </w:p>
    <w:p w14:paraId="30C6E67D">
      <w:pPr>
        <w:snapToGrid w:val="0"/>
        <w:ind w:firstLine="480"/>
      </w:pPr>
      <w:r>
        <w:t>式中</w:t>
      </w:r>
      <w:r>
        <w:rPr>
          <w:color w:val="4F81BD" w:themeColor="accent1"/>
          <w14:textFill>
            <w14:solidFill>
              <w14:schemeClr w14:val="accent1"/>
            </w14:solidFill>
          </w14:textFill>
        </w:rPr>
        <w:t>，</w:t>
      </w:r>
      <w:r>
        <w:t>常数项1保证即使残差函数</w:t>
      </w:r>
      <w:r>
        <w:rPr>
          <w:position w:val="-14"/>
        </w:rPr>
        <w:object>
          <v:shape id="_x0000_i1035" o:spt="75" type="#_x0000_t75" style="height:20pt;width:30pt;" o:ole="t" filled="f" o:preferrelative="t" stroked="f" coordsize="21600,21600">
            <v:path/>
            <v:fill on="f" focussize="0,0"/>
            <v:stroke on="f" joinstyle="miter"/>
            <v:imagedata r:id="rId45" o:title=""/>
            <o:lock v:ext="edit" aspectratio="t"/>
            <w10:wrap type="none"/>
            <w10:anchorlock/>
          </v:shape>
          <o:OLEObject Type="Embed" ProgID="Equation.DSMT4" ShapeID="_x0000_i1035" DrawAspect="Content" ObjectID="_1468075735" r:id="rId44">
            <o:LockedField>false</o:LockedField>
          </o:OLEObject>
        </w:object>
      </w:r>
      <w:r>
        <w:t>对输入</w:t>
      </w:r>
      <w:r>
        <w:rPr>
          <w:position w:val="-6"/>
        </w:rPr>
        <w:object>
          <v:shape id="_x0000_i1036" o:spt="75" type="#_x0000_t75" style="height:11pt;width:11pt;" o:ole="t" filled="f" o:preferrelative="t" stroked="f" coordsize="21600,21600">
            <v:path/>
            <v:fill on="f" focussize="0,0"/>
            <v:stroke on="f" joinstyle="miter"/>
            <v:imagedata r:id="rId47" o:title=""/>
            <o:lock v:ext="edit" aspectratio="t"/>
            <w10:wrap type="none"/>
            <w10:anchorlock/>
          </v:shape>
          <o:OLEObject Type="Embed" ProgID="Equation.DSMT4" ShapeID="_x0000_i1036" DrawAspect="Content" ObjectID="_1468075736" r:id="rId46">
            <o:LockedField>false</o:LockedField>
          </o:OLEObject>
        </w:object>
      </w:r>
      <w:r>
        <w:t>的偏导数趋近于零，梯度仍能有效回传，从根本上缓解了深层网络的梯度消失问题。</w:t>
      </w:r>
    </w:p>
    <w:p w14:paraId="59852665">
      <w:pPr>
        <w:snapToGrid w:val="0"/>
        <w:ind w:firstLine="480"/>
      </w:pPr>
      <w:r>
        <w:t>本文构建的一维SE-ResNet包含两个残差块（ResBlock）。每个残差块由两个卷积层、批归一化层和ReLU激活函数串联构成，其前向传播过程为：</w:t>
      </w:r>
    </w:p>
    <w:p w14:paraId="641EDA7D">
      <w:pPr>
        <w:pStyle w:val="30"/>
        <w:spacing w:before="0" w:beforeLines="0" w:after="0" w:afterLines="0"/>
      </w:pPr>
      <w:r>
        <w:tab/>
      </w:r>
      <w:r>
        <w:rPr>
          <w:position w:val="-14"/>
        </w:rPr>
        <w:object>
          <v:shape id="_x0000_i1037" o:spt="75" type="#_x0000_t75" style="height:20pt;width:150pt;" o:ole="t" filled="f" o:preferrelative="t" stroked="f" coordsize="21600,21600">
            <v:path/>
            <v:fill on="f" focussize="0,0"/>
            <v:stroke on="f" joinstyle="miter"/>
            <v:imagedata r:id="rId49" o:title=""/>
            <o:lock v:ext="edit" aspectratio="t"/>
            <w10:wrap type="none"/>
            <w10:anchorlock/>
          </v:shape>
          <o:OLEObject Type="Embed" ProgID="Equation.DSMT4" ShapeID="_x0000_i1037" DrawAspect="Content" ObjectID="_1468075737" r:id="rId48">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separate"/>
      </w:r>
      <w:r>
        <w:fldChar w:fldCharType="end"/>
      </w:r>
      <w:r>
        <w:rPr>
          <w:rFonts w:hint="eastAsia"/>
          <w:lang w:eastAsia="zh-CN"/>
        </w:rPr>
        <w:instrText xml:space="preserve">(</w:instrText>
      </w:r>
      <w:r>
        <w:rPr>
          <w:rFonts w:hint="eastAsia"/>
          <w:lang w:eastAsia="zh-CN"/>
        </w:rPr>
        <w:fldChar w:fldCharType="begin"/>
      </w:r>
      <w:r>
        <w:rPr>
          <w:rFonts w:hint="eastAsia"/>
          <w:lang w:eastAsia="zh-CN"/>
        </w:rPr>
        <w:instrText xml:space="preserve"> SEQ MTChap \c \* Arabic \* MERGEFORMAT </w:instrText>
      </w:r>
      <w:r>
        <w:rPr>
          <w:rFonts w:hint="eastAsia"/>
          <w:lang w:eastAsia="zh-CN"/>
        </w:rPr>
        <w:fldChar w:fldCharType="separate"/>
      </w:r>
      <w:r>
        <w:instrText xml:space="preserve">2</w:instrText>
      </w:r>
      <w:r>
        <w:rPr>
          <w:rFonts w:hint="eastAsia"/>
          <w:lang w:eastAsia="zh-CN"/>
        </w:rPr>
        <w:fldChar w:fldCharType="end"/>
      </w:r>
      <w:r>
        <w:rPr>
          <w:rFonts w:hint="eastAsia"/>
          <w:lang w:eastAsia="zh-CN"/>
        </w:rPr>
        <w:instrText xml:space="preserve">-</w:instrText>
      </w:r>
      <w:r>
        <w:rPr>
          <w:rFonts w:hint="eastAsia"/>
          <w:lang w:eastAsia="zh-CN"/>
        </w:rPr>
        <w:fldChar w:fldCharType="begin"/>
      </w:r>
      <w:r>
        <w:rPr>
          <w:rFonts w:hint="eastAsia"/>
          <w:lang w:eastAsia="zh-CN"/>
        </w:rPr>
        <w:instrText xml:space="preserve"> SEQ MTEqn \c \* Arabic \* MERGEFORMAT </w:instrText>
      </w:r>
      <w:r>
        <w:rPr>
          <w:rFonts w:hint="eastAsia"/>
          <w:lang w:eastAsia="zh-CN"/>
        </w:rPr>
        <w:fldChar w:fldCharType="separate"/>
      </w:r>
      <w:r>
        <w:instrText xml:space="preserve">3</w:instrText>
      </w:r>
      <w:r>
        <w:rPr>
          <w:rFonts w:hint="eastAsia"/>
          <w:lang w:eastAsia="zh-CN"/>
        </w:rPr>
        <w:fldChar w:fldCharType="end"/>
      </w:r>
      <w:r>
        <w:rPr>
          <w:rFonts w:hint="eastAsia"/>
          <w:lang w:eastAsia="zh-CN"/>
        </w:rPr>
        <w:instrText xml:space="preserve">)</w:instrText>
      </w:r>
      <w:r>
        <w:fldChar w:fldCharType="separate"/>
      </w:r>
      <w:r>
        <w:fldChar w:fldCharType="end"/>
      </w:r>
    </w:p>
    <w:p w14:paraId="0EB0D989">
      <w:pPr>
        <w:pStyle w:val="30"/>
        <w:spacing w:before="0" w:beforeLines="0" w:after="0" w:afterLines="0"/>
      </w:pPr>
      <w:r>
        <w:tab/>
      </w:r>
      <w:r>
        <w:rPr>
          <w:position w:val="-14"/>
        </w:rPr>
        <w:object>
          <v:shape id="_x0000_i1038" o:spt="75" type="#_x0000_t75" style="height:20pt;width:116pt;" o:ole="t" filled="f" o:preferrelative="t" stroked="f" coordsize="21600,21600">
            <v:path/>
            <v:fill on="f" focussize="0,0"/>
            <v:stroke on="f" joinstyle="miter"/>
            <v:imagedata r:id="rId51" o:title=""/>
            <o:lock v:ext="edit" aspectratio="t"/>
            <w10:wrap type="none"/>
            <w10:anchorlock/>
          </v:shape>
          <o:OLEObject Type="Embed" ProgID="Equation.DSMT4" ShapeID="_x0000_i1038" DrawAspect="Content" ObjectID="_1468075738" r:id="rId50">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separate"/>
      </w:r>
      <w:r>
        <w:fldChar w:fldCharType="end"/>
      </w:r>
      <w:r>
        <w:rPr>
          <w:rFonts w:hint="eastAsia"/>
          <w:lang w:eastAsia="zh-CN"/>
        </w:rPr>
        <w:instrText xml:space="preserve">(</w:instrText>
      </w:r>
      <w:r>
        <w:rPr>
          <w:rFonts w:hint="eastAsia"/>
          <w:lang w:eastAsia="zh-CN"/>
        </w:rPr>
        <w:fldChar w:fldCharType="begin"/>
      </w:r>
      <w:r>
        <w:rPr>
          <w:rFonts w:hint="eastAsia"/>
          <w:lang w:eastAsia="zh-CN"/>
        </w:rPr>
        <w:instrText xml:space="preserve"> SEQ MTChap \c \* Arabic \* MERGEFORMAT </w:instrText>
      </w:r>
      <w:r>
        <w:rPr>
          <w:rFonts w:hint="eastAsia"/>
          <w:lang w:eastAsia="zh-CN"/>
        </w:rPr>
        <w:fldChar w:fldCharType="separate"/>
      </w:r>
      <w:r>
        <w:instrText xml:space="preserve">2</w:instrText>
      </w:r>
      <w:r>
        <w:rPr>
          <w:rFonts w:hint="eastAsia"/>
          <w:lang w:eastAsia="zh-CN"/>
        </w:rPr>
        <w:fldChar w:fldCharType="end"/>
      </w:r>
      <w:r>
        <w:rPr>
          <w:rFonts w:hint="eastAsia"/>
          <w:lang w:eastAsia="zh-CN"/>
        </w:rPr>
        <w:instrText xml:space="preserve">-</w:instrText>
      </w:r>
      <w:r>
        <w:rPr>
          <w:rFonts w:hint="eastAsia"/>
          <w:lang w:eastAsia="zh-CN"/>
        </w:rPr>
        <w:fldChar w:fldCharType="begin"/>
      </w:r>
      <w:r>
        <w:rPr>
          <w:rFonts w:hint="eastAsia"/>
          <w:lang w:eastAsia="zh-CN"/>
        </w:rPr>
        <w:instrText xml:space="preserve"> SEQ MTEqn \c \* Arabic \* MERGEFORMAT </w:instrText>
      </w:r>
      <w:r>
        <w:rPr>
          <w:rFonts w:hint="eastAsia"/>
          <w:lang w:eastAsia="zh-CN"/>
        </w:rPr>
        <w:fldChar w:fldCharType="separate"/>
      </w:r>
      <w:r>
        <w:instrText xml:space="preserve">4</w:instrText>
      </w:r>
      <w:r>
        <w:rPr>
          <w:rFonts w:hint="eastAsia"/>
          <w:lang w:eastAsia="zh-CN"/>
        </w:rPr>
        <w:fldChar w:fldCharType="end"/>
      </w:r>
      <w:r>
        <w:rPr>
          <w:rFonts w:hint="eastAsia"/>
          <w:lang w:eastAsia="zh-CN"/>
        </w:rPr>
        <w:instrText xml:space="preserve">)</w:instrText>
      </w:r>
      <w:r>
        <w:fldChar w:fldCharType="separate"/>
      </w:r>
      <w:r>
        <w:fldChar w:fldCharType="end"/>
      </w:r>
    </w:p>
    <w:p w14:paraId="3196145E">
      <w:pPr>
        <w:ind w:firstLine="480"/>
      </w:pPr>
      <w:r>
        <w:t>若输入与输出通道数不匹配，则通过</w:t>
      </w:r>
      <w:r>
        <w:rPr>
          <w:position w:val="-10"/>
        </w:rPr>
        <w:object>
          <v:shape id="_x0000_i1039" o:spt="75" type="#_x0000_t75" style="height:16pt;width:29pt;" o:ole="t" filled="f" o:preferrelative="t" stroked="f" coordsize="21600,21600">
            <v:path/>
            <v:fill on="f" focussize="0,0"/>
            <v:stroke on="f" joinstyle="miter"/>
            <v:imagedata r:id="rId53" o:title=""/>
            <o:lock v:ext="edit" aspectratio="t"/>
            <w10:wrap type="none"/>
            <w10:anchorlock/>
          </v:shape>
          <o:OLEObject Type="Embed" ProgID="Equation.DSMT4" ShapeID="_x0000_i1039" DrawAspect="Content" ObjectID="_1468075739" r:id="rId52">
            <o:LockedField>false</o:LockedField>
          </o:OLEObject>
        </w:object>
      </w:r>
      <w:r>
        <w:t>卷积进行投影对齐：</w:t>
      </w:r>
    </w:p>
    <w:p w14:paraId="65982B72">
      <w:pPr>
        <w:pStyle w:val="30"/>
        <w:spacing w:before="240" w:after="240"/>
      </w:pPr>
      <w:r>
        <w:tab/>
      </w:r>
      <w:r>
        <w:rPr>
          <w:position w:val="-32"/>
        </w:rPr>
        <w:object>
          <v:shape id="_x0000_i1040" o:spt="75" type="#_x0000_t75" style="height:38pt;width:197pt;" o:ole="t" filled="f" o:preferrelative="t" stroked="f" coordsize="21600,21600">
            <v:path/>
            <v:fill on="f" focussize="0,0"/>
            <v:stroke on="f" joinstyle="miter"/>
            <v:imagedata r:id="rId55" o:title=""/>
            <o:lock v:ext="edit" aspectratio="t"/>
            <w10:wrap type="none"/>
            <w10:anchorlock/>
          </v:shape>
          <o:OLEObject Type="Embed" ProgID="Equation.DSMT4" ShapeID="_x0000_i1040" DrawAspect="Content" ObjectID="_1468075740" r:id="rId54">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separate"/>
      </w:r>
      <w:r>
        <w:fldChar w:fldCharType="end"/>
      </w:r>
      <w:r>
        <w:rPr>
          <w:rFonts w:hint="eastAsia"/>
          <w:lang w:eastAsia="zh-CN"/>
        </w:rPr>
        <w:instrText xml:space="preserve">(</w:instrText>
      </w:r>
      <w:r>
        <w:rPr>
          <w:rFonts w:hint="eastAsia"/>
          <w:lang w:eastAsia="zh-CN"/>
        </w:rPr>
        <w:fldChar w:fldCharType="begin"/>
      </w:r>
      <w:r>
        <w:rPr>
          <w:rFonts w:hint="eastAsia"/>
          <w:lang w:eastAsia="zh-CN"/>
        </w:rPr>
        <w:instrText xml:space="preserve"> SEQ MTChap \c \* Arabic \* MERGEFORMAT </w:instrText>
      </w:r>
      <w:r>
        <w:rPr>
          <w:rFonts w:hint="eastAsia"/>
          <w:lang w:eastAsia="zh-CN"/>
        </w:rPr>
        <w:fldChar w:fldCharType="separate"/>
      </w:r>
      <w:r>
        <w:instrText xml:space="preserve">2</w:instrText>
      </w:r>
      <w:r>
        <w:rPr>
          <w:rFonts w:hint="eastAsia"/>
          <w:lang w:eastAsia="zh-CN"/>
        </w:rPr>
        <w:fldChar w:fldCharType="end"/>
      </w:r>
      <w:r>
        <w:rPr>
          <w:rFonts w:hint="eastAsia"/>
          <w:lang w:eastAsia="zh-CN"/>
        </w:rPr>
        <w:instrText xml:space="preserve">-</w:instrText>
      </w:r>
      <w:r>
        <w:rPr>
          <w:rFonts w:hint="eastAsia"/>
          <w:lang w:eastAsia="zh-CN"/>
        </w:rPr>
        <w:fldChar w:fldCharType="begin"/>
      </w:r>
      <w:r>
        <w:rPr>
          <w:rFonts w:hint="eastAsia"/>
          <w:lang w:eastAsia="zh-CN"/>
        </w:rPr>
        <w:instrText xml:space="preserve"> SEQ MTEqn \c \* Arabic \* MERGEFORMAT </w:instrText>
      </w:r>
      <w:r>
        <w:rPr>
          <w:rFonts w:hint="eastAsia"/>
          <w:lang w:eastAsia="zh-CN"/>
        </w:rPr>
        <w:fldChar w:fldCharType="separate"/>
      </w:r>
      <w:r>
        <w:instrText xml:space="preserve">5</w:instrText>
      </w:r>
      <w:r>
        <w:rPr>
          <w:rFonts w:hint="eastAsia"/>
          <w:lang w:eastAsia="zh-CN"/>
        </w:rPr>
        <w:fldChar w:fldCharType="end"/>
      </w:r>
      <w:r>
        <w:rPr>
          <w:rFonts w:hint="eastAsia"/>
          <w:lang w:eastAsia="zh-CN"/>
        </w:rPr>
        <w:instrText xml:space="preserve">)</w:instrText>
      </w:r>
      <w:r>
        <w:fldChar w:fldCharType="separate"/>
      </w:r>
      <w:r>
        <w:fldChar w:fldCharType="end"/>
      </w:r>
    </w:p>
    <w:p w14:paraId="19C79154">
      <w:pPr>
        <w:ind w:firstLine="480"/>
      </w:pPr>
      <w:r>
        <w:t>最后经ReLU激活输出：</w:t>
      </w:r>
    </w:p>
    <w:p w14:paraId="181EFFFC">
      <w:pPr>
        <w:pStyle w:val="30"/>
        <w:spacing w:before="0" w:beforeLines="0" w:after="0" w:afterLines="0"/>
      </w:pPr>
      <w:r>
        <w:tab/>
      </w:r>
      <w:r>
        <w:rPr>
          <w:position w:val="-12"/>
        </w:rPr>
        <w:object>
          <v:shape id="_x0000_i1041" o:spt="75" type="#_x0000_t75" style="height:18pt;width:77pt;" o:ole="t" filled="f" o:preferrelative="t" stroked="f" coordsize="21600,21600">
            <v:path/>
            <v:fill on="f" focussize="0,0"/>
            <v:stroke on="f" joinstyle="miter"/>
            <v:imagedata r:id="rId57" o:title=""/>
            <o:lock v:ext="edit" aspectratio="t"/>
            <w10:wrap type="none"/>
            <w10:anchorlock/>
          </v:shape>
          <o:OLEObject Type="Embed" ProgID="Equation.DSMT4" ShapeID="_x0000_i1041" DrawAspect="Content" ObjectID="_1468075741" r:id="rId56">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separate"/>
      </w:r>
      <w:r>
        <w:fldChar w:fldCharType="end"/>
      </w:r>
      <w:r>
        <w:rPr>
          <w:rFonts w:hint="eastAsia"/>
          <w:lang w:eastAsia="zh-CN"/>
        </w:rPr>
        <w:instrText xml:space="preserve">(</w:instrText>
      </w:r>
      <w:r>
        <w:rPr>
          <w:rFonts w:hint="eastAsia"/>
          <w:lang w:eastAsia="zh-CN"/>
        </w:rPr>
        <w:fldChar w:fldCharType="begin"/>
      </w:r>
      <w:r>
        <w:rPr>
          <w:rFonts w:hint="eastAsia"/>
          <w:lang w:eastAsia="zh-CN"/>
        </w:rPr>
        <w:instrText xml:space="preserve"> SEQ MTChap \c \* Arabic \* MERGEFORMAT </w:instrText>
      </w:r>
      <w:r>
        <w:rPr>
          <w:rFonts w:hint="eastAsia"/>
          <w:lang w:eastAsia="zh-CN"/>
        </w:rPr>
        <w:fldChar w:fldCharType="separate"/>
      </w:r>
      <w:r>
        <w:instrText xml:space="preserve">2</w:instrText>
      </w:r>
      <w:r>
        <w:rPr>
          <w:rFonts w:hint="eastAsia"/>
          <w:lang w:eastAsia="zh-CN"/>
        </w:rPr>
        <w:fldChar w:fldCharType="end"/>
      </w:r>
      <w:r>
        <w:rPr>
          <w:rFonts w:hint="eastAsia"/>
          <w:lang w:eastAsia="zh-CN"/>
        </w:rPr>
        <w:instrText xml:space="preserve">-</w:instrText>
      </w:r>
      <w:r>
        <w:rPr>
          <w:rFonts w:hint="eastAsia"/>
          <w:lang w:eastAsia="zh-CN"/>
        </w:rPr>
        <w:fldChar w:fldCharType="begin"/>
      </w:r>
      <w:r>
        <w:rPr>
          <w:rFonts w:hint="eastAsia"/>
          <w:lang w:eastAsia="zh-CN"/>
        </w:rPr>
        <w:instrText xml:space="preserve"> SEQ MTEqn \c \* Arabic \* MERGEFORMAT </w:instrText>
      </w:r>
      <w:r>
        <w:rPr>
          <w:rFonts w:hint="eastAsia"/>
          <w:lang w:eastAsia="zh-CN"/>
        </w:rPr>
        <w:fldChar w:fldCharType="separate"/>
      </w:r>
      <w:r>
        <w:instrText xml:space="preserve">6</w:instrText>
      </w:r>
      <w:r>
        <w:rPr>
          <w:rFonts w:hint="eastAsia"/>
          <w:lang w:eastAsia="zh-CN"/>
        </w:rPr>
        <w:fldChar w:fldCharType="end"/>
      </w:r>
      <w:r>
        <w:rPr>
          <w:rFonts w:hint="eastAsia"/>
          <w:lang w:eastAsia="zh-CN"/>
        </w:rPr>
        <w:instrText xml:space="preserve">)</w:instrText>
      </w:r>
      <w:r>
        <w:fldChar w:fldCharType="separate"/>
      </w:r>
      <w:r>
        <w:fldChar w:fldCharType="end"/>
      </w:r>
    </w:p>
    <w:p w14:paraId="784F306C">
      <w:pPr>
        <w:ind w:firstLine="480"/>
      </w:pPr>
      <w:r>
        <w:t>在轴承RUL预测任务中，ResNet 已被广泛应用于振动信号的深度特征提取，其残差结构能够在增加网络深度的同时避免过拟合</w:t>
      </w:r>
      <w:r>
        <w:rPr>
          <w:vertAlign w:val="superscript"/>
        </w:rPr>
        <w:fldChar w:fldCharType="begin"/>
      </w:r>
      <w:r>
        <w:instrText xml:space="preserve"> REF _Ref5724 \r \h  \* MERGEFORMAT</w:instrText>
      </w:r>
      <w:r>
        <w:rPr>
          <w:vertAlign w:val="superscript"/>
        </w:rPr>
        <w:fldChar w:fldCharType="separate"/>
      </w:r>
      <w:r>
        <w:rPr>
          <w:vertAlign w:val="superscript"/>
        </w:rPr>
        <w:t>[25]</w:t>
      </w:r>
      <w:r>
        <w:rPr>
          <w:vertAlign w:val="superscript"/>
        </w:rPr>
        <w:fldChar w:fldCharType="end"/>
      </w:r>
      <w:r>
        <w:rPr>
          <w:vertAlign w:val="superscript"/>
        </w:rPr>
        <w:fldChar w:fldCharType="begin"/>
      </w:r>
      <w:r>
        <w:instrText xml:space="preserve"> REF _Ref6244 \r \h  \* MERGEFORMAT</w:instrText>
      </w:r>
      <w:r>
        <w:rPr>
          <w:vertAlign w:val="superscript"/>
        </w:rPr>
        <w:fldChar w:fldCharType="separate"/>
      </w:r>
      <w:r>
        <w:rPr>
          <w:vertAlign w:val="superscript"/>
        </w:rPr>
        <w:t>[36]</w:t>
      </w:r>
      <w:r>
        <w:rPr>
          <w:vertAlign w:val="superscript"/>
        </w:rPr>
        <w:fldChar w:fldCharType="end"/>
      </w:r>
      <w:r>
        <w:t>。ResNet优势具体表现为：</w:t>
      </w:r>
    </w:p>
    <w:p w14:paraId="1101A330">
      <w:pPr>
        <w:numPr>
          <w:ilvl w:val="0"/>
          <w:numId w:val="3"/>
        </w:numPr>
        <w:ind w:firstLine="480"/>
      </w:pPr>
      <w:r>
        <w:t>残差结构使网络深度可以适当增加，从而提取更抽象的高阶退化特征；</w:t>
      </w:r>
    </w:p>
    <w:p w14:paraId="06DE16F9">
      <w:pPr>
        <w:numPr>
          <w:ilvl w:val="0"/>
          <w:numId w:val="3"/>
        </w:numPr>
        <w:ind w:firstLine="480"/>
      </w:pPr>
      <w:r>
        <w:t>恒等映射的存在使得网络在需要时可以退化为浅层网络，避免了对简单工况的过拟合；</w:t>
      </w:r>
    </w:p>
    <w:p w14:paraId="1123FA38">
      <w:pPr>
        <w:numPr>
          <w:ilvl w:val="0"/>
          <w:numId w:val="3"/>
        </w:numPr>
        <w:ind w:firstLine="480"/>
      </w:pPr>
      <w:r>
        <w:t>一维卷积天然适合处理振动信号的频谱序列，保持了频域的局部相关性。本文采用的一维ResNet包含两个残差块，在保证特征提取能力的同时控制了模型复杂度，适配轴承全寿命数据样本量有限的现实约束。</w:t>
      </w:r>
    </w:p>
    <w:p w14:paraId="2C42ECD1">
      <w:pPr>
        <w:pStyle w:val="4"/>
        <w:spacing w:before="120" w:after="120"/>
      </w:pPr>
      <w:bookmarkStart w:id="35" w:name="_Toc23498"/>
      <w:bookmarkStart w:id="36" w:name="_Toc13695"/>
      <w:r>
        <w:t>2.2.2 挤压激励（SE）注意力机制</w:t>
      </w:r>
      <w:bookmarkEnd w:id="35"/>
      <w:bookmarkEnd w:id="36"/>
    </w:p>
    <w:p w14:paraId="189B778C">
      <w:pPr>
        <w:ind w:firstLine="480"/>
      </w:pPr>
      <w:r>
        <w:rPr>
          <w:rFonts w:hint="eastAsia"/>
        </w:rPr>
        <w:t>SE注意力机制是Hu等人在2017年提出来的，思路很直接：卷积输出的各个通道不该被一视同仁，网络应该自己学会哪个通道重要、哪个通道可以忽略</w:t>
      </w:r>
      <w:r>
        <w:rPr>
          <w:vertAlign w:val="superscript"/>
        </w:rPr>
        <w:fldChar w:fldCharType="begin"/>
      </w:r>
      <w:r>
        <w:instrText xml:space="preserve"> REF _Ref5979 \r \h  \* MERGEFORMAT</w:instrText>
      </w:r>
      <w:r>
        <w:rPr>
          <w:vertAlign w:val="superscript"/>
        </w:rPr>
        <w:fldChar w:fldCharType="separate"/>
      </w:r>
      <w:r>
        <w:rPr>
          <w:vertAlign w:val="superscript"/>
        </w:rPr>
        <w:t>[30]</w:t>
      </w:r>
      <w:r>
        <w:rPr>
          <w:vertAlign w:val="superscript"/>
        </w:rPr>
        <w:fldChar w:fldCharType="end"/>
      </w:r>
      <w:r>
        <w:rPr>
          <w:vertAlign w:val="superscript"/>
        </w:rPr>
        <w:fldChar w:fldCharType="begin"/>
      </w:r>
      <w:r>
        <w:instrText xml:space="preserve"> REF _Ref15155 \r \h  \* MERGEFORMAT</w:instrText>
      </w:r>
      <w:r>
        <w:rPr>
          <w:vertAlign w:val="superscript"/>
        </w:rPr>
        <w:fldChar w:fldCharType="separate"/>
      </w:r>
      <w:r>
        <w:rPr>
          <w:vertAlign w:val="superscript"/>
        </w:rPr>
        <w:t>[50]</w:t>
      </w:r>
      <w:r>
        <w:rPr>
          <w:vertAlign w:val="superscript"/>
        </w:rPr>
        <w:fldChar w:fldCharType="end"/>
      </w:r>
      <w:r>
        <w:t>。</w:t>
      </w:r>
    </w:p>
    <w:p w14:paraId="1E83E9CA">
      <w:r>
        <w:rPr>
          <w:rFonts w:hint="eastAsia"/>
        </w:rPr>
        <w:t>具体做法分两步——先挤压，每个通道全局平均池化成一个数，把空间信息压扁；再激励，</w:t>
      </w:r>
      <w:r>
        <w:rPr>
          <w:rFonts w:hint="eastAsia"/>
          <w:lang w:eastAsia="zh-CN"/>
        </w:rPr>
        <w:t>使</w:t>
      </w:r>
      <w:r>
        <w:rPr>
          <w:rFonts w:hint="eastAsia"/>
        </w:rPr>
        <w:t>这个数过两层全连接组成的瓶颈结构，学出一个通道权重向量。最后</w:t>
      </w:r>
      <w:r>
        <w:rPr>
          <w:rFonts w:hint="eastAsia"/>
          <w:lang w:val="en-US" w:eastAsia="zh-CN"/>
        </w:rPr>
        <w:t>用</w:t>
      </w:r>
      <w:r>
        <w:rPr>
          <w:rFonts w:hint="eastAsia"/>
        </w:rPr>
        <w:t>这个权重逐通道乘回原始特征图，对通道进行加权缩放。跨工况下，不同工况的振动信号对退化敏感的频带分布本来就不一样，SE模块能根据当前输入的统计特性，自动把最有判别力的通道放大、把噪声通道压下去，做到工况自适应的特征校准</w:t>
      </w:r>
      <w:r>
        <w:rPr>
          <w:vertAlign w:val="superscript"/>
        </w:rPr>
        <w:fldChar w:fldCharType="begin"/>
      </w:r>
      <w:r>
        <w:instrText xml:space="preserve"> REF _Ref5411 \r \h  \* MERGEFORMAT</w:instrText>
      </w:r>
      <w:r>
        <w:rPr>
          <w:vertAlign w:val="superscript"/>
        </w:rPr>
        <w:fldChar w:fldCharType="separate"/>
      </w:r>
      <w:r>
        <w:rPr>
          <w:vertAlign w:val="superscript"/>
        </w:rPr>
        <w:t>[17]</w:t>
      </w:r>
      <w:r>
        <w:rPr>
          <w:vertAlign w:val="superscript"/>
        </w:rPr>
        <w:fldChar w:fldCharType="end"/>
      </w:r>
      <w:r>
        <w:t>。</w:t>
      </w:r>
    </w:p>
    <w:p w14:paraId="45ACB862">
      <w:pPr>
        <w:pStyle w:val="4"/>
        <w:spacing w:before="120" w:after="120"/>
      </w:pPr>
      <w:bookmarkStart w:id="37" w:name="_Toc4262"/>
      <w:bookmarkStart w:id="38" w:name="_Toc5142"/>
      <w:r>
        <w:t>2.2.3 双向门控循环单元（BiGRU）</w:t>
      </w:r>
      <w:bookmarkEnd w:id="37"/>
      <w:bookmarkEnd w:id="38"/>
    </w:p>
    <w:p w14:paraId="142D585E">
      <w:pPr>
        <w:ind w:firstLine="480"/>
      </w:pPr>
      <w:r>
        <w:rPr>
          <w:rFonts w:hint="eastAsia"/>
        </w:rPr>
        <w:t>GRU可以看成LSTM的精简版，只留了重置门和更新门两个门控，长时记忆能力还在，结构却轻了不少</w:t>
      </w:r>
      <w:r>
        <w:rPr>
          <w:vertAlign w:val="superscript"/>
        </w:rPr>
        <w:fldChar w:fldCharType="begin"/>
      </w:r>
      <w:r>
        <w:instrText xml:space="preserve"> REF _Ref6462 \r \h  \* MERGEFORMAT</w:instrText>
      </w:r>
      <w:r>
        <w:rPr>
          <w:vertAlign w:val="superscript"/>
        </w:rPr>
        <w:fldChar w:fldCharType="separate"/>
      </w:r>
      <w:r>
        <w:rPr>
          <w:vertAlign w:val="superscript"/>
        </w:rPr>
        <w:t>[40]</w:t>
      </w:r>
      <w:r>
        <w:rPr>
          <w:vertAlign w:val="superscript"/>
        </w:rPr>
        <w:fldChar w:fldCharType="end"/>
      </w:r>
      <w:r>
        <w:t>。</w:t>
      </w:r>
      <w:r>
        <w:rPr>
          <w:rFonts w:hint="eastAsia"/>
        </w:rPr>
        <w:t>BiGRU就是在GRU基础上加了一层反向GRU——正向和反向各跑一遍，最后把两个方向的隐状态拼在一起作为输出</w:t>
      </w:r>
      <w:r>
        <w:rPr>
          <w:vertAlign w:val="superscript"/>
        </w:rPr>
        <w:fldChar w:fldCharType="begin"/>
      </w:r>
      <w:r>
        <w:instrText xml:space="preserve"> REF _Ref6244 \r \h  \* MERGEFORMAT</w:instrText>
      </w:r>
      <w:r>
        <w:rPr>
          <w:vertAlign w:val="superscript"/>
        </w:rPr>
        <w:fldChar w:fldCharType="separate"/>
      </w:r>
      <w:r>
        <w:rPr>
          <w:vertAlign w:val="superscript"/>
        </w:rPr>
        <w:t>[36]</w:t>
      </w:r>
      <w:r>
        <w:rPr>
          <w:vertAlign w:val="superscript"/>
        </w:rPr>
        <w:fldChar w:fldCharType="end"/>
      </w:r>
      <w:r>
        <w:t>。</w:t>
      </w:r>
    </w:p>
    <w:p w14:paraId="0E2A64D1">
      <w:pPr>
        <w:ind w:firstLine="480"/>
        <w:rPr>
          <w:rFonts w:hint="eastAsia"/>
        </w:rPr>
      </w:pPr>
      <w:r>
        <w:rPr>
          <w:rFonts w:hint="eastAsia"/>
        </w:rPr>
        <w:t>轴承退化有个特点：当前的健康状态不光跟“过去”有关，“未来”信号里其实也藏着上下文——比如接下来冲击会不会更剧烈、退化是不是在加速。BiGRU靠双向信息流把前向的退化累积和后向的故障回溯同时抓到，对工况变化带来的局部波动比单向结构更鲁棒。</w:t>
      </w:r>
    </w:p>
    <w:p w14:paraId="0B6A57E8">
      <w:pPr>
        <w:pStyle w:val="3"/>
        <w:spacing w:before="120" w:after="120"/>
      </w:pPr>
      <w:bookmarkStart w:id="39" w:name="_Toc21398"/>
      <w:bookmarkStart w:id="40" w:name="_Toc19606"/>
      <w:r>
        <w:t>2.3 XJTU-SY滚动轴承多工况数据集分析与建模需求</w:t>
      </w:r>
      <w:bookmarkEnd w:id="39"/>
      <w:bookmarkEnd w:id="40"/>
    </w:p>
    <w:p w14:paraId="09BB18AE">
      <w:pPr>
        <w:pStyle w:val="4"/>
        <w:spacing w:before="120" w:after="120"/>
      </w:pPr>
      <w:bookmarkStart w:id="41" w:name="_Toc3848"/>
      <w:bookmarkStart w:id="42" w:name="_Toc26969"/>
      <w:r>
        <w:t>2.3.1 数据集来源、构成与工况设置</w:t>
      </w:r>
      <w:bookmarkEnd w:id="41"/>
      <w:bookmarkEnd w:id="42"/>
    </w:p>
    <w:p w14:paraId="69AE83EE">
      <w:pPr>
        <w:ind w:firstLine="480"/>
      </w:pPr>
      <w:r>
        <w:rPr>
          <w:rFonts w:hint="eastAsia"/>
        </w:rPr>
        <w:t>本文用的是西安交通大学发布的XJTU-SY滚动轴承加速寿命试验数据集</w:t>
      </w:r>
      <w:r>
        <w:rPr>
          <w:vertAlign w:val="superscript"/>
        </w:rPr>
        <w:fldChar w:fldCharType="begin"/>
      </w:r>
      <w:r>
        <w:instrText xml:space="preserve"> REF _Ref4924 \r \h  \* MERGEFORMAT</w:instrText>
      </w:r>
      <w:r>
        <w:rPr>
          <w:vertAlign w:val="superscript"/>
        </w:rPr>
        <w:fldChar w:fldCharType="separate"/>
      </w:r>
      <w:r>
        <w:rPr>
          <w:vertAlign w:val="superscript"/>
        </w:rPr>
        <w:t>[9]</w:t>
      </w:r>
      <w:r>
        <w:rPr>
          <w:vertAlign w:val="superscript"/>
        </w:rPr>
        <w:fldChar w:fldCharType="end"/>
      </w:r>
      <w:r>
        <w:t>，</w:t>
      </w:r>
      <w:r>
        <w:rPr>
          <w:rFonts w:hint="eastAsia"/>
        </w:rPr>
        <w:t>做轴承RUL预测的人对这个数据集应该不陌生，它已经是这个领域用得最广泛的基准之一了</w:t>
      </w:r>
      <w:r>
        <w:rPr>
          <w:vertAlign w:val="superscript"/>
        </w:rPr>
        <w:fldChar w:fldCharType="begin"/>
      </w:r>
      <w:r>
        <w:instrText xml:space="preserve"> REF _Ref5192 \r \h  \* MERGEFORMAT</w:instrText>
      </w:r>
      <w:r>
        <w:rPr>
          <w:vertAlign w:val="superscript"/>
        </w:rPr>
        <w:fldChar w:fldCharType="separate"/>
      </w:r>
      <w:r>
        <w:rPr>
          <w:vertAlign w:val="superscript"/>
        </w:rPr>
        <w:t>[12]</w:t>
      </w:r>
      <w:r>
        <w:rPr>
          <w:vertAlign w:val="superscript"/>
        </w:rPr>
        <w:fldChar w:fldCharType="end"/>
      </w:r>
      <w:r>
        <w:rPr>
          <w:vertAlign w:val="superscript"/>
        </w:rPr>
        <w:fldChar w:fldCharType="begin"/>
      </w:r>
      <w:r>
        <w:instrText xml:space="preserve"> REF _Ref5411 \r \h  \* MERGEFORMAT</w:instrText>
      </w:r>
      <w:r>
        <w:rPr>
          <w:vertAlign w:val="superscript"/>
        </w:rPr>
        <w:fldChar w:fldCharType="separate"/>
      </w:r>
      <w:r>
        <w:rPr>
          <w:vertAlign w:val="superscript"/>
        </w:rPr>
        <w:t>[17]</w:t>
      </w:r>
      <w:r>
        <w:rPr>
          <w:vertAlign w:val="superscript"/>
        </w:rPr>
        <w:fldChar w:fldCharType="end"/>
      </w:r>
      <w:r>
        <w:rPr>
          <w:vertAlign w:val="superscript"/>
        </w:rPr>
        <w:fldChar w:fldCharType="begin"/>
      </w:r>
      <w:r>
        <w:instrText xml:space="preserve"> REF _Ref5496 \r \h  \* MERGEFORMAT</w:instrText>
      </w:r>
      <w:r>
        <w:rPr>
          <w:vertAlign w:val="superscript"/>
        </w:rPr>
        <w:fldChar w:fldCharType="separate"/>
      </w:r>
      <w:r>
        <w:rPr>
          <w:vertAlign w:val="superscript"/>
        </w:rPr>
        <w:t>[19]</w:t>
      </w:r>
      <w:r>
        <w:rPr>
          <w:vertAlign w:val="superscript"/>
        </w:rPr>
        <w:fldChar w:fldCharType="end"/>
      </w:r>
      <w:r>
        <w:t>。数据集包含15个LDKUER204型滚动轴承在三种不同工况下的全寿命振动数据，具体工况参数如表2-1所示。</w:t>
      </w:r>
    </w:p>
    <w:p w14:paraId="67082E8E">
      <w:pPr>
        <w:pStyle w:val="8"/>
        <w:rPr>
          <w:rFonts w:ascii="Times New Roman" w:hAnsi="Times New Roman"/>
        </w:rPr>
      </w:pPr>
      <w:r>
        <w:rPr>
          <w:rFonts w:ascii="Times New Roman" w:hAnsi="Times New Roman"/>
        </w:rPr>
        <w:t>表2-</w:t>
      </w:r>
      <w:r>
        <w:rPr>
          <w:rFonts w:ascii="Times New Roman" w:hAnsi="Times New Roman"/>
        </w:rPr>
        <w:fldChar w:fldCharType="begin"/>
      </w:r>
      <w:r>
        <w:rPr>
          <w:rFonts w:ascii="Times New Roman" w:hAnsi="Times New Roman"/>
        </w:rPr>
        <w:instrText xml:space="preserve"> SEQ 表 \* ARABIC \s 1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bookmarkStart w:id="43" w:name="_Toc3826"/>
      <w:r>
        <w:rPr>
          <w:rFonts w:ascii="Times New Roman" w:hAnsi="Times New Roman"/>
        </w:rPr>
        <w:t xml:space="preserve">  XJTU-SY数据集工况参数</w:t>
      </w:r>
      <w:bookmarkEnd w:id="43"/>
    </w:p>
    <w:tbl>
      <w:tblPr>
        <w:tblStyle w:val="22"/>
        <w:tblW w:w="4998" w:type="pct"/>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352"/>
        <w:gridCol w:w="1430"/>
        <w:gridCol w:w="1824"/>
        <w:gridCol w:w="2566"/>
        <w:gridCol w:w="1353"/>
      </w:tblGrid>
      <w:tr w14:paraId="6CA22A8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793" w:type="pct"/>
            <w:tcBorders>
              <w:top w:val="single" w:color="auto" w:sz="12" w:space="0"/>
              <w:left w:val="nil"/>
              <w:bottom w:val="nil"/>
              <w:right w:val="nil"/>
            </w:tcBorders>
            <w:tcMar>
              <w:top w:w="-1" w:type="dxa"/>
              <w:left w:w="-1" w:type="dxa"/>
              <w:bottom w:w="-1" w:type="dxa"/>
              <w:right w:w="-1" w:type="dxa"/>
            </w:tcMar>
            <w:vAlign w:val="center"/>
          </w:tcPr>
          <w:p w14:paraId="3FEEE968">
            <w:pPr>
              <w:snapToGrid w:val="0"/>
              <w:spacing w:line="360" w:lineRule="auto"/>
              <w:ind w:firstLine="0" w:firstLineChars="0"/>
              <w:jc w:val="center"/>
              <w:rPr>
                <w:bCs/>
                <w:sz w:val="21"/>
                <w:szCs w:val="21"/>
              </w:rPr>
            </w:pPr>
            <w:r>
              <w:rPr>
                <w:bCs/>
                <w:sz w:val="21"/>
                <w:szCs w:val="21"/>
              </w:rPr>
              <w:t>工况编号</w:t>
            </w:r>
          </w:p>
        </w:tc>
        <w:tc>
          <w:tcPr>
            <w:tcW w:w="838" w:type="pct"/>
            <w:tcBorders>
              <w:top w:val="single" w:color="auto" w:sz="12" w:space="0"/>
              <w:left w:val="nil"/>
              <w:bottom w:val="nil"/>
              <w:right w:val="nil"/>
            </w:tcBorders>
            <w:tcMar>
              <w:top w:w="-1" w:type="dxa"/>
              <w:left w:w="-1" w:type="dxa"/>
              <w:bottom w:w="-1" w:type="dxa"/>
              <w:right w:w="-1" w:type="dxa"/>
            </w:tcMar>
            <w:vAlign w:val="center"/>
          </w:tcPr>
          <w:p w14:paraId="4B7D233B">
            <w:pPr>
              <w:snapToGrid w:val="0"/>
              <w:spacing w:line="360" w:lineRule="auto"/>
              <w:ind w:firstLine="0" w:firstLineChars="0"/>
              <w:jc w:val="center"/>
              <w:rPr>
                <w:bCs/>
                <w:sz w:val="21"/>
                <w:szCs w:val="21"/>
              </w:rPr>
            </w:pPr>
            <w:r>
              <w:rPr>
                <w:bCs/>
                <w:sz w:val="21"/>
                <w:szCs w:val="21"/>
              </w:rPr>
              <w:t>转速(rpm)</w:t>
            </w:r>
          </w:p>
        </w:tc>
        <w:tc>
          <w:tcPr>
            <w:tcW w:w="1069" w:type="pct"/>
            <w:tcBorders>
              <w:top w:val="single" w:color="auto" w:sz="12" w:space="0"/>
              <w:left w:val="nil"/>
              <w:bottom w:val="nil"/>
              <w:right w:val="nil"/>
            </w:tcBorders>
            <w:tcMar>
              <w:top w:w="-1" w:type="dxa"/>
              <w:left w:w="-1" w:type="dxa"/>
              <w:bottom w:w="-1" w:type="dxa"/>
              <w:right w:w="-1" w:type="dxa"/>
            </w:tcMar>
            <w:vAlign w:val="center"/>
          </w:tcPr>
          <w:p w14:paraId="1ABD7038">
            <w:pPr>
              <w:snapToGrid w:val="0"/>
              <w:spacing w:line="360" w:lineRule="auto"/>
              <w:ind w:firstLine="0" w:firstLineChars="0"/>
              <w:jc w:val="center"/>
              <w:rPr>
                <w:bCs/>
                <w:sz w:val="21"/>
                <w:szCs w:val="21"/>
              </w:rPr>
            </w:pPr>
            <w:r>
              <w:rPr>
                <w:bCs/>
                <w:sz w:val="21"/>
                <w:szCs w:val="21"/>
              </w:rPr>
              <w:t>径向载荷(kN)</w:t>
            </w:r>
          </w:p>
        </w:tc>
        <w:tc>
          <w:tcPr>
            <w:tcW w:w="1504" w:type="pct"/>
            <w:tcBorders>
              <w:top w:val="single" w:color="auto" w:sz="12" w:space="0"/>
              <w:left w:val="nil"/>
              <w:bottom w:val="nil"/>
              <w:right w:val="nil"/>
            </w:tcBorders>
            <w:tcMar>
              <w:top w:w="-1" w:type="dxa"/>
              <w:left w:w="-1" w:type="dxa"/>
              <w:bottom w:w="-1" w:type="dxa"/>
              <w:right w:w="-1" w:type="dxa"/>
            </w:tcMar>
            <w:vAlign w:val="center"/>
          </w:tcPr>
          <w:p w14:paraId="7086C964">
            <w:pPr>
              <w:snapToGrid w:val="0"/>
              <w:spacing w:line="360" w:lineRule="auto"/>
              <w:ind w:firstLine="0" w:firstLineChars="0"/>
              <w:jc w:val="center"/>
              <w:rPr>
                <w:bCs/>
                <w:sz w:val="21"/>
                <w:szCs w:val="21"/>
              </w:rPr>
            </w:pPr>
            <w:r>
              <w:rPr>
                <w:bCs/>
                <w:sz w:val="21"/>
                <w:szCs w:val="21"/>
              </w:rPr>
              <w:t>等效频率/载荷描述</w:t>
            </w:r>
          </w:p>
        </w:tc>
        <w:tc>
          <w:tcPr>
            <w:tcW w:w="793" w:type="pct"/>
            <w:tcBorders>
              <w:top w:val="single" w:color="auto" w:sz="12" w:space="0"/>
              <w:left w:val="nil"/>
              <w:bottom w:val="nil"/>
              <w:right w:val="nil"/>
            </w:tcBorders>
            <w:tcMar>
              <w:top w:w="-1" w:type="dxa"/>
              <w:left w:w="-1" w:type="dxa"/>
              <w:bottom w:w="-1" w:type="dxa"/>
              <w:right w:w="-1" w:type="dxa"/>
            </w:tcMar>
            <w:vAlign w:val="center"/>
          </w:tcPr>
          <w:p w14:paraId="7DE8F23E">
            <w:pPr>
              <w:snapToGrid w:val="0"/>
              <w:spacing w:line="360" w:lineRule="auto"/>
              <w:ind w:firstLine="0" w:firstLineChars="0"/>
              <w:jc w:val="center"/>
              <w:rPr>
                <w:bCs/>
                <w:sz w:val="21"/>
                <w:szCs w:val="21"/>
              </w:rPr>
            </w:pPr>
            <w:r>
              <w:rPr>
                <w:bCs/>
                <w:sz w:val="21"/>
                <w:szCs w:val="21"/>
              </w:rPr>
              <w:t>轴承数量</w:t>
            </w:r>
          </w:p>
        </w:tc>
      </w:tr>
      <w:tr w14:paraId="1B2453A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793" w:type="pct"/>
            <w:tcBorders>
              <w:top w:val="single" w:color="auto" w:sz="4" w:space="0"/>
              <w:left w:val="nil"/>
              <w:bottom w:val="nil"/>
              <w:right w:val="nil"/>
            </w:tcBorders>
            <w:tcMar>
              <w:top w:w="-1" w:type="dxa"/>
              <w:left w:w="-1" w:type="dxa"/>
              <w:bottom w:w="-1" w:type="dxa"/>
              <w:right w:w="-1" w:type="dxa"/>
            </w:tcMar>
            <w:vAlign w:val="center"/>
          </w:tcPr>
          <w:p w14:paraId="2446A6E8">
            <w:pPr>
              <w:snapToGrid w:val="0"/>
              <w:spacing w:line="360" w:lineRule="auto"/>
              <w:ind w:firstLine="0" w:firstLineChars="0"/>
              <w:jc w:val="center"/>
              <w:rPr>
                <w:bCs/>
                <w:sz w:val="21"/>
                <w:szCs w:val="21"/>
              </w:rPr>
            </w:pPr>
            <w:r>
              <w:rPr>
                <w:bCs/>
                <w:sz w:val="21"/>
                <w:szCs w:val="21"/>
              </w:rPr>
              <w:t>工况1</w:t>
            </w:r>
          </w:p>
        </w:tc>
        <w:tc>
          <w:tcPr>
            <w:tcW w:w="838" w:type="pct"/>
            <w:tcBorders>
              <w:top w:val="single" w:color="auto" w:sz="4" w:space="0"/>
              <w:left w:val="nil"/>
              <w:bottom w:val="nil"/>
              <w:right w:val="nil"/>
            </w:tcBorders>
            <w:tcMar>
              <w:top w:w="-1" w:type="dxa"/>
              <w:left w:w="-1" w:type="dxa"/>
              <w:bottom w:w="-1" w:type="dxa"/>
              <w:right w:w="-1" w:type="dxa"/>
            </w:tcMar>
            <w:vAlign w:val="center"/>
          </w:tcPr>
          <w:p w14:paraId="457DE3BA">
            <w:pPr>
              <w:snapToGrid w:val="0"/>
              <w:spacing w:line="360" w:lineRule="auto"/>
              <w:ind w:firstLine="0" w:firstLineChars="0"/>
              <w:jc w:val="center"/>
              <w:rPr>
                <w:bCs/>
                <w:sz w:val="21"/>
                <w:szCs w:val="21"/>
              </w:rPr>
            </w:pPr>
            <w:r>
              <w:rPr>
                <w:bCs/>
                <w:sz w:val="21"/>
                <w:szCs w:val="21"/>
              </w:rPr>
              <w:t>2100</w:t>
            </w:r>
          </w:p>
        </w:tc>
        <w:tc>
          <w:tcPr>
            <w:tcW w:w="1069" w:type="pct"/>
            <w:tcBorders>
              <w:top w:val="single" w:color="auto" w:sz="4" w:space="0"/>
              <w:left w:val="nil"/>
              <w:bottom w:val="nil"/>
              <w:right w:val="nil"/>
            </w:tcBorders>
            <w:tcMar>
              <w:top w:w="-1" w:type="dxa"/>
              <w:left w:w="-1" w:type="dxa"/>
              <w:bottom w:w="-1" w:type="dxa"/>
              <w:right w:w="-1" w:type="dxa"/>
            </w:tcMar>
            <w:vAlign w:val="center"/>
          </w:tcPr>
          <w:p w14:paraId="0996416C">
            <w:pPr>
              <w:snapToGrid w:val="0"/>
              <w:spacing w:line="360" w:lineRule="auto"/>
              <w:ind w:firstLine="0" w:firstLineChars="0"/>
              <w:jc w:val="center"/>
              <w:rPr>
                <w:bCs/>
                <w:sz w:val="21"/>
                <w:szCs w:val="21"/>
              </w:rPr>
            </w:pPr>
            <w:r>
              <w:rPr>
                <w:bCs/>
                <w:sz w:val="21"/>
                <w:szCs w:val="21"/>
              </w:rPr>
              <w:t>12</w:t>
            </w:r>
          </w:p>
        </w:tc>
        <w:tc>
          <w:tcPr>
            <w:tcW w:w="1504" w:type="pct"/>
            <w:tcBorders>
              <w:top w:val="single" w:color="auto" w:sz="4" w:space="0"/>
              <w:left w:val="nil"/>
              <w:bottom w:val="nil"/>
              <w:right w:val="nil"/>
            </w:tcBorders>
            <w:tcMar>
              <w:top w:w="-1" w:type="dxa"/>
              <w:left w:w="-1" w:type="dxa"/>
              <w:bottom w:w="-1" w:type="dxa"/>
              <w:right w:w="-1" w:type="dxa"/>
            </w:tcMar>
            <w:vAlign w:val="center"/>
          </w:tcPr>
          <w:p w14:paraId="64588075">
            <w:pPr>
              <w:snapToGrid w:val="0"/>
              <w:spacing w:line="360" w:lineRule="auto"/>
              <w:ind w:firstLine="0" w:firstLineChars="0"/>
              <w:jc w:val="center"/>
              <w:rPr>
                <w:bCs/>
                <w:sz w:val="21"/>
                <w:szCs w:val="21"/>
              </w:rPr>
            </w:pPr>
            <w:r>
              <w:rPr>
                <w:bCs/>
                <w:sz w:val="21"/>
                <w:szCs w:val="21"/>
              </w:rPr>
              <w:t>35Hz/12kN</w:t>
            </w:r>
          </w:p>
        </w:tc>
        <w:tc>
          <w:tcPr>
            <w:tcW w:w="793" w:type="pct"/>
            <w:tcBorders>
              <w:top w:val="single" w:color="auto" w:sz="4" w:space="0"/>
              <w:left w:val="nil"/>
              <w:bottom w:val="nil"/>
              <w:right w:val="nil"/>
            </w:tcBorders>
            <w:tcMar>
              <w:top w:w="-1" w:type="dxa"/>
              <w:left w:w="-1" w:type="dxa"/>
              <w:bottom w:w="-1" w:type="dxa"/>
              <w:right w:w="-1" w:type="dxa"/>
            </w:tcMar>
            <w:vAlign w:val="center"/>
          </w:tcPr>
          <w:p w14:paraId="3244F97F">
            <w:pPr>
              <w:snapToGrid w:val="0"/>
              <w:spacing w:line="360" w:lineRule="auto"/>
              <w:ind w:firstLine="0" w:firstLineChars="0"/>
              <w:jc w:val="center"/>
              <w:rPr>
                <w:bCs/>
                <w:sz w:val="21"/>
                <w:szCs w:val="21"/>
              </w:rPr>
            </w:pPr>
            <w:r>
              <w:rPr>
                <w:bCs/>
                <w:sz w:val="21"/>
                <w:szCs w:val="21"/>
              </w:rPr>
              <w:t>5</w:t>
            </w:r>
          </w:p>
        </w:tc>
      </w:tr>
      <w:tr w14:paraId="195B9FD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793" w:type="pct"/>
            <w:tcBorders>
              <w:top w:val="nil"/>
              <w:left w:val="nil"/>
              <w:bottom w:val="nil"/>
              <w:right w:val="nil"/>
            </w:tcBorders>
            <w:tcMar>
              <w:top w:w="-1" w:type="dxa"/>
              <w:left w:w="-1" w:type="dxa"/>
              <w:bottom w:w="-1" w:type="dxa"/>
              <w:right w:w="-1" w:type="dxa"/>
            </w:tcMar>
            <w:vAlign w:val="center"/>
          </w:tcPr>
          <w:p w14:paraId="5BAB0C2E">
            <w:pPr>
              <w:snapToGrid w:val="0"/>
              <w:spacing w:line="360" w:lineRule="auto"/>
              <w:ind w:firstLine="0" w:firstLineChars="0"/>
              <w:jc w:val="center"/>
              <w:rPr>
                <w:bCs/>
                <w:sz w:val="21"/>
                <w:szCs w:val="21"/>
              </w:rPr>
            </w:pPr>
            <w:r>
              <w:rPr>
                <w:bCs/>
                <w:sz w:val="21"/>
                <w:szCs w:val="21"/>
              </w:rPr>
              <w:t>工况2</w:t>
            </w:r>
          </w:p>
        </w:tc>
        <w:tc>
          <w:tcPr>
            <w:tcW w:w="838" w:type="pct"/>
            <w:tcBorders>
              <w:top w:val="nil"/>
              <w:left w:val="nil"/>
              <w:bottom w:val="nil"/>
              <w:right w:val="nil"/>
            </w:tcBorders>
            <w:tcMar>
              <w:top w:w="-1" w:type="dxa"/>
              <w:left w:w="-1" w:type="dxa"/>
              <w:bottom w:w="-1" w:type="dxa"/>
              <w:right w:w="-1" w:type="dxa"/>
            </w:tcMar>
            <w:vAlign w:val="center"/>
          </w:tcPr>
          <w:p w14:paraId="4BFF35F9">
            <w:pPr>
              <w:snapToGrid w:val="0"/>
              <w:spacing w:line="360" w:lineRule="auto"/>
              <w:ind w:firstLine="0" w:firstLineChars="0"/>
              <w:jc w:val="center"/>
              <w:rPr>
                <w:bCs/>
                <w:sz w:val="21"/>
                <w:szCs w:val="21"/>
              </w:rPr>
            </w:pPr>
            <w:r>
              <w:rPr>
                <w:bCs/>
                <w:sz w:val="21"/>
                <w:szCs w:val="21"/>
              </w:rPr>
              <w:t>2250</w:t>
            </w:r>
          </w:p>
        </w:tc>
        <w:tc>
          <w:tcPr>
            <w:tcW w:w="1069" w:type="pct"/>
            <w:tcBorders>
              <w:top w:val="nil"/>
              <w:left w:val="nil"/>
              <w:bottom w:val="nil"/>
              <w:right w:val="nil"/>
            </w:tcBorders>
            <w:tcMar>
              <w:top w:w="-1" w:type="dxa"/>
              <w:left w:w="-1" w:type="dxa"/>
              <w:bottom w:w="-1" w:type="dxa"/>
              <w:right w:w="-1" w:type="dxa"/>
            </w:tcMar>
            <w:vAlign w:val="center"/>
          </w:tcPr>
          <w:p w14:paraId="18C67590">
            <w:pPr>
              <w:snapToGrid w:val="0"/>
              <w:spacing w:line="360" w:lineRule="auto"/>
              <w:ind w:firstLine="0" w:firstLineChars="0"/>
              <w:jc w:val="center"/>
              <w:rPr>
                <w:bCs/>
                <w:sz w:val="21"/>
                <w:szCs w:val="21"/>
              </w:rPr>
            </w:pPr>
            <w:r>
              <w:rPr>
                <w:bCs/>
                <w:sz w:val="21"/>
                <w:szCs w:val="21"/>
              </w:rPr>
              <w:t>11</w:t>
            </w:r>
          </w:p>
        </w:tc>
        <w:tc>
          <w:tcPr>
            <w:tcW w:w="1504" w:type="pct"/>
            <w:tcBorders>
              <w:top w:val="nil"/>
              <w:left w:val="nil"/>
              <w:bottom w:val="nil"/>
              <w:right w:val="nil"/>
            </w:tcBorders>
            <w:tcMar>
              <w:top w:w="-1" w:type="dxa"/>
              <w:left w:w="-1" w:type="dxa"/>
              <w:bottom w:w="-1" w:type="dxa"/>
              <w:right w:w="-1" w:type="dxa"/>
            </w:tcMar>
            <w:vAlign w:val="center"/>
          </w:tcPr>
          <w:p w14:paraId="1098E291">
            <w:pPr>
              <w:snapToGrid w:val="0"/>
              <w:spacing w:line="360" w:lineRule="auto"/>
              <w:ind w:firstLine="0" w:firstLineChars="0"/>
              <w:jc w:val="center"/>
              <w:rPr>
                <w:bCs/>
                <w:sz w:val="21"/>
                <w:szCs w:val="21"/>
              </w:rPr>
            </w:pPr>
            <w:r>
              <w:rPr>
                <w:bCs/>
                <w:sz w:val="21"/>
                <w:szCs w:val="21"/>
              </w:rPr>
              <w:t>37.5Hz/11kN</w:t>
            </w:r>
          </w:p>
        </w:tc>
        <w:tc>
          <w:tcPr>
            <w:tcW w:w="793" w:type="pct"/>
            <w:tcBorders>
              <w:top w:val="nil"/>
              <w:left w:val="nil"/>
              <w:bottom w:val="nil"/>
              <w:right w:val="nil"/>
            </w:tcBorders>
            <w:tcMar>
              <w:top w:w="-1" w:type="dxa"/>
              <w:left w:w="-1" w:type="dxa"/>
              <w:bottom w:w="-1" w:type="dxa"/>
              <w:right w:w="-1" w:type="dxa"/>
            </w:tcMar>
            <w:vAlign w:val="center"/>
          </w:tcPr>
          <w:p w14:paraId="54389291">
            <w:pPr>
              <w:snapToGrid w:val="0"/>
              <w:spacing w:line="360" w:lineRule="auto"/>
              <w:ind w:firstLine="0" w:firstLineChars="0"/>
              <w:jc w:val="center"/>
              <w:rPr>
                <w:bCs/>
                <w:sz w:val="21"/>
                <w:szCs w:val="21"/>
              </w:rPr>
            </w:pPr>
            <w:r>
              <w:rPr>
                <w:bCs/>
                <w:sz w:val="21"/>
                <w:szCs w:val="21"/>
              </w:rPr>
              <w:t>5</w:t>
            </w:r>
          </w:p>
        </w:tc>
      </w:tr>
      <w:tr w14:paraId="3A2FDFE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793" w:type="pct"/>
            <w:tcBorders>
              <w:top w:val="nil"/>
              <w:left w:val="nil"/>
              <w:bottom w:val="single" w:color="auto" w:sz="12" w:space="0"/>
              <w:right w:val="nil"/>
            </w:tcBorders>
            <w:tcMar>
              <w:top w:w="-1" w:type="dxa"/>
              <w:left w:w="-1" w:type="dxa"/>
              <w:bottom w:w="-1" w:type="dxa"/>
              <w:right w:w="-1" w:type="dxa"/>
            </w:tcMar>
            <w:vAlign w:val="center"/>
          </w:tcPr>
          <w:p w14:paraId="6B10BD4B">
            <w:pPr>
              <w:snapToGrid w:val="0"/>
              <w:spacing w:line="360" w:lineRule="auto"/>
              <w:ind w:firstLine="0" w:firstLineChars="0"/>
              <w:jc w:val="center"/>
              <w:rPr>
                <w:bCs/>
                <w:sz w:val="21"/>
                <w:szCs w:val="21"/>
              </w:rPr>
            </w:pPr>
            <w:r>
              <w:rPr>
                <w:bCs/>
                <w:sz w:val="21"/>
                <w:szCs w:val="21"/>
              </w:rPr>
              <w:t>工况3</w:t>
            </w:r>
          </w:p>
        </w:tc>
        <w:tc>
          <w:tcPr>
            <w:tcW w:w="838" w:type="pct"/>
            <w:tcBorders>
              <w:top w:val="nil"/>
              <w:left w:val="nil"/>
              <w:bottom w:val="single" w:color="auto" w:sz="12" w:space="0"/>
              <w:right w:val="nil"/>
            </w:tcBorders>
            <w:tcMar>
              <w:top w:w="-1" w:type="dxa"/>
              <w:left w:w="-1" w:type="dxa"/>
              <w:bottom w:w="-1" w:type="dxa"/>
              <w:right w:w="-1" w:type="dxa"/>
            </w:tcMar>
            <w:vAlign w:val="center"/>
          </w:tcPr>
          <w:p w14:paraId="7C3AE88B">
            <w:pPr>
              <w:snapToGrid w:val="0"/>
              <w:spacing w:line="360" w:lineRule="auto"/>
              <w:ind w:firstLine="0" w:firstLineChars="0"/>
              <w:jc w:val="center"/>
              <w:rPr>
                <w:bCs/>
                <w:sz w:val="21"/>
                <w:szCs w:val="21"/>
              </w:rPr>
            </w:pPr>
            <w:r>
              <w:rPr>
                <w:bCs/>
                <w:sz w:val="21"/>
                <w:szCs w:val="21"/>
              </w:rPr>
              <w:t>2400</w:t>
            </w:r>
          </w:p>
        </w:tc>
        <w:tc>
          <w:tcPr>
            <w:tcW w:w="1069" w:type="pct"/>
            <w:tcBorders>
              <w:top w:val="nil"/>
              <w:left w:val="nil"/>
              <w:bottom w:val="single" w:color="auto" w:sz="12" w:space="0"/>
              <w:right w:val="nil"/>
            </w:tcBorders>
            <w:tcMar>
              <w:top w:w="-1" w:type="dxa"/>
              <w:left w:w="-1" w:type="dxa"/>
              <w:bottom w:w="-1" w:type="dxa"/>
              <w:right w:w="-1" w:type="dxa"/>
            </w:tcMar>
            <w:vAlign w:val="center"/>
          </w:tcPr>
          <w:p w14:paraId="7AF817E6">
            <w:pPr>
              <w:snapToGrid w:val="0"/>
              <w:spacing w:line="360" w:lineRule="auto"/>
              <w:ind w:firstLine="0" w:firstLineChars="0"/>
              <w:jc w:val="center"/>
              <w:rPr>
                <w:bCs/>
                <w:sz w:val="21"/>
                <w:szCs w:val="21"/>
              </w:rPr>
            </w:pPr>
            <w:r>
              <w:rPr>
                <w:bCs/>
                <w:sz w:val="21"/>
                <w:szCs w:val="21"/>
              </w:rPr>
              <w:t>10</w:t>
            </w:r>
          </w:p>
        </w:tc>
        <w:tc>
          <w:tcPr>
            <w:tcW w:w="1504" w:type="pct"/>
            <w:tcBorders>
              <w:top w:val="nil"/>
              <w:left w:val="nil"/>
              <w:bottom w:val="single" w:color="auto" w:sz="12" w:space="0"/>
              <w:right w:val="nil"/>
            </w:tcBorders>
            <w:tcMar>
              <w:top w:w="-1" w:type="dxa"/>
              <w:left w:w="-1" w:type="dxa"/>
              <w:bottom w:w="-1" w:type="dxa"/>
              <w:right w:w="-1" w:type="dxa"/>
            </w:tcMar>
            <w:vAlign w:val="center"/>
          </w:tcPr>
          <w:p w14:paraId="1AB9D90E">
            <w:pPr>
              <w:snapToGrid w:val="0"/>
              <w:spacing w:line="360" w:lineRule="auto"/>
              <w:ind w:firstLine="0" w:firstLineChars="0"/>
              <w:jc w:val="center"/>
              <w:rPr>
                <w:bCs/>
                <w:sz w:val="21"/>
                <w:szCs w:val="21"/>
              </w:rPr>
            </w:pPr>
            <w:r>
              <w:rPr>
                <w:bCs/>
                <w:sz w:val="21"/>
                <w:szCs w:val="21"/>
              </w:rPr>
              <w:t>40Hz/10kN</w:t>
            </w:r>
          </w:p>
        </w:tc>
        <w:tc>
          <w:tcPr>
            <w:tcW w:w="793" w:type="pct"/>
            <w:tcBorders>
              <w:top w:val="nil"/>
              <w:left w:val="nil"/>
              <w:bottom w:val="single" w:color="auto" w:sz="12" w:space="0"/>
              <w:right w:val="nil"/>
            </w:tcBorders>
            <w:tcMar>
              <w:top w:w="-1" w:type="dxa"/>
              <w:left w:w="-1" w:type="dxa"/>
              <w:bottom w:w="-1" w:type="dxa"/>
              <w:right w:w="-1" w:type="dxa"/>
            </w:tcMar>
            <w:vAlign w:val="center"/>
          </w:tcPr>
          <w:p w14:paraId="66C8A35C">
            <w:pPr>
              <w:snapToGrid w:val="0"/>
              <w:spacing w:line="360" w:lineRule="auto"/>
              <w:ind w:firstLine="0" w:firstLineChars="0"/>
              <w:jc w:val="center"/>
              <w:rPr>
                <w:bCs/>
                <w:sz w:val="21"/>
                <w:szCs w:val="21"/>
              </w:rPr>
            </w:pPr>
            <w:r>
              <w:rPr>
                <w:bCs/>
                <w:sz w:val="21"/>
                <w:szCs w:val="21"/>
              </w:rPr>
              <w:t>5</w:t>
            </w:r>
          </w:p>
        </w:tc>
      </w:tr>
    </w:tbl>
    <w:p w14:paraId="59ACA450">
      <w:pPr>
        <w:ind w:firstLine="480"/>
      </w:pPr>
      <w:r>
        <w:rPr>
          <w:rFonts w:hint="eastAsia"/>
        </w:rPr>
        <w:t>试验台主要由交流电机、转轴、支撑轴承、液压加载系统和加速度传感器搭成。采样频率25.6kHz，每分钟采一次，每次1.28秒（32768个点），从轴承开机一直录到完全失效为止。失效形式也多样——内圈磨损、保持架断裂、外圈磨损都有。三种工况下的平均寿命差距悬殊：工况1最短，大约52.6分钟；工况2居中，约537分钟；工况3最长，能到2814分钟左右。这种天然的寿命尺度差异，给研究寿命跨度对RUL预测的影响提供了一个很理想的平台</w:t>
      </w:r>
      <w:r>
        <w:rPr>
          <w:vertAlign w:val="superscript"/>
        </w:rPr>
        <w:fldChar w:fldCharType="begin"/>
      </w:r>
      <w:r>
        <w:instrText xml:space="preserve"> REF _Ref3500 \r \h  \* MERGEFORMAT</w:instrText>
      </w:r>
      <w:r>
        <w:rPr>
          <w:vertAlign w:val="superscript"/>
        </w:rPr>
        <w:fldChar w:fldCharType="separate"/>
      </w:r>
      <w:r>
        <w:rPr>
          <w:vertAlign w:val="superscript"/>
        </w:rPr>
        <w:t>[1]</w:t>
      </w:r>
      <w:r>
        <w:rPr>
          <w:vertAlign w:val="superscript"/>
        </w:rPr>
        <w:fldChar w:fldCharType="end"/>
      </w:r>
      <w:r>
        <w:t>。</w:t>
      </w:r>
    </w:p>
    <w:p w14:paraId="4F286847">
      <w:pPr>
        <w:pStyle w:val="4"/>
        <w:spacing w:before="120" w:after="120"/>
      </w:pPr>
      <w:bookmarkStart w:id="44" w:name="_Toc2463"/>
      <w:bookmarkStart w:id="45" w:name="_Toc17147"/>
      <w:r>
        <w:t>2.3.2 多工况下轴承振动信号的特征差异与演化规律</w:t>
      </w:r>
      <w:bookmarkEnd w:id="44"/>
      <w:bookmarkEnd w:id="45"/>
    </w:p>
    <w:p w14:paraId="4313B571">
      <w:pPr>
        <w:spacing w:line="240" w:lineRule="auto"/>
        <w:ind w:firstLine="480"/>
        <w:jc w:val="left"/>
        <w:rPr>
          <w:rFonts w:hint="eastAsia"/>
        </w:rPr>
      </w:pPr>
      <w:r>
        <w:rPr>
          <w:rFonts w:hint="eastAsia"/>
        </w:rPr>
        <w:t>图2-2给出了三种工况下典型轴承（轴承1_1、2_1、3_1）全寿命周期内水平和垂直方向的时域波形。</w:t>
      </w:r>
    </w:p>
    <w:p w14:paraId="5C35561D">
      <w:pPr>
        <w:spacing w:line="240" w:lineRule="auto"/>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5274945" cy="4749165"/>
            <wp:effectExtent l="0" t="0" r="13335" b="5715"/>
            <wp:docPr id="4" name="图片 4"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2"/>
                    <pic:cNvPicPr>
                      <a:picLocks noChangeAspect="1"/>
                    </pic:cNvPicPr>
                  </pic:nvPicPr>
                  <pic:blipFill>
                    <a:blip r:embed="rId58"/>
                    <a:stretch>
                      <a:fillRect/>
                    </a:stretch>
                  </pic:blipFill>
                  <pic:spPr>
                    <a:xfrm>
                      <a:off x="0" y="0"/>
                      <a:ext cx="5274945" cy="4749165"/>
                    </a:xfrm>
                    <a:prstGeom prst="rect">
                      <a:avLst/>
                    </a:prstGeom>
                  </pic:spPr>
                </pic:pic>
              </a:graphicData>
            </a:graphic>
          </wp:inline>
        </w:drawing>
      </w:r>
    </w:p>
    <w:p w14:paraId="25E14F11">
      <w:pPr>
        <w:spacing w:line="240" w:lineRule="auto"/>
        <w:ind w:left="0" w:leftChars="0" w:firstLine="0" w:firstLineChars="0"/>
        <w:jc w:val="center"/>
        <w:rPr>
          <w:rFonts w:hint="eastAsia" w:eastAsia="宋体"/>
          <w:lang w:eastAsia="zh-CN"/>
        </w:rPr>
      </w:pPr>
    </w:p>
    <w:p w14:paraId="5759FE84">
      <w:pPr>
        <w:pStyle w:val="8"/>
        <w:rPr>
          <w:rFonts w:hint="eastAsia" w:eastAsia="宋体"/>
          <w:lang w:eastAsia="zh-CN"/>
        </w:rPr>
      </w:pPr>
      <w:r>
        <w:rPr>
          <w:rFonts w:ascii="Times New Roman" w:hAnsi="Times New Roman"/>
        </w:rPr>
        <w:t>图2-2 不同工况轴承全生命周期振动信号演化图</w:t>
      </w:r>
    </w:p>
    <w:p w14:paraId="5CB09E0A">
      <w:pPr>
        <w:ind w:firstLine="480"/>
        <w:rPr>
          <w:rFonts w:hint="eastAsia"/>
        </w:rPr>
      </w:pPr>
      <w:r>
        <w:rPr>
          <w:rFonts w:hint="eastAsia"/>
        </w:rPr>
        <w:t>从整体演化规律来看，三种工况下轴承的退化过程遵循统一的物理逻辑——这在多个全寿命数据集上已被反复验证过</w:t>
      </w:r>
      <w:r>
        <w:rPr>
          <w:vertAlign w:val="superscript"/>
        </w:rPr>
        <w:fldChar w:fldCharType="begin"/>
      </w:r>
      <w:r>
        <w:instrText xml:space="preserve"> REF _Ref4924 \r \h  \* MERGEFORMAT</w:instrText>
      </w:r>
      <w:r>
        <w:rPr>
          <w:vertAlign w:val="superscript"/>
        </w:rPr>
        <w:fldChar w:fldCharType="separate"/>
      </w:r>
      <w:r>
        <w:rPr>
          <w:vertAlign w:val="superscript"/>
        </w:rPr>
        <w:t>[9]</w:t>
      </w:r>
      <w:r>
        <w:rPr>
          <w:vertAlign w:val="superscript"/>
        </w:rPr>
        <w:fldChar w:fldCharType="end"/>
      </w:r>
      <w:r>
        <w:rPr>
          <w:vertAlign w:val="superscript"/>
        </w:rPr>
        <w:fldChar w:fldCharType="begin"/>
      </w:r>
      <w:r>
        <w:instrText xml:space="preserve"> REF _Ref5280 \r \h  \* MERGEFORMAT</w:instrText>
      </w:r>
      <w:r>
        <w:rPr>
          <w:vertAlign w:val="superscript"/>
        </w:rPr>
        <w:fldChar w:fldCharType="separate"/>
      </w:r>
      <w:r>
        <w:rPr>
          <w:vertAlign w:val="superscript"/>
        </w:rPr>
        <w:t>[14]</w:t>
      </w:r>
      <w:r>
        <w:rPr>
          <w:vertAlign w:val="superscript"/>
        </w:rPr>
        <w:fldChar w:fldCharType="end"/>
      </w:r>
      <w:r>
        <w:rPr>
          <w:vertAlign w:val="superscript"/>
        </w:rPr>
        <w:fldChar w:fldCharType="begin"/>
      </w:r>
      <w:r>
        <w:instrText xml:space="preserve"> REF _Ref5496 \r \h  \* MERGEFORMAT</w:instrText>
      </w:r>
      <w:r>
        <w:rPr>
          <w:vertAlign w:val="superscript"/>
        </w:rPr>
        <w:fldChar w:fldCharType="separate"/>
      </w:r>
      <w:r>
        <w:rPr>
          <w:vertAlign w:val="superscript"/>
        </w:rPr>
        <w:t>[19]</w:t>
      </w:r>
      <w:r>
        <w:rPr>
          <w:vertAlign w:val="superscript"/>
        </w:rPr>
        <w:fldChar w:fldCharType="end"/>
      </w:r>
      <w:r>
        <w:t>。</w:t>
      </w:r>
      <w:r>
        <w:rPr>
          <w:rFonts w:hint="eastAsia"/>
        </w:rPr>
        <w:t>健康服役初期，振动幅值一直维持在很低的水平，波动极小；随着运行时间拉长，内部开始萌生早期微小损伤，基底噪声一点点往上抬，周期性的冲击特征慢慢露头，幅值进入缓慢上升的阶段；临近寿命终点时，故障迅速恶化，振幅</w:t>
      </w:r>
      <w:r>
        <w:rPr>
          <w:rFonts w:hint="eastAsia"/>
          <w:lang w:eastAsia="zh-CN"/>
        </w:rPr>
        <w:t>急剧上升</w:t>
      </w:r>
      <w:r>
        <w:rPr>
          <w:rFonts w:hint="eastAsia"/>
        </w:rPr>
        <w:t>，短时间内冲到峰值，轴承彻底失效。</w:t>
      </w:r>
    </w:p>
    <w:p w14:paraId="1605B0EC">
      <w:pPr>
        <w:ind w:firstLine="480"/>
        <w:rPr>
          <w:rFonts w:hint="eastAsia"/>
        </w:rPr>
      </w:pPr>
      <w:r>
        <w:rPr>
          <w:rFonts w:hint="eastAsia"/>
        </w:rPr>
        <w:t>但横向对比三种工况，转速和载荷的差异对退化节奏和寿命尺度的改变是显著的</w:t>
      </w:r>
      <w:r>
        <w:rPr>
          <w:vertAlign w:val="superscript"/>
        </w:rPr>
        <w:fldChar w:fldCharType="begin"/>
      </w:r>
      <w:r>
        <w:instrText xml:space="preserve"> REF _Ref5238 \r \h  \* MERGEFORMAT</w:instrText>
      </w:r>
      <w:r>
        <w:rPr>
          <w:vertAlign w:val="superscript"/>
        </w:rPr>
        <w:fldChar w:fldCharType="separate"/>
      </w:r>
      <w:r>
        <w:rPr>
          <w:vertAlign w:val="superscript"/>
        </w:rPr>
        <w:t>[13]</w:t>
      </w:r>
      <w:r>
        <w:rPr>
          <w:vertAlign w:val="superscript"/>
        </w:rPr>
        <w:fldChar w:fldCharType="end"/>
      </w:r>
      <w:r>
        <w:t>。</w:t>
      </w:r>
      <w:r>
        <w:rPr>
          <w:rFonts w:hint="eastAsia"/>
        </w:rPr>
        <w:t>工况1（35Hz/12kN）属于高载荷，轴承寿命最短，全周期大约只有120分钟，健康稳定阶段在总寿命里占比最低，退化拐点出现得最早，幅值上升也最猛。工况2（37.5Hz/11kN）是中等工况，寿命拉到约500分钟，平稳运行期明显变长，退化过程整体更缓和。工况3（40Hz/10kN）载荷最低，寿命大幅延长到2500分钟以上，健康平稳阶段占据了绝大部分时长，退化拐点直到寿命末期极短的一个窗口里才突然冒出来，振幅突变也剧烈。</w:t>
      </w:r>
    </w:p>
    <w:p w14:paraId="6EE60D0E">
      <w:pPr>
        <w:ind w:firstLine="480"/>
        <w:rPr>
          <w:rFonts w:hint="eastAsia"/>
        </w:rPr>
      </w:pPr>
      <w:r>
        <w:rPr>
          <w:rFonts w:hint="eastAsia"/>
        </w:rPr>
        <w:t>再看双通道信号，水平和垂直方向的振动退化趋势高度同步，都能完整地讲完轴承从健康到失效的整个过程。区别在于，水平通道的幅值波动范围更宽，对早期微弱故障冲击更敏感；垂直通道则在末期失效阶段表现出更剧烈的幅值突变。</w:t>
      </w:r>
    </w:p>
    <w:p w14:paraId="3E4F6B23">
      <w:pPr>
        <w:ind w:firstLine="480"/>
      </w:pPr>
      <w:r>
        <w:rPr>
          <w:rFonts w:hint="eastAsia"/>
        </w:rPr>
        <w:t>综合来看，不同工况下轴承的寿命跨度、退化速率、噪声基底和故障演化模式都存在明显的分布差异。再加上工业现场信号本身的强背景噪声、早期退化特征过于微弱、末期非线性极强这些固有难点，跨工况的通用RUL预测确实不好做。这些来自数据本身的特性，也正是本文后面在小波降噪、多域特征融合、域适应和时序模型设计上需要着力应对的方向。</w:t>
      </w:r>
    </w:p>
    <w:p w14:paraId="07CDE367">
      <w:pPr>
        <w:pStyle w:val="4"/>
        <w:spacing w:before="120" w:after="120"/>
      </w:pPr>
      <w:bookmarkStart w:id="46" w:name="_Toc24135"/>
      <w:bookmarkStart w:id="47" w:name="_Toc9735"/>
      <w:r>
        <w:t>2.3.3 多工况轴承RUL预测的核心建模需求</w:t>
      </w:r>
      <w:bookmarkEnd w:id="46"/>
      <w:bookmarkEnd w:id="47"/>
    </w:p>
    <w:p w14:paraId="0099970D">
      <w:pPr>
        <w:ind w:firstLine="480"/>
      </w:pPr>
      <w:r>
        <w:rPr>
          <w:rFonts w:hint="eastAsia"/>
        </w:rPr>
        <w:t>把前面的分析串起来，多工况轴承RUL预测模型要解决的核心问题，大致可以归为四条</w:t>
      </w:r>
      <w:r>
        <w:rPr>
          <w:vertAlign w:val="superscript"/>
        </w:rPr>
        <w:fldChar w:fldCharType="begin"/>
      </w:r>
      <w:r>
        <w:instrText xml:space="preserve"> REF _Ref3500 \r \h  \* MERGEFORMAT</w:instrText>
      </w:r>
      <w:r>
        <w:rPr>
          <w:vertAlign w:val="superscript"/>
        </w:rPr>
        <w:fldChar w:fldCharType="separate"/>
      </w:r>
      <w:r>
        <w:rPr>
          <w:vertAlign w:val="superscript"/>
        </w:rPr>
        <w:t>[1]</w:t>
      </w:r>
      <w:r>
        <w:rPr>
          <w:vertAlign w:val="superscript"/>
        </w:rPr>
        <w:fldChar w:fldCharType="end"/>
      </w:r>
      <w:r>
        <w:rPr>
          <w:vertAlign w:val="superscript"/>
        </w:rPr>
        <w:fldChar w:fldCharType="begin"/>
      </w:r>
      <w:r>
        <w:instrText xml:space="preserve"> REF _Ref5574 \r \h  \* MERGEFORMAT</w:instrText>
      </w:r>
      <w:r>
        <w:rPr>
          <w:vertAlign w:val="superscript"/>
        </w:rPr>
        <w:fldChar w:fldCharType="separate"/>
      </w:r>
      <w:r>
        <w:rPr>
          <w:vertAlign w:val="superscript"/>
        </w:rPr>
        <w:t>[21]</w:t>
      </w:r>
      <w:r>
        <w:rPr>
          <w:vertAlign w:val="superscript"/>
        </w:rPr>
        <w:fldChar w:fldCharType="end"/>
      </w:r>
      <w:r>
        <w:rPr>
          <w:vertAlign w:val="superscript"/>
        </w:rPr>
        <w:fldChar w:fldCharType="begin"/>
      </w:r>
      <w:r>
        <w:instrText xml:space="preserve"> REF _Ref5688 \r \h  \* MERGEFORMAT</w:instrText>
      </w:r>
      <w:r>
        <w:rPr>
          <w:vertAlign w:val="superscript"/>
        </w:rPr>
        <w:fldChar w:fldCharType="separate"/>
      </w:r>
      <w:r>
        <w:rPr>
          <w:vertAlign w:val="superscript"/>
        </w:rPr>
        <w:t>[24]</w:t>
      </w:r>
      <w:r>
        <w:rPr>
          <w:vertAlign w:val="superscript"/>
        </w:rPr>
        <w:fldChar w:fldCharType="end"/>
      </w:r>
      <w:r>
        <w:t>。</w:t>
      </w:r>
    </w:p>
    <w:p w14:paraId="38CB0298">
      <w:pPr>
        <w:ind w:firstLine="480"/>
        <w:rPr>
          <w:rFonts w:hint="eastAsia"/>
        </w:rPr>
      </w:pPr>
      <w:r>
        <w:rPr>
          <w:rFonts w:hint="eastAsia"/>
        </w:rPr>
        <w:t>第一，模型得从振动信号里提取出跟工况“脱钩”的退化特征——只认退化到了什么程度，不认转速多少、载荷多大。SE-ResNet中的SE模块靠通道级自适应校准，在结构层面已经为这个需求</w:t>
      </w:r>
      <w:r>
        <w:rPr>
          <w:rFonts w:hint="eastAsia"/>
          <w:lang w:val="en-US" w:eastAsia="zh-CN"/>
        </w:rPr>
        <w:t>奠定基础</w:t>
      </w:r>
      <w:r>
        <w:rPr>
          <w:rFonts w:hint="eastAsia"/>
        </w:rPr>
        <w:t>。</w:t>
      </w:r>
    </w:p>
    <w:p w14:paraId="127B1F01">
      <w:pPr>
        <w:ind w:firstLine="480"/>
        <w:rPr>
          <w:rFonts w:hint="eastAsia"/>
        </w:rPr>
      </w:pPr>
      <w:r>
        <w:rPr>
          <w:rFonts w:hint="eastAsia"/>
        </w:rPr>
        <w:t>第二，退化是个累积过程，当前状态跟历史跑不了关系，模型必须能捕捉时序依赖和退化趋势。BiGRU的双向循环结构能从特征序列里把退化走向学出来，工况变化带来的局部波动在全局视角下就没那么唬人了。</w:t>
      </w:r>
    </w:p>
    <w:p w14:paraId="2EFD9239">
      <w:pPr>
        <w:ind w:firstLine="480"/>
        <w:rPr>
          <w:rFonts w:hint="eastAsia"/>
        </w:rPr>
      </w:pPr>
      <w:r>
        <w:rPr>
          <w:rFonts w:hint="eastAsia"/>
        </w:rPr>
        <w:t>第三，跨工况时源域和目标域的特征分布会系统性地偏开，域漂移得想办法</w:t>
      </w:r>
      <w:r>
        <w:rPr>
          <w:rFonts w:hint="eastAsia"/>
          <w:lang w:eastAsia="zh-CN"/>
        </w:rPr>
        <w:t>抑制</w:t>
      </w:r>
      <w:r>
        <w:rPr>
          <w:rFonts w:hint="eastAsia"/>
        </w:rPr>
        <w:t>。MK-MMD正则项在特征空间里硬把两边分布拽到一起，域漂移对泛化能力的拖累就能被</w:t>
      </w:r>
      <w:r>
        <w:rPr>
          <w:rFonts w:hint="eastAsia"/>
          <w:lang w:val="en-US" w:eastAsia="zh-CN"/>
        </w:rPr>
        <w:t>降</w:t>
      </w:r>
      <w:r>
        <w:rPr>
          <w:rFonts w:hint="eastAsia"/>
        </w:rPr>
        <w:t>下去不少。</w:t>
      </w:r>
    </w:p>
    <w:p w14:paraId="67DA4716">
      <w:pPr>
        <w:ind w:firstLine="480"/>
        <w:rPr>
          <w:rFonts w:hint="eastAsia"/>
        </w:rPr>
      </w:pPr>
      <w:r>
        <w:rPr>
          <w:rFonts w:hint="eastAsia"/>
        </w:rPr>
        <w:t>第四，就算前面域适应做了，预测值有时还是会整体偏大或偏小。这时候用源域验证集算个缩放因子，在推理阶段对目标域预测做一次线性校正——几乎不费算力，但能把最后那层系统性偏差再削掉一层。</w:t>
      </w:r>
    </w:p>
    <w:p w14:paraId="34943FA5">
      <w:pPr>
        <w:ind w:firstLine="480"/>
      </w:pPr>
      <w:r>
        <w:rPr>
          <w:rFonts w:hint="eastAsia"/>
        </w:rPr>
        <w:t>后续第3章和第4章，就围</w:t>
      </w:r>
      <w:r>
        <w:rPr>
          <w:rFonts w:hint="eastAsia"/>
          <w:lang w:val="en-US" w:eastAsia="zh-CN"/>
        </w:rPr>
        <w:t>绕</w:t>
      </w:r>
      <w:r>
        <w:rPr>
          <w:rFonts w:hint="eastAsia"/>
        </w:rPr>
        <w:t>着模型怎么搭、怎么训、效果怎么样这</w:t>
      </w:r>
      <w:r>
        <w:rPr>
          <w:rFonts w:hint="eastAsia"/>
          <w:lang w:val="en-US" w:eastAsia="zh-CN"/>
        </w:rPr>
        <w:t>几</w:t>
      </w:r>
      <w:r>
        <w:rPr>
          <w:rFonts w:hint="eastAsia"/>
        </w:rPr>
        <w:t>条需求展开。</w:t>
      </w:r>
      <w:r>
        <w:br w:type="page"/>
      </w:r>
    </w:p>
    <w:p w14:paraId="365A7210">
      <w:pPr>
        <w:pStyle w:val="2"/>
        <w:spacing w:after="120"/>
        <w:rPr>
          <w:rFonts w:ascii="Times New Roman" w:hAnsi="Times New Roman"/>
        </w:rPr>
      </w:pPr>
      <w:bookmarkStart w:id="48" w:name="_Toc30327"/>
      <w:bookmarkStart w:id="49" w:name="_Toc26872"/>
      <w:r>
        <w:rPr>
          <w:rFonts w:ascii="Times New Roman" w:hAnsi="Times New Roman"/>
        </w:rPr>
        <w:t>基于 SE-ResNet+BiGRU 的多工况轴承RUL 预测模型设计</w:t>
      </w:r>
      <w:bookmarkEnd w:id="48"/>
      <w:bookmarkEnd w:id="49"/>
    </w:p>
    <w:p w14:paraId="46D6907A">
      <w:pPr>
        <w:pStyle w:val="3"/>
        <w:spacing w:before="120" w:after="120"/>
      </w:pPr>
      <w:bookmarkStart w:id="50" w:name="_Toc29589"/>
      <w:bookmarkStart w:id="51" w:name="_Toc30108"/>
      <w:r>
        <w:t>3.1 模型整体框架设计与构建思路</w:t>
      </w:r>
      <w:bookmarkEnd w:id="50"/>
      <w:bookmarkEnd w:id="51"/>
    </w:p>
    <w:p w14:paraId="307168CB">
      <w:pPr>
        <w:pStyle w:val="4"/>
        <w:spacing w:before="120" w:after="120"/>
      </w:pPr>
      <w:bookmarkStart w:id="52" w:name="_Toc17027"/>
      <w:bookmarkStart w:id="53" w:name="_Toc21088"/>
      <w:r>
        <w:t>3.1.1 多工况 RUL 预测模型整体架构</w:t>
      </w:r>
      <w:bookmarkEnd w:id="52"/>
      <w:bookmarkEnd w:id="53"/>
    </w:p>
    <w:p w14:paraId="78D0D169">
      <w:pPr>
        <w:ind w:firstLine="480"/>
        <w:rPr>
          <w:rFonts w:hint="eastAsia" w:eastAsia="宋体"/>
          <w:b w:val="0"/>
          <w:bCs w:val="0"/>
          <w:highlight w:val="none"/>
          <w:lang w:eastAsia="zh-CN"/>
        </w:rPr>
      </w:pPr>
      <w:r>
        <w:rPr>
          <w:rFonts w:hint="eastAsia"/>
        </w:rPr>
        <w:t>变工况下RUL预测的主要困难在于数据分布在不同工况间发生显著偏移，且退化趋势难以捕捉</w:t>
      </w:r>
      <w:r>
        <w:rPr>
          <w:rFonts w:hint="eastAsia"/>
          <w:vertAlign w:val="superscript"/>
          <w:lang w:eastAsia="zh-CN"/>
        </w:rPr>
        <w:fldChar w:fldCharType="begin"/>
      </w:r>
      <w:r>
        <w:instrText xml:space="preserve"> REF _Ref5574 \r \h  \* MERGEFORMAT</w:instrText>
      </w:r>
      <w:r>
        <w:rPr>
          <w:rFonts w:hint="eastAsia"/>
          <w:vertAlign w:val="superscript"/>
          <w:lang w:eastAsia="zh-CN"/>
        </w:rPr>
        <w:fldChar w:fldCharType="separate"/>
      </w:r>
      <w:r>
        <w:rPr>
          <w:rFonts w:hint="eastAsia"/>
          <w:vertAlign w:val="superscript"/>
          <w:lang w:eastAsia="zh-CN"/>
        </w:rPr>
        <w:t>[21]</w:t>
      </w:r>
      <w:r>
        <w:rPr>
          <w:rFonts w:hint="eastAsia"/>
          <w:vertAlign w:val="superscript"/>
          <w:lang w:eastAsia="zh-CN"/>
        </w:rPr>
        <w:fldChar w:fldCharType="end"/>
      </w:r>
      <w:r>
        <w:rPr>
          <w:rFonts w:hint="eastAsia"/>
          <w:vertAlign w:val="superscript"/>
          <w:lang w:eastAsia="zh-CN"/>
        </w:rPr>
        <w:fldChar w:fldCharType="begin"/>
      </w:r>
      <w:r>
        <w:rPr>
          <w:rFonts w:hint="eastAsia"/>
          <w:vertAlign w:val="superscript"/>
          <w:lang w:eastAsia="zh-CN"/>
        </w:rPr>
        <w:instrText xml:space="preserve"> REF _Ref5633 \r \h </w:instrText>
      </w:r>
      <w:r>
        <w:rPr>
          <w:rFonts w:hint="eastAsia"/>
          <w:vertAlign w:val="superscript"/>
          <w:lang w:eastAsia="zh-CN"/>
        </w:rPr>
        <w:fldChar w:fldCharType="separate"/>
      </w:r>
      <w:r>
        <w:rPr>
          <w:rFonts w:hint="eastAsia"/>
          <w:vertAlign w:val="superscript"/>
          <w:lang w:eastAsia="zh-CN"/>
        </w:rPr>
        <w:t>[23]</w:t>
      </w:r>
      <w:r>
        <w:rPr>
          <w:rFonts w:hint="eastAsia"/>
          <w:vertAlign w:val="superscript"/>
          <w:lang w:eastAsia="zh-CN"/>
        </w:rPr>
        <w:fldChar w:fldCharType="end"/>
      </w:r>
      <w:r>
        <w:rPr>
          <w:rFonts w:hint="eastAsia"/>
        </w:rPr>
        <w:t>。本文构建了一个端到端模型，主体为SE-ResNet与BiGRU，并在跨工况训练中引入MK-MMD域适应机制</w:t>
      </w:r>
      <w:r>
        <w:t>。</w:t>
      </w:r>
      <w:r>
        <w:rPr>
          <w:rFonts w:hint="eastAsia"/>
          <w:b w:val="0"/>
          <w:bCs w:val="0"/>
          <w:highlight w:val="none"/>
        </w:rPr>
        <w:t>模型整体结构如图3-1所示</w:t>
      </w:r>
      <w:r>
        <w:rPr>
          <w:rFonts w:hint="eastAsia"/>
          <w:b w:val="0"/>
          <w:bCs w:val="0"/>
          <w:highlight w:val="none"/>
          <w:lang w:eastAsia="zh-CN"/>
        </w:rPr>
        <w:t>。</w:t>
      </w:r>
    </w:p>
    <w:p w14:paraId="55056F16">
      <w:pPr>
        <w:spacing w:line="240" w:lineRule="auto"/>
        <w:ind w:left="0" w:leftChars="0" w:firstLine="0" w:firstLineChars="0"/>
        <w:rPr>
          <w:rFonts w:hint="eastAsia" w:eastAsia="宋体"/>
          <w:b w:val="0"/>
          <w:bCs w:val="0"/>
          <w:highlight w:val="none"/>
          <w:lang w:eastAsia="zh-CN"/>
        </w:rPr>
      </w:pPr>
      <w:r>
        <w:rPr>
          <w:rFonts w:hint="eastAsia" w:eastAsia="宋体"/>
          <w:b w:val="0"/>
          <w:bCs w:val="0"/>
          <w:highlight w:val="none"/>
          <w:lang w:eastAsia="zh-CN"/>
        </w:rPr>
        <w:drawing>
          <wp:inline distT="0" distB="0" distL="114300" distR="114300">
            <wp:extent cx="5273040" cy="2893695"/>
            <wp:effectExtent l="0" t="0" r="0" b="1905"/>
            <wp:docPr id="5" name="图片 5" descr="模型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模型架构图"/>
                    <pic:cNvPicPr>
                      <a:picLocks noChangeAspect="1"/>
                    </pic:cNvPicPr>
                  </pic:nvPicPr>
                  <pic:blipFill>
                    <a:blip r:embed="rId59"/>
                    <a:stretch>
                      <a:fillRect/>
                    </a:stretch>
                  </pic:blipFill>
                  <pic:spPr>
                    <a:xfrm>
                      <a:off x="0" y="0"/>
                      <a:ext cx="5273040" cy="2893695"/>
                    </a:xfrm>
                    <a:prstGeom prst="rect">
                      <a:avLst/>
                    </a:prstGeom>
                  </pic:spPr>
                </pic:pic>
              </a:graphicData>
            </a:graphic>
          </wp:inline>
        </w:drawing>
      </w:r>
    </w:p>
    <w:p w14:paraId="7C010E67">
      <w:pPr>
        <w:pStyle w:val="8"/>
        <w:ind w:left="0" w:leftChars="0" w:firstLine="0" w:firstLineChars="0"/>
        <w:rPr>
          <w:rFonts w:hint="default" w:eastAsia="宋体"/>
          <w:b w:val="0"/>
          <w:bCs w:val="0"/>
          <w:highlight w:val="none"/>
          <w:lang w:val="en-US" w:eastAsia="zh-CN"/>
        </w:rPr>
      </w:pPr>
      <w:r>
        <w:t xml:space="preserve">图 </w:t>
      </w:r>
      <w:r>
        <w:fldChar w:fldCharType="begin"/>
      </w:r>
      <w:r>
        <w:instrText xml:space="preserve"> SEQ 图 \* ARABIC </w:instrText>
      </w:r>
      <w:r>
        <w:fldChar w:fldCharType="separate"/>
      </w:r>
      <w:r>
        <w:t>3</w:t>
      </w:r>
      <w:r>
        <w:fldChar w:fldCharType="end"/>
      </w:r>
      <w:r>
        <w:rPr>
          <w:rFonts w:hint="eastAsia"/>
          <w:lang w:eastAsia="zh-CN"/>
        </w:rPr>
        <w:t>-1</w:t>
      </w:r>
      <w:r>
        <w:rPr>
          <w:rFonts w:hint="eastAsia"/>
          <w:lang w:val="en-US" w:eastAsia="zh-CN"/>
        </w:rPr>
        <w:t xml:space="preserve"> 模型架构图</w:t>
      </w:r>
    </w:p>
    <w:p w14:paraId="110B0A0B">
      <w:pPr>
        <w:ind w:firstLine="480"/>
        <w:rPr>
          <w:rFonts w:hint="eastAsia"/>
        </w:rPr>
      </w:pPr>
      <w:r>
        <w:rPr>
          <w:rFonts w:hint="eastAsia"/>
        </w:rPr>
        <w:t>输入层直接接收预处理好的多域特征序列，维度B×T×D——B是批次大小，T=32个时间步，D=140维特征。</w:t>
      </w:r>
    </w:p>
    <w:p w14:paraId="168F5DF6">
      <w:pPr>
        <w:ind w:firstLine="480"/>
        <w:rPr>
          <w:rFonts w:hint="eastAsia"/>
        </w:rPr>
      </w:pPr>
      <w:r>
        <w:rPr>
          <w:rFonts w:hint="eastAsia"/>
        </w:rPr>
        <w:t>特征提取层是SE-ResNet，塞了两个残差块。第一个把140维压到64维，第二个再扩到128维。每个残差块里都嵌了SE注意力模块，显式地给通道之间的关系建模，</w:t>
      </w:r>
      <w:r>
        <w:rPr>
          <w:rFonts w:hint="eastAsia"/>
          <w:lang w:eastAsia="zh-CN"/>
        </w:rPr>
        <w:t>使</w:t>
      </w:r>
      <w:r>
        <w:rPr>
          <w:rFonts w:hint="eastAsia"/>
        </w:rPr>
        <w:t>网络能根据不同工况下信号的统计特点，自适应地校准各通道的响应。</w:t>
      </w:r>
    </w:p>
    <w:p w14:paraId="168CFF2C">
      <w:pPr>
        <w:ind w:firstLine="480"/>
        <w:rPr>
          <w:rFonts w:hint="eastAsia"/>
        </w:rPr>
      </w:pPr>
      <w:r>
        <w:rPr>
          <w:rFonts w:hint="eastAsia"/>
        </w:rPr>
        <w:t>时序建模层接两层BiGRU，隐层维度64。双向结构的好处是历史和未来的上下文信息都能用上，对HI那条单调退化趋势能抓得更准。最后取序列末尾的隐状态，过一层全连接，输出当前时刻归一化后的RUL比例预测值。</w:t>
      </w:r>
    </w:p>
    <w:p w14:paraId="567E7323">
      <w:pPr>
        <w:ind w:firstLine="480"/>
      </w:pPr>
      <w:r>
        <w:rPr>
          <w:rFonts w:hint="eastAsia"/>
        </w:rPr>
        <w:t>域适应层只在跨工况训练时打开。把SE-ResNet输出的4096维（128通道×32时间步）扁平特征拿出来，算源域和目标域之间的MK-MMD距离，当成正则项塞进总损失里，逼着特征提取器学一个跟工况无关的域不变表示</w:t>
      </w:r>
      <w:r>
        <w:t>。</w:t>
      </w:r>
    </w:p>
    <w:p w14:paraId="4C13FCC7">
      <w:pPr>
        <w:pStyle w:val="4"/>
        <w:spacing w:before="120" w:after="120"/>
      </w:pPr>
      <w:bookmarkStart w:id="54" w:name="_Toc32269"/>
      <w:bookmarkStart w:id="55" w:name="_Toc27067"/>
      <w:r>
        <w:t>3.1.2 模型设计的多工况适配核心思路</w:t>
      </w:r>
      <w:bookmarkEnd w:id="54"/>
      <w:bookmarkEnd w:id="55"/>
    </w:p>
    <w:p w14:paraId="35D529D2">
      <w:pPr>
        <w:ind w:firstLine="480"/>
      </w:pPr>
      <w:r>
        <w:rPr>
          <w:rFonts w:hint="eastAsia"/>
        </w:rPr>
        <w:t>多工况这件事难就难在：转速和载荷一变，信号的幅值、频率分布、退化速率全跟着变。单工况训出来的模型到了新地方，泛化能力掉得很快</w:t>
      </w:r>
      <w:r>
        <w:rPr>
          <w:vertAlign w:val="superscript"/>
        </w:rPr>
        <w:fldChar w:fldCharType="begin"/>
      </w:r>
      <w:r>
        <w:instrText xml:space="preserve"> REF _Ref5688 \r \h  \* MERGEFORMAT</w:instrText>
      </w:r>
      <w:r>
        <w:rPr>
          <w:vertAlign w:val="superscript"/>
        </w:rPr>
        <w:fldChar w:fldCharType="separate"/>
      </w:r>
      <w:r>
        <w:rPr>
          <w:vertAlign w:val="superscript"/>
        </w:rPr>
        <w:t>[24]</w:t>
      </w:r>
      <w:r>
        <w:rPr>
          <w:vertAlign w:val="superscript"/>
        </w:rPr>
        <w:fldChar w:fldCharType="end"/>
      </w:r>
      <w:r>
        <w:rPr>
          <w:vertAlign w:val="superscript"/>
        </w:rPr>
        <w:fldChar w:fldCharType="begin"/>
      </w:r>
      <w:r>
        <w:instrText xml:space="preserve"> REF _Ref6678 \r \h  \* MERGEFORMAT</w:instrText>
      </w:r>
      <w:r>
        <w:rPr>
          <w:vertAlign w:val="superscript"/>
        </w:rPr>
        <w:fldChar w:fldCharType="separate"/>
      </w:r>
      <w:r>
        <w:rPr>
          <w:vertAlign w:val="superscript"/>
        </w:rPr>
        <w:t>[45]</w:t>
      </w:r>
      <w:r>
        <w:rPr>
          <w:vertAlign w:val="superscript"/>
        </w:rPr>
        <w:fldChar w:fldCharType="end"/>
      </w:r>
      <w:r>
        <w:t>。</w:t>
      </w:r>
      <w:r>
        <w:rPr>
          <w:rFonts w:hint="eastAsia"/>
        </w:rPr>
        <w:t>本文从数据、特征、模型三个层面打了一套组合拳，这种分层适配的思路在多项研究里已经被验证过</w:t>
      </w:r>
      <w:r>
        <w:rPr>
          <w:vertAlign w:val="superscript"/>
        </w:rPr>
        <w:fldChar w:fldCharType="begin"/>
      </w:r>
      <w:r>
        <w:instrText xml:space="preserve"> REF _Ref5447 \r \h  \* MERGEFORMAT</w:instrText>
      </w:r>
      <w:r>
        <w:rPr>
          <w:vertAlign w:val="superscript"/>
        </w:rPr>
        <w:fldChar w:fldCharType="separate"/>
      </w:r>
      <w:r>
        <w:rPr>
          <w:vertAlign w:val="superscript"/>
        </w:rPr>
        <w:t>[18]</w:t>
      </w:r>
      <w:r>
        <w:rPr>
          <w:vertAlign w:val="superscript"/>
        </w:rPr>
        <w:fldChar w:fldCharType="end"/>
      </w:r>
      <w:r>
        <w:rPr>
          <w:vertAlign w:val="superscript"/>
        </w:rPr>
        <w:fldChar w:fldCharType="begin"/>
      </w:r>
      <w:r>
        <w:instrText xml:space="preserve"> REF _Ref5604 \r \h  \* MERGEFORMAT</w:instrText>
      </w:r>
      <w:r>
        <w:rPr>
          <w:vertAlign w:val="superscript"/>
        </w:rPr>
        <w:fldChar w:fldCharType="separate"/>
      </w:r>
      <w:r>
        <w:rPr>
          <w:vertAlign w:val="superscript"/>
        </w:rPr>
        <w:t>[22]</w:t>
      </w:r>
      <w:r>
        <w:rPr>
          <w:vertAlign w:val="superscript"/>
        </w:rPr>
        <w:fldChar w:fldCharType="end"/>
      </w:r>
      <w:r>
        <w:rPr>
          <w:vertAlign w:val="superscript"/>
        </w:rPr>
        <w:fldChar w:fldCharType="begin"/>
      </w:r>
      <w:r>
        <w:instrText xml:space="preserve"> REF _Ref5724 \r \h  \* MERGEFORMAT</w:instrText>
      </w:r>
      <w:r>
        <w:rPr>
          <w:vertAlign w:val="superscript"/>
        </w:rPr>
        <w:fldChar w:fldCharType="separate"/>
      </w:r>
      <w:r>
        <w:rPr>
          <w:vertAlign w:val="superscript"/>
        </w:rPr>
        <w:t>[25]</w:t>
      </w:r>
      <w:r>
        <w:rPr>
          <w:vertAlign w:val="superscript"/>
        </w:rPr>
        <w:fldChar w:fldCharType="end"/>
      </w:r>
      <w:r>
        <w:t>：</w:t>
      </w:r>
    </w:p>
    <w:p w14:paraId="3C631BAD">
      <w:pPr>
        <w:ind w:firstLine="480"/>
        <w:rPr>
          <w:rFonts w:hint="eastAsia"/>
        </w:rPr>
      </w:pPr>
      <w:r>
        <w:rPr>
          <w:rFonts w:hint="eastAsia"/>
        </w:rPr>
        <w:t>数据层上，用全局Z-Score把所有工况的特征统一缩放到同一个尺度，既消除了量纲差异，又保留住不同工况之间原有的相对分布关系。滑动窗口采样的好处是，不管轴承本身寿命多长、什么工况，到了模型</w:t>
      </w:r>
      <w:r>
        <w:rPr>
          <w:rFonts w:hint="eastAsia"/>
          <w:lang w:val="en-US" w:eastAsia="zh-CN"/>
        </w:rPr>
        <w:t>输入</w:t>
      </w:r>
      <w:r>
        <w:rPr>
          <w:rFonts w:hint="eastAsia"/>
        </w:rPr>
        <w:t>都是一模一样的(T=32, D=140)形状。</w:t>
      </w:r>
    </w:p>
    <w:p w14:paraId="49D7A916">
      <w:pPr>
        <w:ind w:firstLine="480"/>
        <w:rPr>
          <w:rFonts w:hint="eastAsia"/>
        </w:rPr>
      </w:pPr>
      <w:r>
        <w:rPr>
          <w:rFonts w:hint="eastAsia"/>
        </w:rPr>
        <w:t>特征层上，SE模块靠全局平均池化拿到了通道级的全局感受野</w:t>
      </w:r>
      <w:r>
        <w:rPr>
          <w:rFonts w:hint="eastAsia"/>
          <w:lang w:eastAsia="zh-CN"/>
        </w:rPr>
        <w:t>。</w:t>
      </w:r>
      <w:r>
        <w:rPr>
          <w:rFonts w:hint="eastAsia"/>
        </w:rPr>
        <w:t>它的工作就是根据输入数据本身判断当前到底是“高载短命”还是“低载长寿”，然后按这个判断给各通道重新分配权重。效果很直接：那些对工况变化不敏感、跟退化强相关的关键频带会被自动拉高，噪声和冗余信息则被压下去，这本质上是一种工况自适应的特征校准。</w:t>
      </w:r>
    </w:p>
    <w:p w14:paraId="5D480D89">
      <w:pPr>
        <w:ind w:firstLine="480"/>
      </w:pPr>
      <w:r>
        <w:rPr>
          <w:rFonts w:hint="eastAsia"/>
        </w:rPr>
        <w:t>模型层上，MK-MMD做的事更“强硬”一些——它在特征空间里直接把源域和目标域的分布往一块拽，逼着特征提取器学出对工况变化不那么敏感的退化表示。与此同时，加权MSE损失给了退化后期（RUL比例&lt;0.3）样本2倍权重。这个设计有个很实际的考量：轴承快报废那阵子的预测，对安全预警的价值远比健康期大得多，这部分精度必须单独往上顶。</w:t>
      </w:r>
    </w:p>
    <w:p w14:paraId="303C20FB">
      <w:pPr>
        <w:pStyle w:val="3"/>
        <w:spacing w:before="120" w:after="120"/>
      </w:pPr>
      <w:bookmarkStart w:id="56" w:name="_Toc17275"/>
      <w:bookmarkStart w:id="57" w:name="_Toc5895"/>
      <w:r>
        <w:t>3.2 多工况适配的振动信号预处理</w:t>
      </w:r>
      <w:bookmarkEnd w:id="56"/>
      <w:bookmarkEnd w:id="57"/>
    </w:p>
    <w:p w14:paraId="0DC9F95B">
      <w:pPr>
        <w:pStyle w:val="4"/>
        <w:spacing w:before="120" w:after="120"/>
      </w:pPr>
      <w:bookmarkStart w:id="58" w:name="_Toc7276"/>
      <w:bookmarkStart w:id="59" w:name="_Toc23428"/>
      <w:r>
        <w:t>3.2.1 快速傅里叶变换（FFT）频域特征转换</w:t>
      </w:r>
      <w:bookmarkEnd w:id="58"/>
      <w:bookmarkEnd w:id="59"/>
    </w:p>
    <w:p w14:paraId="186FC611">
      <w:pPr>
        <w:ind w:firstLine="480"/>
      </w:pPr>
      <w:r>
        <w:rPr>
          <w:rFonts w:hint="eastAsia"/>
        </w:rPr>
        <w:t>原始信号是时域波形，直接喂给模型的话，跟退化相关的信息很难被有效利用。频域特征在反映轴承故障带来的周期性冲击上要直观得多，在轴承RUL预测的特征工程里早已是常规操作了</w:t>
      </w:r>
      <w:r>
        <w:rPr>
          <w:vertAlign w:val="superscript"/>
        </w:rPr>
        <w:fldChar w:fldCharType="begin"/>
      </w:r>
      <w:r>
        <w:instrText xml:space="preserve"> REF _Ref5238 \r \h  \* MERGEFORMAT</w:instrText>
      </w:r>
      <w:r>
        <w:rPr>
          <w:vertAlign w:val="superscript"/>
        </w:rPr>
        <w:fldChar w:fldCharType="separate"/>
      </w:r>
      <w:r>
        <w:rPr>
          <w:vertAlign w:val="superscript"/>
        </w:rPr>
        <w:t>[13]</w:t>
      </w:r>
      <w:r>
        <w:rPr>
          <w:vertAlign w:val="superscript"/>
        </w:rPr>
        <w:fldChar w:fldCharType="end"/>
      </w:r>
      <w:r>
        <w:rPr>
          <w:vertAlign w:val="superscript"/>
        </w:rPr>
        <w:fldChar w:fldCharType="begin"/>
      </w:r>
      <w:r>
        <w:instrText xml:space="preserve"> REF _Ref5280 \r \h  \* MERGEFORMAT</w:instrText>
      </w:r>
      <w:r>
        <w:rPr>
          <w:vertAlign w:val="superscript"/>
        </w:rPr>
        <w:fldChar w:fldCharType="separate"/>
      </w:r>
      <w:r>
        <w:rPr>
          <w:vertAlign w:val="superscript"/>
        </w:rPr>
        <w:t>[14]</w:t>
      </w:r>
      <w:r>
        <w:rPr>
          <w:vertAlign w:val="superscript"/>
        </w:rPr>
        <w:fldChar w:fldCharType="end"/>
      </w:r>
      <w:r>
        <w:rPr>
          <w:vertAlign w:val="superscript"/>
        </w:rPr>
        <w:fldChar w:fldCharType="begin"/>
      </w:r>
      <w:r>
        <w:instrText xml:space="preserve"> REF _Ref6126 \r \h  \* MERGEFORMAT</w:instrText>
      </w:r>
      <w:r>
        <w:rPr>
          <w:vertAlign w:val="superscript"/>
        </w:rPr>
        <w:fldChar w:fldCharType="separate"/>
      </w:r>
      <w:r>
        <w:rPr>
          <w:vertAlign w:val="superscript"/>
        </w:rPr>
        <w:t>[33]</w:t>
      </w:r>
      <w:r>
        <w:rPr>
          <w:vertAlign w:val="superscript"/>
        </w:rPr>
        <w:fldChar w:fldCharType="end"/>
      </w:r>
      <w:r>
        <w:t>。</w:t>
      </w:r>
      <w:r>
        <w:rPr>
          <w:rFonts w:hint="eastAsia"/>
          <w:lang w:val="en-US" w:eastAsia="zh-CN"/>
        </w:rPr>
        <w:t>本文</w:t>
      </w:r>
      <w:r>
        <w:rPr>
          <w:rFonts w:hint="eastAsia"/>
        </w:rPr>
        <w:t>对每次采样的水平和垂直振动信号各做一次32768点的FFT，取前64个频率分量的幅值作为频域特征——这个取法在多项研究中表现都不错</w:t>
      </w:r>
      <w:r>
        <w:rPr>
          <w:vertAlign w:val="superscript"/>
        </w:rPr>
        <w:fldChar w:fldCharType="begin"/>
      </w:r>
      <w:r>
        <w:instrText xml:space="preserve"> REF _Ref5192 \r \h  \* MERGEFORMAT</w:instrText>
      </w:r>
      <w:r>
        <w:rPr>
          <w:vertAlign w:val="superscript"/>
        </w:rPr>
        <w:fldChar w:fldCharType="separate"/>
      </w:r>
      <w:r>
        <w:rPr>
          <w:vertAlign w:val="superscript"/>
        </w:rPr>
        <w:t>[12]</w:t>
      </w:r>
      <w:r>
        <w:rPr>
          <w:vertAlign w:val="superscript"/>
        </w:rPr>
        <w:fldChar w:fldCharType="end"/>
      </w:r>
      <w:r>
        <w:rPr>
          <w:vertAlign w:val="superscript"/>
        </w:rPr>
        <w:fldChar w:fldCharType="begin"/>
      </w:r>
      <w:r>
        <w:instrText xml:space="preserve"> REF _Ref5496 \r \h  \* MERGEFORMAT</w:instrText>
      </w:r>
      <w:r>
        <w:rPr>
          <w:vertAlign w:val="superscript"/>
        </w:rPr>
        <w:fldChar w:fldCharType="separate"/>
      </w:r>
      <w:r>
        <w:rPr>
          <w:vertAlign w:val="superscript"/>
        </w:rPr>
        <w:t>[19]</w:t>
      </w:r>
      <w:r>
        <w:rPr>
          <w:vertAlign w:val="superscript"/>
        </w:rPr>
        <w:fldChar w:fldCharType="end"/>
      </w:r>
      <w:r>
        <w:t>。</w:t>
      </w:r>
      <w:r>
        <w:rPr>
          <w:rFonts w:hint="eastAsia"/>
        </w:rPr>
        <w:t>这么一来，单个样本的频域特征就是128维（64×2）。FFT这一步把时域信号转成了频域图景，不同工况下振动能量在不同频段的分布差异被显式地呈现出来，后面不管是特征筛选还是模型学习，都有了物理上能解释的输入底子。</w:t>
      </w:r>
    </w:p>
    <w:p w14:paraId="130E41E3">
      <w:pPr>
        <w:pStyle w:val="4"/>
        <w:spacing w:before="120" w:after="120"/>
      </w:pPr>
      <w:bookmarkStart w:id="60" w:name="_Toc30080"/>
      <w:bookmarkStart w:id="61" w:name="_Toc8632"/>
      <w:r>
        <w:t>3.2.2 全局Z-Score标准化与多工况数据尺度统一</w:t>
      </w:r>
      <w:bookmarkEnd w:id="60"/>
      <w:bookmarkEnd w:id="61"/>
    </w:p>
    <w:p w14:paraId="25024E6C">
      <w:pPr>
        <w:spacing w:after="120" w:afterLines="50"/>
        <w:ind w:firstLine="480"/>
        <w:rPr>
          <w:rFonts w:hint="eastAsia" w:eastAsia="宋体"/>
          <w:lang w:eastAsia="zh-CN"/>
        </w:rPr>
      </w:pPr>
      <w:r>
        <w:rPr>
          <w:rFonts w:hint="eastAsia"/>
        </w:rPr>
        <w:t>数据标准化</w:t>
      </w:r>
      <w:r>
        <w:rPr>
          <w:rFonts w:hint="eastAsia"/>
          <w:lang w:val="en-US" w:eastAsia="zh-CN"/>
        </w:rPr>
        <w:t>看起来微不足道，但它确实</w:t>
      </w:r>
      <w:r>
        <w:rPr>
          <w:rFonts w:hint="eastAsia"/>
        </w:rPr>
        <w:t>是消除特征量纲差异、提升模型收敛速度</w:t>
      </w:r>
      <w:r>
        <w:rPr>
          <w:rFonts w:hint="eastAsia"/>
          <w:lang w:val="en-US" w:eastAsia="zh-CN"/>
        </w:rPr>
        <w:t>和</w:t>
      </w:r>
      <w:r>
        <w:rPr>
          <w:rFonts w:hint="eastAsia"/>
        </w:rPr>
        <w:t>泛化能力的关键步骤</w:t>
      </w:r>
      <w:r>
        <w:rPr>
          <w:vertAlign w:val="superscript"/>
        </w:rPr>
        <w:fldChar w:fldCharType="begin"/>
      </w:r>
      <w:r>
        <w:instrText xml:space="preserve"> REF _Ref6244 \r \h  \* MERGEFORMAT</w:instrText>
      </w:r>
      <w:r>
        <w:rPr>
          <w:vertAlign w:val="superscript"/>
        </w:rPr>
        <w:fldChar w:fldCharType="separate"/>
      </w:r>
      <w:r>
        <w:rPr>
          <w:vertAlign w:val="superscript"/>
        </w:rPr>
        <w:t>[36]</w:t>
      </w:r>
      <w:r>
        <w:rPr>
          <w:vertAlign w:val="superscript"/>
        </w:rPr>
        <w:fldChar w:fldCharType="end"/>
      </w:r>
      <w:r>
        <w:t>。为</w:t>
      </w:r>
      <w:r>
        <w:rPr>
          <w:rFonts w:hint="eastAsia"/>
          <w:lang w:val="en-US" w:eastAsia="zh-CN"/>
        </w:rPr>
        <w:t>了</w:t>
      </w:r>
      <w:r>
        <w:t>消除不同特征间的量纲差异，</w:t>
      </w:r>
      <w:r>
        <w:rPr>
          <w:rFonts w:hint="eastAsia"/>
          <w:lang w:val="en-US" w:eastAsia="zh-CN"/>
        </w:rPr>
        <w:t>本文</w:t>
      </w:r>
      <w:r>
        <w:t>采用</w:t>
      </w:r>
      <w:r>
        <w:rPr>
          <w:rFonts w:hint="eastAsia"/>
          <w:lang w:val="en-US" w:eastAsia="zh-CN"/>
        </w:rPr>
        <w:t>的是</w:t>
      </w:r>
      <w:r>
        <w:t>全局标准化策略</w:t>
      </w:r>
      <w:r>
        <w:rPr>
          <w:rFonts w:hint="eastAsia"/>
          <w:lang w:eastAsia="zh-CN"/>
        </w:rPr>
        <w:t>。</w:t>
      </w:r>
      <w:r>
        <w:rPr>
          <w:rFonts w:hint="eastAsia"/>
          <w:lang w:val="en-US" w:eastAsia="zh-CN"/>
        </w:rPr>
        <w:t>即</w:t>
      </w:r>
      <w:r>
        <w:t>汇总全部15个轴承</w:t>
      </w:r>
      <w:r>
        <w:rPr>
          <w:rFonts w:hint="eastAsia"/>
          <w:lang w:val="en-US" w:eastAsia="zh-CN"/>
        </w:rPr>
        <w:t>的</w:t>
      </w:r>
      <w:r>
        <w:t>经特征筛选后的140维特征，</w:t>
      </w:r>
      <w:r>
        <w:rPr>
          <w:rFonts w:hint="eastAsia"/>
          <w:lang w:val="en-US" w:eastAsia="zh-CN"/>
        </w:rPr>
        <w:t>先</w:t>
      </w:r>
      <w:r>
        <w:t>计算全局均值</w:t>
      </w:r>
      <m:oMath>
        <m:sSub>
          <m:sSubPr>
            <m:ctrlPr>
              <w:rPr>
                <w:rFonts w:ascii="Cambria Math" w:hAnsi="Cambria Math"/>
              </w:rPr>
            </m:ctrlPr>
          </m:sSubPr>
          <m:e>
            <m:r>
              <m:rPr>
                <m:nor/>
                <m:sty m:val="p"/>
              </m:rPr>
              <w:rPr>
                <w:b w:val="0"/>
                <w:i w:val="0"/>
              </w:rPr>
              <m:t>μ</m:t>
            </m:r>
            <m:ctrlPr>
              <w:rPr>
                <w:rFonts w:ascii="Cambria Math" w:hAnsi="Cambria Math"/>
              </w:rPr>
            </m:ctrlPr>
          </m:e>
          <m:sub>
            <m:r>
              <m:rPr>
                <m:nor/>
                <m:sty m:val="p"/>
              </m:rPr>
              <w:rPr>
                <w:b w:val="0"/>
                <w:i w:val="0"/>
              </w:rPr>
              <m:t>global</m:t>
            </m:r>
            <m:ctrlPr>
              <w:rPr>
                <w:rFonts w:ascii="Cambria Math" w:hAnsi="Cambria Math"/>
              </w:rPr>
            </m:ctrlPr>
          </m:sub>
        </m:sSub>
      </m:oMath>
      <w:r>
        <w:t>与标准差</w:t>
      </w:r>
      <m:oMath>
        <m:sSub>
          <m:sSubPr>
            <m:ctrlPr>
              <w:rPr>
                <w:rFonts w:ascii="Cambria Math" w:hAnsi="Cambria Math"/>
              </w:rPr>
            </m:ctrlPr>
          </m:sSubPr>
          <m:e>
            <m:r>
              <m:rPr>
                <m:nor/>
                <m:sty m:val="p"/>
              </m:rPr>
              <w:rPr>
                <w:b w:val="0"/>
                <w:i w:val="0"/>
              </w:rPr>
              <m:t>σ</m:t>
            </m:r>
            <m:ctrlPr>
              <w:rPr>
                <w:rFonts w:ascii="Cambria Math" w:hAnsi="Cambria Math"/>
              </w:rPr>
            </m:ctrlPr>
          </m:e>
          <m:sub>
            <m:r>
              <m:rPr>
                <m:nor/>
                <m:sty m:val="p"/>
              </m:rPr>
              <w:rPr>
                <w:b w:val="0"/>
                <w:i w:val="0"/>
              </w:rPr>
              <m:t>global</m:t>
            </m:r>
            <m:ctrlPr>
              <w:rPr>
                <w:rFonts w:ascii="Cambria Math" w:hAnsi="Cambria Math"/>
              </w:rPr>
            </m:ctrlPr>
          </m:sub>
        </m:sSub>
      </m:oMath>
      <w:r>
        <w:t>，</w:t>
      </w:r>
      <w:r>
        <w:rPr>
          <w:rFonts w:hint="eastAsia"/>
          <w:lang w:val="en-US" w:eastAsia="zh-CN"/>
        </w:rPr>
        <w:t>再</w:t>
      </w:r>
      <w:r>
        <w:t>对每个样本执行Z-Score变换：</w:t>
      </w:r>
      <w:r>
        <w:rPr>
          <w:vanish/>
          <w:sz w:val="15"/>
          <w:szCs w:val="15"/>
        </w:rPr>
        <w:fldChar w:fldCharType="begin"/>
      </w:r>
      <w:r>
        <w:rPr>
          <w:vanish/>
          <w:sz w:val="15"/>
          <w:szCs w:val="15"/>
        </w:rPr>
        <w:instrText xml:space="preserve"> MACROBUTTON MTEditEquationSection2 </w:instrText>
      </w:r>
      <w:r>
        <w:rPr>
          <w:rStyle w:val="34"/>
          <w:rFonts w:hint="eastAsia"/>
          <w:vanish/>
          <w:sz w:val="15"/>
          <w:szCs w:val="15"/>
          <w:lang w:eastAsia="zh-CN"/>
        </w:rPr>
        <w:instrText xml:space="preserve">公式章 3 节 1</w:instrText>
      </w:r>
      <w:r>
        <w:rPr>
          <w:rFonts w:hint="eastAsia"/>
          <w:vanish/>
          <w:sz w:val="15"/>
          <w:szCs w:val="15"/>
          <w:lang w:eastAsia="zh-CN"/>
        </w:rPr>
        <w:fldChar w:fldCharType="begin"/>
      </w:r>
      <w:r>
        <w:rPr>
          <w:rFonts w:hint="eastAsia"/>
          <w:vanish/>
          <w:sz w:val="15"/>
          <w:szCs w:val="15"/>
          <w:lang w:eastAsia="zh-CN"/>
        </w:rPr>
        <w:instrText xml:space="preserve"> SEQ MTEqn \r \h \* MERGEFORMAT </w:instrText>
      </w:r>
      <w:r>
        <w:rPr>
          <w:rFonts w:hint="eastAsia"/>
          <w:vanish/>
          <w:sz w:val="15"/>
          <w:szCs w:val="15"/>
          <w:lang w:eastAsia="zh-CN"/>
        </w:rPr>
        <w:fldChar w:fldCharType="separate"/>
      </w:r>
      <w:r>
        <w:rPr>
          <w:rFonts w:hint="eastAsia"/>
          <w:vanish/>
          <w:sz w:val="15"/>
          <w:szCs w:val="15"/>
          <w:lang w:eastAsia="zh-CN"/>
        </w:rPr>
        <w:fldChar w:fldCharType="end"/>
      </w:r>
      <w:r>
        <w:rPr>
          <w:rFonts w:hint="eastAsia"/>
          <w:vanish/>
          <w:sz w:val="15"/>
          <w:szCs w:val="15"/>
          <w:lang w:eastAsia="zh-CN"/>
        </w:rPr>
        <w:fldChar w:fldCharType="begin"/>
      </w:r>
      <w:r>
        <w:rPr>
          <w:rFonts w:hint="eastAsia"/>
          <w:vanish/>
          <w:sz w:val="15"/>
          <w:szCs w:val="15"/>
          <w:lang w:eastAsia="zh-CN"/>
        </w:rPr>
        <w:instrText xml:space="preserve"> SEQ MTSec \r 1 \h \* MERGEFORMAT </w:instrText>
      </w:r>
      <w:r>
        <w:rPr>
          <w:rFonts w:hint="eastAsia"/>
          <w:vanish/>
          <w:sz w:val="15"/>
          <w:szCs w:val="15"/>
          <w:lang w:eastAsia="zh-CN"/>
        </w:rPr>
        <w:fldChar w:fldCharType="separate"/>
      </w:r>
      <w:r>
        <w:rPr>
          <w:rFonts w:hint="eastAsia"/>
          <w:vanish/>
          <w:sz w:val="15"/>
          <w:szCs w:val="15"/>
          <w:lang w:eastAsia="zh-CN"/>
        </w:rPr>
        <w:fldChar w:fldCharType="end"/>
      </w:r>
      <w:r>
        <w:rPr>
          <w:rFonts w:hint="eastAsia"/>
          <w:vanish/>
          <w:sz w:val="15"/>
          <w:szCs w:val="15"/>
          <w:lang w:eastAsia="zh-CN"/>
        </w:rPr>
        <w:fldChar w:fldCharType="begin"/>
      </w:r>
      <w:r>
        <w:rPr>
          <w:rFonts w:hint="eastAsia"/>
          <w:vanish/>
          <w:sz w:val="15"/>
          <w:szCs w:val="15"/>
          <w:lang w:eastAsia="zh-CN"/>
        </w:rPr>
        <w:instrText xml:space="preserve"> SEQ MTChap \r 3 \h \* MERGEFORMAT </w:instrText>
      </w:r>
      <w:r>
        <w:rPr>
          <w:rFonts w:hint="eastAsia"/>
          <w:vanish/>
          <w:sz w:val="15"/>
          <w:szCs w:val="15"/>
          <w:lang w:eastAsia="zh-CN"/>
        </w:rPr>
        <w:fldChar w:fldCharType="separate"/>
      </w:r>
      <w:r>
        <w:rPr>
          <w:rFonts w:hint="eastAsia"/>
          <w:vanish/>
          <w:sz w:val="15"/>
          <w:szCs w:val="15"/>
          <w:lang w:eastAsia="zh-CN"/>
        </w:rPr>
        <w:fldChar w:fldCharType="end"/>
      </w:r>
      <w:r>
        <w:rPr>
          <w:vanish/>
          <w:sz w:val="15"/>
          <w:szCs w:val="15"/>
        </w:rPr>
        <w:fldChar w:fldCharType="separate"/>
      </w:r>
      <w:r>
        <w:rPr>
          <w:vanish/>
          <w:sz w:val="15"/>
          <w:szCs w:val="15"/>
        </w:rPr>
        <w:fldChar w:fldCharType="end"/>
      </w:r>
    </w:p>
    <w:p w14:paraId="64875E79">
      <w:pPr>
        <w:pStyle w:val="30"/>
        <w:spacing w:before="240" w:after="240"/>
      </w:pPr>
      <w:r>
        <w:rPr>
          <w:position w:val="-32"/>
        </w:rPr>
        <w:tab/>
      </w:r>
      <w:r>
        <w:rPr>
          <w:position w:val="-32"/>
        </w:rPr>
        <w:object>
          <v:shape id="_x0000_i1042" o:spt="75" type="#_x0000_t75" style="height:37pt;width:70pt;" o:ole="t" filled="f" o:preferrelative="t" stroked="f" coordsize="21600,21600">
            <v:path/>
            <v:fill on="f" focussize="0,0"/>
            <v:stroke on="f" joinstyle="miter"/>
            <v:imagedata r:id="rId61" o:title=""/>
            <o:lock v:ext="edit" aspectratio="t"/>
            <w10:wrap type="none"/>
            <w10:anchorlock/>
          </v:shape>
          <o:OLEObject Type="Embed" ProgID="Equation.DSMT4" ShapeID="_x0000_i1042" DrawAspect="Content" ObjectID="_1468075742" r:id="rId60">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separate"/>
      </w:r>
      <w:r>
        <w:fldChar w:fldCharType="end"/>
      </w:r>
      <w:r>
        <w:rPr>
          <w:rFonts w:hint="eastAsia"/>
          <w:lang w:eastAsia="zh-CN"/>
        </w:rPr>
        <w:instrText xml:space="preserve">(</w:instrText>
      </w:r>
      <w:r>
        <w:rPr>
          <w:rFonts w:hint="eastAsia"/>
          <w:lang w:eastAsia="zh-CN"/>
        </w:rPr>
        <w:fldChar w:fldCharType="begin"/>
      </w:r>
      <w:r>
        <w:rPr>
          <w:rFonts w:hint="eastAsia"/>
          <w:lang w:eastAsia="zh-CN"/>
        </w:rPr>
        <w:instrText xml:space="preserve"> SEQ MTChap \c \* Arabic \* MERGEFORMAT </w:instrText>
      </w:r>
      <w:r>
        <w:rPr>
          <w:rFonts w:hint="eastAsia"/>
          <w:lang w:eastAsia="zh-CN"/>
        </w:rPr>
        <w:fldChar w:fldCharType="separate"/>
      </w:r>
      <w:r>
        <w:instrText xml:space="preserve">3</w:instrText>
      </w:r>
      <w:r>
        <w:rPr>
          <w:rFonts w:hint="eastAsia"/>
          <w:lang w:eastAsia="zh-CN"/>
        </w:rPr>
        <w:fldChar w:fldCharType="end"/>
      </w:r>
      <w:r>
        <w:rPr>
          <w:rFonts w:hint="eastAsia"/>
          <w:lang w:eastAsia="zh-CN"/>
        </w:rPr>
        <w:instrText xml:space="preserve">-</w:instrText>
      </w:r>
      <w:r>
        <w:rPr>
          <w:rFonts w:hint="eastAsia"/>
          <w:lang w:eastAsia="zh-CN"/>
        </w:rPr>
        <w:fldChar w:fldCharType="begin"/>
      </w:r>
      <w:r>
        <w:rPr>
          <w:rFonts w:hint="eastAsia"/>
          <w:lang w:eastAsia="zh-CN"/>
        </w:rPr>
        <w:instrText xml:space="preserve"> SEQ MTEqn \c \* Arabic \* MERGEFORMAT </w:instrText>
      </w:r>
      <w:r>
        <w:rPr>
          <w:rFonts w:hint="eastAsia"/>
          <w:lang w:eastAsia="zh-CN"/>
        </w:rPr>
        <w:fldChar w:fldCharType="separate"/>
      </w:r>
      <w:r>
        <w:instrText xml:space="preserve">1</w:instrText>
      </w:r>
      <w:r>
        <w:rPr>
          <w:rFonts w:hint="eastAsia"/>
          <w:lang w:eastAsia="zh-CN"/>
        </w:rPr>
        <w:fldChar w:fldCharType="end"/>
      </w:r>
      <w:r>
        <w:rPr>
          <w:rFonts w:hint="eastAsia"/>
          <w:lang w:eastAsia="zh-CN"/>
        </w:rPr>
        <w:instrText xml:space="preserve">)</w:instrText>
      </w:r>
      <w:r>
        <w:fldChar w:fldCharType="separate"/>
      </w:r>
      <w:r>
        <w:fldChar w:fldCharType="end"/>
      </w:r>
    </w:p>
    <w:p w14:paraId="38402E9C">
      <w:pPr>
        <w:spacing w:before="240" w:beforeLines="100"/>
        <w:ind w:firstLine="480"/>
      </w:pPr>
      <w:r>
        <w:rPr>
          <w:rFonts w:hint="eastAsia"/>
        </w:rPr>
        <w:t>这样做的好处是，量纲差异被抹平了，但不同工况之间那些固有的分布差异没有被误伤——这对跨工况域适应研究来说，是必须保留的基础信息。全局标准化器存成scaler.pkl，训练和测试阶段统一加载。需要说明的是，这个全局标准化用到了测试轴承的统计量，在实际工程部署里可以换成只用训练集算的标准化器；本文纯粹为了实验设置的一致性，后续所有实验都用了同一个全局标准化器。</w:t>
      </w:r>
    </w:p>
    <w:p w14:paraId="1148EAAB">
      <w:pPr>
        <w:pStyle w:val="4"/>
        <w:spacing w:before="120" w:after="120"/>
      </w:pPr>
      <w:bookmarkStart w:id="62" w:name="_Toc22893"/>
      <w:bookmarkStart w:id="63" w:name="_Toc28706"/>
      <w:r>
        <w:t>3.2.3 滑动窗口的时序样本生成与工况特征对齐</w:t>
      </w:r>
      <w:bookmarkEnd w:id="62"/>
      <w:bookmarkEnd w:id="63"/>
    </w:p>
    <w:p w14:paraId="355F6D5A">
      <w:pPr>
        <w:ind w:firstLine="480"/>
      </w:pPr>
      <w:r>
        <w:t>轴承退化是一个连续时序过程，孤立的时间点样本无法反映退化趋势。本文采用固定长度滑动窗口将连续监测数据切分为有重叠的时序样本，窗口长度</w:t>
      </w:r>
      <m:oMath>
        <m:r>
          <m:rPr>
            <m:nor/>
            <m:sty m:val="p"/>
          </m:rPr>
          <w:rPr>
            <w:b w:val="0"/>
            <w:i w:val="0"/>
          </w:rPr>
          <m:t>T=32</m:t>
        </m:r>
      </m:oMath>
      <w:r>
        <w:t>（对应32分钟），滑动步长</w:t>
      </w:r>
      <w:r>
        <w:rPr>
          <w:position w:val="-6"/>
        </w:rPr>
        <w:object>
          <v:shape id="_x0000_i1043" o:spt="75" type="#_x0000_t75" style="height:13.95pt;width:24pt;" o:ole="t" filled="f" o:preferrelative="t" stroked="f" coordsize="21600,21600">
            <v:path/>
            <v:fill on="f" focussize="0,0"/>
            <v:stroke on="f" joinstyle="miter"/>
            <v:imagedata r:id="rId63" o:title=""/>
            <o:lock v:ext="edit" aspectratio="t"/>
            <w10:wrap type="none"/>
            <w10:anchorlock/>
          </v:shape>
          <o:OLEObject Type="Embed" ProgID="Equation.DSMT4" ShapeID="_x0000_i1043" DrawAspect="Content" ObjectID="_1468075743" r:id="rId62">
            <o:LockedField>false</o:LockedField>
          </o:OLEObject>
        </w:object>
      </w:r>
      <w:r>
        <w:t>，这一参数设置在XJTU-SY数据集上已被验证为最优</w:t>
      </w:r>
      <w:r>
        <w:rPr>
          <w:vertAlign w:val="superscript"/>
        </w:rPr>
        <w:fldChar w:fldCharType="begin"/>
      </w:r>
      <w:r>
        <w:instrText xml:space="preserve"> REF _Ref5192 \r \h  \* MERGEFORMAT</w:instrText>
      </w:r>
      <w:r>
        <w:rPr>
          <w:vertAlign w:val="superscript"/>
        </w:rPr>
        <w:fldChar w:fldCharType="separate"/>
      </w:r>
      <w:r>
        <w:rPr>
          <w:vertAlign w:val="superscript"/>
        </w:rPr>
        <w:t>[12]</w:t>
      </w:r>
      <w:r>
        <w:rPr>
          <w:vertAlign w:val="superscript"/>
        </w:rPr>
        <w:fldChar w:fldCharType="end"/>
      </w:r>
      <w:r>
        <w:rPr>
          <w:vertAlign w:val="superscript"/>
        </w:rPr>
        <w:fldChar w:fldCharType="begin"/>
      </w:r>
      <w:r>
        <w:instrText xml:space="preserve"> REF _Ref5411 \r \h  \* MERGEFORMAT</w:instrText>
      </w:r>
      <w:r>
        <w:rPr>
          <w:vertAlign w:val="superscript"/>
        </w:rPr>
        <w:fldChar w:fldCharType="separate"/>
      </w:r>
      <w:r>
        <w:rPr>
          <w:vertAlign w:val="superscript"/>
        </w:rPr>
        <w:t>[17]</w:t>
      </w:r>
      <w:r>
        <w:rPr>
          <w:vertAlign w:val="superscript"/>
        </w:rPr>
        <w:fldChar w:fldCharType="end"/>
      </w:r>
      <w:r>
        <w:t>。对于每个轴承的全寿命数据，生成样本数为</w:t>
      </w:r>
      <m:oMath>
        <m:sSub>
          <m:sSubPr>
            <m:ctrlPr>
              <w:rPr>
                <w:rFonts w:ascii="Cambria Math" w:hAnsi="Cambria Math"/>
              </w:rPr>
            </m:ctrlPr>
          </m:sSubPr>
          <m:e>
            <m:r>
              <m:rPr>
                <m:nor/>
                <m:sty m:val="p"/>
              </m:rPr>
              <w:rPr>
                <w:b w:val="0"/>
                <w:i w:val="0"/>
              </w:rPr>
              <m:t>N</m:t>
            </m:r>
            <m:ctrlPr>
              <w:rPr>
                <w:rFonts w:ascii="Cambria Math" w:hAnsi="Cambria Math"/>
              </w:rPr>
            </m:ctrlPr>
          </m:e>
          <m:sub>
            <m:r>
              <m:rPr>
                <m:nor/>
                <m:sty m:val="p"/>
              </m:rPr>
              <w:rPr>
                <w:b w:val="0"/>
                <w:i w:val="0"/>
              </w:rPr>
              <m:t>samples</m:t>
            </m:r>
            <m:ctrlPr>
              <w:rPr>
                <w:rFonts w:ascii="Cambria Math" w:hAnsi="Cambria Math"/>
              </w:rPr>
            </m:ctrlPr>
          </m:sub>
        </m:sSub>
        <m:r>
          <m:rPr>
            <m:nor/>
            <m:sty m:val="p"/>
          </m:rPr>
          <w:rPr>
            <w:b w:val="0"/>
            <w:i w:val="0"/>
          </w:rPr>
          <m:t>=</m:t>
        </m:r>
        <m:sSub>
          <m:sSubPr>
            <m:ctrlPr>
              <w:rPr>
                <w:rFonts w:ascii="Cambria Math" w:hAnsi="Cambria Math"/>
              </w:rPr>
            </m:ctrlPr>
          </m:sSubPr>
          <m:e>
            <m:r>
              <m:rPr>
                <m:nor/>
                <m:sty m:val="p"/>
              </m:rPr>
              <w:rPr>
                <w:b w:val="0"/>
                <w:i w:val="0"/>
              </w:rPr>
              <m:t>N</m:t>
            </m:r>
            <m:ctrlPr>
              <w:rPr>
                <w:rFonts w:ascii="Cambria Math" w:hAnsi="Cambria Math"/>
              </w:rPr>
            </m:ctrlPr>
          </m:e>
          <m:sub>
            <m:r>
              <m:rPr>
                <m:nor/>
                <m:sty m:val="p"/>
              </m:rPr>
              <w:rPr>
                <w:b w:val="0"/>
                <w:i w:val="0"/>
              </w:rPr>
              <m:t>total</m:t>
            </m:r>
            <m:ctrlPr>
              <w:rPr>
                <w:rFonts w:ascii="Cambria Math" w:hAnsi="Cambria Math"/>
              </w:rPr>
            </m:ctrlPr>
          </m:sub>
        </m:sSub>
        <m:r>
          <m:rPr>
            <m:nor/>
            <m:sty m:val="p"/>
          </m:rPr>
          <w:rPr>
            <w:b w:val="0"/>
            <w:i w:val="0"/>
          </w:rPr>
          <m:t>-T+1</m:t>
        </m:r>
      </m:oMath>
      <w:r>
        <w:t>。每个窗口样本的形状为</w:t>
      </w:r>
      <m:oMath>
        <m:r>
          <m:rPr>
            <m:nor/>
            <m:sty m:val="p"/>
          </m:rPr>
          <w:rPr>
            <w:b w:val="0"/>
            <w:i w:val="0"/>
          </w:rPr>
          <m:t>(T,D)=(32,140)</m:t>
        </m:r>
      </m:oMath>
      <w:r>
        <w:t>，对应的标签为该窗口末时刻的健康指标</w:t>
      </w:r>
      <m:oMath>
        <m:sSub>
          <m:sSubPr>
            <m:ctrlPr>
              <w:rPr>
                <w:rFonts w:ascii="Cambria Math" w:hAnsi="Cambria Math"/>
              </w:rPr>
            </m:ctrlPr>
          </m:sSubPr>
          <m:e>
            <m:r>
              <m:rPr>
                <m:nor/>
                <m:sty m:val="p"/>
              </m:rPr>
              <w:rPr>
                <w:b w:val="0"/>
                <w:i w:val="0"/>
              </w:rPr>
              <m:t>h</m:t>
            </m:r>
            <m:ctrlPr>
              <w:rPr>
                <w:rFonts w:ascii="Cambria Math" w:hAnsi="Cambria Math"/>
              </w:rPr>
            </m:ctrlPr>
          </m:e>
          <m:sub>
            <m:r>
              <m:rPr>
                <m:nor/>
                <m:sty m:val="p"/>
              </m:rPr>
              <w:rPr>
                <w:b w:val="0"/>
                <w:i w:val="0"/>
              </w:rPr>
              <m:t>t</m:t>
            </m:r>
            <m:ctrlPr>
              <w:rPr>
                <w:rFonts w:ascii="Cambria Math" w:hAnsi="Cambria Math"/>
              </w:rPr>
            </m:ctrlPr>
          </m:sub>
        </m:sSub>
      </m:oMath>
      <w:r>
        <w:t>与剩余寿命比例</w:t>
      </w:r>
      <m:oMath>
        <m:sSub>
          <m:sSubPr>
            <m:ctrlPr>
              <w:rPr>
                <w:rFonts w:ascii="Cambria Math" w:hAnsi="Cambria Math"/>
              </w:rPr>
            </m:ctrlPr>
          </m:sSubPr>
          <m:e>
            <m:r>
              <m:rPr>
                <m:nor/>
                <m:sty m:val="p"/>
              </m:rPr>
              <w:rPr>
                <w:b w:val="0"/>
                <w:i w:val="0"/>
              </w:rPr>
              <m:t>y</m:t>
            </m:r>
            <m:ctrlPr>
              <w:rPr>
                <w:rFonts w:ascii="Cambria Math" w:hAnsi="Cambria Math"/>
              </w:rPr>
            </m:ctrlPr>
          </m:e>
          <m:sub>
            <m:r>
              <m:rPr>
                <m:nor/>
                <m:sty m:val="p"/>
              </m:rPr>
              <w:rPr>
                <w:b w:val="0"/>
                <w:i w:val="0"/>
              </w:rPr>
              <m:t>t</m:t>
            </m:r>
            <m:ctrlPr>
              <w:rPr>
                <w:rFonts w:ascii="Cambria Math" w:hAnsi="Cambria Math"/>
              </w:rPr>
            </m:ctrlPr>
          </m:sub>
        </m:sSub>
      </m:oMath>
      <w:r>
        <w:t>。滑动窗口机制不仅扩充了训练样本量，更重要的是将不同工况下不同寿命长度的轴承统一为相同的时间步长输入，实现了工况间的特征对齐。</w:t>
      </w:r>
    </w:p>
    <w:p w14:paraId="28F2D742">
      <w:pPr>
        <w:pStyle w:val="3"/>
        <w:spacing w:before="120" w:after="120"/>
      </w:pPr>
      <w:bookmarkStart w:id="64" w:name="_Toc13236"/>
      <w:bookmarkStart w:id="65" w:name="_Toc27047"/>
      <w:r>
        <w:t>3.3 基于SE-ResNet的多工况特征自适应提取模块</w:t>
      </w:r>
      <w:bookmarkEnd w:id="64"/>
      <w:bookmarkEnd w:id="65"/>
    </w:p>
    <w:p w14:paraId="0738D659">
      <w:pPr>
        <w:pStyle w:val="4"/>
        <w:spacing w:before="120" w:after="120"/>
      </w:pPr>
      <w:bookmarkStart w:id="66" w:name="_Toc22555"/>
      <w:bookmarkStart w:id="67" w:name="_Toc14154"/>
      <w:r>
        <w:t>3.3.1 适配轴承信号的SE-ResNet网络结构设计</w:t>
      </w:r>
      <w:bookmarkEnd w:id="66"/>
      <w:bookmarkEnd w:id="67"/>
    </w:p>
    <w:p w14:paraId="2A83BFDE">
      <w:pPr>
        <w:ind w:firstLine="480"/>
      </w:pPr>
      <w:r>
        <w:rPr>
          <w:rFonts w:hint="eastAsia"/>
        </w:rPr>
        <w:t>CNN处理振动信号有个天然优势——平移不变性和局部感知能力跟频域特征很对路。但普通CNN堆深了容易梯度消失，而且对通道之间的关系缺乏直接的建模手段。把SE注意力模块嵌进残差块，等于在提取深度特征的同时加了一道通道级的自适应校准，这套打法在轴承故障诊断和RUL预测里已经验证过</w:t>
      </w:r>
      <w:r>
        <w:rPr>
          <w:vertAlign w:val="superscript"/>
        </w:rPr>
        <w:fldChar w:fldCharType="begin"/>
      </w:r>
      <w:r>
        <w:instrText xml:space="preserve"> REF _Ref5979 \r \h  \* MERGEFORMAT</w:instrText>
      </w:r>
      <w:r>
        <w:rPr>
          <w:vertAlign w:val="superscript"/>
        </w:rPr>
        <w:fldChar w:fldCharType="separate"/>
      </w:r>
      <w:r>
        <w:rPr>
          <w:vertAlign w:val="superscript"/>
        </w:rPr>
        <w:t>[30]</w:t>
      </w:r>
      <w:r>
        <w:rPr>
          <w:vertAlign w:val="superscript"/>
        </w:rPr>
        <w:fldChar w:fldCharType="end"/>
      </w:r>
      <w:r>
        <w:rPr>
          <w:vertAlign w:val="superscript"/>
        </w:rPr>
        <w:fldChar w:fldCharType="begin"/>
      </w:r>
      <w:r>
        <w:instrText xml:space="preserve"> REF _Ref15155 \r \h  \* MERGEFORMAT</w:instrText>
      </w:r>
      <w:r>
        <w:rPr>
          <w:vertAlign w:val="superscript"/>
        </w:rPr>
        <w:fldChar w:fldCharType="separate"/>
      </w:r>
      <w:r>
        <w:rPr>
          <w:vertAlign w:val="superscript"/>
        </w:rPr>
        <w:t>[50]</w:t>
      </w:r>
      <w:r>
        <w:rPr>
          <w:vertAlign w:val="superscript"/>
        </w:rPr>
        <w:fldChar w:fldCharType="end"/>
      </w:r>
      <w:r>
        <w:t>。</w:t>
      </w:r>
      <w:r>
        <w:rPr>
          <w:rFonts w:hint="eastAsia"/>
        </w:rPr>
        <w:t>本文的一维SE-ResNet只用了两个残差块——轴承全寿命数据的样本量毕竟有限，模型复杂度得控制在合理范围内</w:t>
      </w:r>
      <w:r>
        <w:rPr>
          <w:vertAlign w:val="superscript"/>
        </w:rPr>
        <w:fldChar w:fldCharType="begin"/>
      </w:r>
      <w:r>
        <w:instrText xml:space="preserve"> REF _Ref5724 \r \h  \* MERGEFORMAT</w:instrText>
      </w:r>
      <w:r>
        <w:rPr>
          <w:vertAlign w:val="superscript"/>
        </w:rPr>
        <w:fldChar w:fldCharType="separate"/>
      </w:r>
      <w:r>
        <w:rPr>
          <w:vertAlign w:val="superscript"/>
        </w:rPr>
        <w:t>[25]</w:t>
      </w:r>
      <w:r>
        <w:rPr>
          <w:vertAlign w:val="superscript"/>
        </w:rPr>
        <w:fldChar w:fldCharType="end"/>
      </w:r>
      <w:r>
        <w:rPr>
          <w:vertAlign w:val="superscript"/>
        </w:rPr>
        <w:fldChar w:fldCharType="begin"/>
      </w:r>
      <w:r>
        <w:instrText xml:space="preserve"> REF _Ref14029 \r \h  \* MERGEFORMAT</w:instrText>
      </w:r>
      <w:r>
        <w:rPr>
          <w:vertAlign w:val="superscript"/>
        </w:rPr>
        <w:fldChar w:fldCharType="separate"/>
      </w:r>
      <w:r>
        <w:rPr>
          <w:vertAlign w:val="superscript"/>
        </w:rPr>
        <w:t>[49]</w:t>
      </w:r>
      <w:r>
        <w:rPr>
          <w:vertAlign w:val="superscript"/>
        </w:rPr>
        <w:fldChar w:fldCharType="end"/>
      </w:r>
      <w:r>
        <w:t>。具体参数配置</w:t>
      </w:r>
      <w:r>
        <w:rPr>
          <w:rFonts w:hint="eastAsia"/>
          <w:lang w:val="en-US" w:eastAsia="zh-CN"/>
        </w:rPr>
        <w:t>见</w:t>
      </w:r>
      <w:r>
        <w:t>表3-1。</w:t>
      </w:r>
    </w:p>
    <w:p w14:paraId="1B646F95">
      <w:pPr>
        <w:pStyle w:val="8"/>
        <w:rPr>
          <w:rFonts w:ascii="Times New Roman" w:hAnsi="Times New Roman"/>
        </w:rPr>
      </w:pPr>
      <w:r>
        <w:rPr>
          <w:rFonts w:ascii="Times New Roman" w:hAnsi="Times New Roman"/>
        </w:rPr>
        <w:t>表3-</w:t>
      </w:r>
      <w:r>
        <w:rPr>
          <w:rFonts w:ascii="Times New Roman" w:hAnsi="Times New Roman"/>
        </w:rPr>
        <w:fldChar w:fldCharType="begin"/>
      </w:r>
      <w:r>
        <w:rPr>
          <w:rFonts w:ascii="Times New Roman" w:hAnsi="Times New Roman"/>
        </w:rPr>
        <w:instrText xml:space="preserve"> SEQ 表 \* ARABIC \s 2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bookmarkStart w:id="68" w:name="_Toc30060"/>
      <w:r>
        <w:rPr>
          <w:rFonts w:ascii="Times New Roman" w:hAnsi="Times New Roman"/>
        </w:rPr>
        <w:t xml:space="preserve"> SE-ResNet特征提取器结构参数</w:t>
      </w:r>
      <w:bookmarkEnd w:id="68"/>
    </w:p>
    <w:tbl>
      <w:tblPr>
        <w:tblStyle w:val="21"/>
        <w:tblW w:w="4998" w:type="pct"/>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80" w:type="dxa"/>
          <w:left w:w="120" w:type="dxa"/>
          <w:bottom w:w="80" w:type="dxa"/>
          <w:right w:w="120" w:type="dxa"/>
        </w:tblCellMar>
      </w:tblPr>
      <w:tblGrid>
        <w:gridCol w:w="1603"/>
        <w:gridCol w:w="1565"/>
        <w:gridCol w:w="1565"/>
        <w:gridCol w:w="1250"/>
        <w:gridCol w:w="1628"/>
        <w:gridCol w:w="938"/>
      </w:tblGrid>
      <w:tr w14:paraId="5A439DC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blHeader/>
          <w:jc w:val="center"/>
        </w:trPr>
        <w:tc>
          <w:tcPr>
            <w:tcW w:w="937" w:type="pct"/>
            <w:tcBorders>
              <w:top w:val="single" w:color="auto" w:sz="12" w:space="0"/>
              <w:left w:val="nil"/>
              <w:bottom w:val="nil"/>
              <w:right w:val="nil"/>
            </w:tcBorders>
            <w:tcMar>
              <w:top w:w="-1" w:type="dxa"/>
              <w:left w:w="-1" w:type="dxa"/>
              <w:bottom w:w="-1" w:type="dxa"/>
              <w:right w:w="-1" w:type="dxa"/>
            </w:tcMar>
            <w:vAlign w:val="center"/>
          </w:tcPr>
          <w:p w14:paraId="771968FD">
            <w:pPr>
              <w:snapToGrid w:val="0"/>
              <w:spacing w:line="360" w:lineRule="auto"/>
              <w:ind w:firstLine="0" w:firstLineChars="0"/>
              <w:jc w:val="center"/>
              <w:rPr>
                <w:bCs/>
                <w:sz w:val="21"/>
                <w:szCs w:val="21"/>
              </w:rPr>
            </w:pPr>
            <w:r>
              <w:rPr>
                <w:bCs/>
                <w:sz w:val="21"/>
                <w:szCs w:val="21"/>
              </w:rPr>
              <w:t>模块名称</w:t>
            </w:r>
          </w:p>
        </w:tc>
        <w:tc>
          <w:tcPr>
            <w:tcW w:w="915" w:type="pct"/>
            <w:tcBorders>
              <w:top w:val="single" w:color="auto" w:sz="12" w:space="0"/>
              <w:left w:val="nil"/>
              <w:bottom w:val="nil"/>
              <w:right w:val="nil"/>
            </w:tcBorders>
            <w:tcMar>
              <w:top w:w="-1" w:type="dxa"/>
              <w:left w:w="-1" w:type="dxa"/>
              <w:bottom w:w="-1" w:type="dxa"/>
              <w:right w:w="-1" w:type="dxa"/>
            </w:tcMar>
            <w:vAlign w:val="center"/>
          </w:tcPr>
          <w:p w14:paraId="24DDA527">
            <w:pPr>
              <w:snapToGrid w:val="0"/>
              <w:spacing w:line="360" w:lineRule="auto"/>
              <w:ind w:firstLine="0" w:firstLineChars="0"/>
              <w:jc w:val="center"/>
              <w:rPr>
                <w:bCs/>
                <w:sz w:val="21"/>
                <w:szCs w:val="21"/>
              </w:rPr>
            </w:pPr>
            <w:r>
              <w:rPr>
                <w:bCs/>
                <w:sz w:val="21"/>
                <w:szCs w:val="21"/>
              </w:rPr>
              <w:t>输入维度</w:t>
            </w:r>
          </w:p>
        </w:tc>
        <w:tc>
          <w:tcPr>
            <w:tcW w:w="915" w:type="pct"/>
            <w:tcBorders>
              <w:top w:val="single" w:color="auto" w:sz="12" w:space="0"/>
              <w:left w:val="nil"/>
              <w:bottom w:val="nil"/>
              <w:right w:val="nil"/>
            </w:tcBorders>
            <w:tcMar>
              <w:top w:w="-1" w:type="dxa"/>
              <w:left w:w="-1" w:type="dxa"/>
              <w:bottom w:w="-1" w:type="dxa"/>
              <w:right w:w="-1" w:type="dxa"/>
            </w:tcMar>
            <w:vAlign w:val="center"/>
          </w:tcPr>
          <w:p w14:paraId="66158ABA">
            <w:pPr>
              <w:snapToGrid w:val="0"/>
              <w:spacing w:line="360" w:lineRule="auto"/>
              <w:ind w:firstLine="0" w:firstLineChars="0"/>
              <w:jc w:val="center"/>
              <w:rPr>
                <w:bCs/>
                <w:sz w:val="21"/>
                <w:szCs w:val="21"/>
              </w:rPr>
            </w:pPr>
            <w:r>
              <w:rPr>
                <w:bCs/>
                <w:sz w:val="21"/>
                <w:szCs w:val="21"/>
              </w:rPr>
              <w:t>输出维度</w:t>
            </w:r>
          </w:p>
        </w:tc>
        <w:tc>
          <w:tcPr>
            <w:tcW w:w="731" w:type="pct"/>
            <w:tcBorders>
              <w:top w:val="single" w:color="auto" w:sz="12" w:space="0"/>
              <w:left w:val="nil"/>
              <w:bottom w:val="nil"/>
              <w:right w:val="nil"/>
            </w:tcBorders>
            <w:tcMar>
              <w:top w:w="-1" w:type="dxa"/>
              <w:left w:w="-1" w:type="dxa"/>
              <w:bottom w:w="-1" w:type="dxa"/>
              <w:right w:w="-1" w:type="dxa"/>
            </w:tcMar>
            <w:vAlign w:val="center"/>
          </w:tcPr>
          <w:p w14:paraId="6377FF4C">
            <w:pPr>
              <w:snapToGrid w:val="0"/>
              <w:spacing w:line="360" w:lineRule="auto"/>
              <w:ind w:firstLine="0" w:firstLineChars="0"/>
              <w:jc w:val="center"/>
              <w:rPr>
                <w:bCs/>
                <w:sz w:val="21"/>
                <w:szCs w:val="21"/>
              </w:rPr>
            </w:pPr>
            <w:r>
              <w:rPr>
                <w:bCs/>
                <w:sz w:val="21"/>
                <w:szCs w:val="21"/>
              </w:rPr>
              <w:t>卷积核</w:t>
            </w:r>
          </w:p>
        </w:tc>
        <w:tc>
          <w:tcPr>
            <w:tcW w:w="952" w:type="pct"/>
            <w:tcBorders>
              <w:top w:val="single" w:color="auto" w:sz="12" w:space="0"/>
              <w:left w:val="nil"/>
              <w:bottom w:val="nil"/>
              <w:right w:val="nil"/>
            </w:tcBorders>
            <w:tcMar>
              <w:top w:w="-1" w:type="dxa"/>
              <w:left w:w="-1" w:type="dxa"/>
              <w:bottom w:w="-1" w:type="dxa"/>
              <w:right w:w="-1" w:type="dxa"/>
            </w:tcMar>
            <w:vAlign w:val="center"/>
          </w:tcPr>
          <w:p w14:paraId="0D89FEDF">
            <w:pPr>
              <w:snapToGrid w:val="0"/>
              <w:spacing w:line="360" w:lineRule="auto"/>
              <w:ind w:firstLine="0" w:firstLineChars="0"/>
              <w:jc w:val="center"/>
              <w:rPr>
                <w:bCs/>
                <w:sz w:val="21"/>
                <w:szCs w:val="21"/>
              </w:rPr>
            </w:pPr>
            <w:r>
              <w:rPr>
                <w:bCs/>
                <w:sz w:val="21"/>
                <w:szCs w:val="21"/>
              </w:rPr>
              <w:t>SE缩减比</w:t>
            </w:r>
          </w:p>
        </w:tc>
        <w:tc>
          <w:tcPr>
            <w:tcW w:w="548" w:type="pct"/>
            <w:tcBorders>
              <w:top w:val="single" w:color="auto" w:sz="12" w:space="0"/>
              <w:left w:val="nil"/>
              <w:bottom w:val="nil"/>
              <w:right w:val="nil"/>
            </w:tcBorders>
            <w:tcMar>
              <w:top w:w="-1" w:type="dxa"/>
              <w:left w:w="-1" w:type="dxa"/>
              <w:bottom w:w="-1" w:type="dxa"/>
              <w:right w:w="-1" w:type="dxa"/>
            </w:tcMar>
            <w:vAlign w:val="center"/>
          </w:tcPr>
          <w:p w14:paraId="020378F2">
            <w:pPr>
              <w:snapToGrid w:val="0"/>
              <w:spacing w:line="360" w:lineRule="auto"/>
              <w:ind w:firstLine="0" w:firstLineChars="0"/>
              <w:jc w:val="center"/>
              <w:rPr>
                <w:bCs/>
                <w:sz w:val="21"/>
                <w:szCs w:val="21"/>
              </w:rPr>
            </w:pPr>
            <w:r>
              <w:rPr>
                <w:bCs/>
                <w:sz w:val="21"/>
                <w:szCs w:val="21"/>
              </w:rPr>
              <w:t>步长</w:t>
            </w:r>
          </w:p>
        </w:tc>
      </w:tr>
      <w:tr w14:paraId="6F1EBA1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80" w:type="dxa"/>
            <w:left w:w="120" w:type="dxa"/>
            <w:bottom w:w="80" w:type="dxa"/>
            <w:right w:w="120" w:type="dxa"/>
          </w:tblCellMar>
        </w:tblPrEx>
        <w:trPr>
          <w:jc w:val="center"/>
        </w:trPr>
        <w:tc>
          <w:tcPr>
            <w:tcW w:w="937" w:type="pct"/>
            <w:tcBorders>
              <w:top w:val="single" w:color="auto" w:sz="4" w:space="0"/>
              <w:left w:val="nil"/>
              <w:bottom w:val="nil"/>
              <w:right w:val="nil"/>
            </w:tcBorders>
            <w:tcMar>
              <w:top w:w="-1" w:type="dxa"/>
              <w:left w:w="-1" w:type="dxa"/>
              <w:bottom w:w="-1" w:type="dxa"/>
              <w:right w:w="-1" w:type="dxa"/>
            </w:tcMar>
            <w:vAlign w:val="center"/>
          </w:tcPr>
          <w:p w14:paraId="6F08A82B">
            <w:pPr>
              <w:snapToGrid w:val="0"/>
              <w:spacing w:line="360" w:lineRule="auto"/>
              <w:ind w:firstLine="0" w:firstLineChars="0"/>
              <w:jc w:val="center"/>
              <w:rPr>
                <w:bCs/>
                <w:sz w:val="21"/>
                <w:szCs w:val="21"/>
              </w:rPr>
            </w:pPr>
            <w:r>
              <w:rPr>
                <w:bCs/>
                <w:sz w:val="21"/>
                <w:szCs w:val="21"/>
              </w:rPr>
              <w:t>ResBlock1</w:t>
            </w:r>
          </w:p>
        </w:tc>
        <w:tc>
          <w:tcPr>
            <w:tcW w:w="915" w:type="pct"/>
            <w:tcBorders>
              <w:top w:val="single" w:color="auto" w:sz="4" w:space="0"/>
              <w:left w:val="nil"/>
              <w:bottom w:val="nil"/>
              <w:right w:val="nil"/>
            </w:tcBorders>
            <w:tcMar>
              <w:top w:w="-1" w:type="dxa"/>
              <w:left w:w="-1" w:type="dxa"/>
              <w:bottom w:w="-1" w:type="dxa"/>
              <w:right w:w="-1" w:type="dxa"/>
            </w:tcMar>
            <w:vAlign w:val="center"/>
          </w:tcPr>
          <w:p w14:paraId="3A287867">
            <w:pPr>
              <w:snapToGrid w:val="0"/>
              <w:spacing w:line="360" w:lineRule="auto"/>
              <w:ind w:firstLine="0" w:firstLineChars="0"/>
              <w:jc w:val="center"/>
              <w:rPr>
                <w:bCs/>
                <w:sz w:val="21"/>
                <w:szCs w:val="21"/>
              </w:rPr>
            </w:pPr>
            <w:r>
              <w:rPr>
                <w:bCs/>
                <w:sz w:val="21"/>
                <w:szCs w:val="21"/>
              </w:rPr>
              <w:t>140</w:t>
            </w:r>
          </w:p>
        </w:tc>
        <w:tc>
          <w:tcPr>
            <w:tcW w:w="915" w:type="pct"/>
            <w:tcBorders>
              <w:top w:val="single" w:color="auto" w:sz="4" w:space="0"/>
              <w:left w:val="nil"/>
              <w:bottom w:val="nil"/>
              <w:right w:val="nil"/>
            </w:tcBorders>
            <w:tcMar>
              <w:top w:w="-1" w:type="dxa"/>
              <w:left w:w="-1" w:type="dxa"/>
              <w:bottom w:w="-1" w:type="dxa"/>
              <w:right w:w="-1" w:type="dxa"/>
            </w:tcMar>
            <w:vAlign w:val="center"/>
          </w:tcPr>
          <w:p w14:paraId="3D9FC7C8">
            <w:pPr>
              <w:snapToGrid w:val="0"/>
              <w:spacing w:line="360" w:lineRule="auto"/>
              <w:ind w:firstLine="0" w:firstLineChars="0"/>
              <w:jc w:val="center"/>
              <w:rPr>
                <w:bCs/>
                <w:sz w:val="21"/>
                <w:szCs w:val="21"/>
              </w:rPr>
            </w:pPr>
            <w:r>
              <w:rPr>
                <w:bCs/>
                <w:sz w:val="21"/>
                <w:szCs w:val="21"/>
              </w:rPr>
              <w:t>64</w:t>
            </w:r>
          </w:p>
        </w:tc>
        <w:tc>
          <w:tcPr>
            <w:tcW w:w="731" w:type="pct"/>
            <w:tcBorders>
              <w:top w:val="single" w:color="auto" w:sz="4" w:space="0"/>
              <w:left w:val="nil"/>
              <w:bottom w:val="nil"/>
              <w:right w:val="nil"/>
            </w:tcBorders>
            <w:tcMar>
              <w:top w:w="-1" w:type="dxa"/>
              <w:left w:w="-1" w:type="dxa"/>
              <w:bottom w:w="-1" w:type="dxa"/>
              <w:right w:w="-1" w:type="dxa"/>
            </w:tcMar>
            <w:vAlign w:val="center"/>
          </w:tcPr>
          <w:p w14:paraId="35C01E9F">
            <w:pPr>
              <w:snapToGrid w:val="0"/>
              <w:spacing w:line="360" w:lineRule="auto"/>
              <w:ind w:firstLine="0" w:firstLineChars="0"/>
              <w:jc w:val="center"/>
              <w:rPr>
                <w:bCs/>
                <w:sz w:val="21"/>
                <w:szCs w:val="21"/>
              </w:rPr>
            </w:pPr>
            <w:r>
              <w:rPr>
                <w:bCs/>
                <w:sz w:val="21"/>
                <w:szCs w:val="21"/>
              </w:rPr>
              <w:t>3</w:t>
            </w:r>
          </w:p>
        </w:tc>
        <w:tc>
          <w:tcPr>
            <w:tcW w:w="952" w:type="pct"/>
            <w:tcBorders>
              <w:top w:val="single" w:color="auto" w:sz="4" w:space="0"/>
              <w:left w:val="nil"/>
              <w:bottom w:val="nil"/>
              <w:right w:val="nil"/>
            </w:tcBorders>
            <w:tcMar>
              <w:top w:w="-1" w:type="dxa"/>
              <w:left w:w="-1" w:type="dxa"/>
              <w:bottom w:w="-1" w:type="dxa"/>
              <w:right w:w="-1" w:type="dxa"/>
            </w:tcMar>
            <w:vAlign w:val="center"/>
          </w:tcPr>
          <w:p w14:paraId="266380DF">
            <w:pPr>
              <w:snapToGrid w:val="0"/>
              <w:spacing w:line="360" w:lineRule="auto"/>
              <w:ind w:firstLine="0" w:firstLineChars="0"/>
              <w:jc w:val="center"/>
              <w:rPr>
                <w:bCs/>
                <w:sz w:val="21"/>
                <w:szCs w:val="21"/>
              </w:rPr>
            </w:pPr>
            <w:r>
              <w:rPr>
                <w:bCs/>
                <w:sz w:val="21"/>
                <w:szCs w:val="21"/>
              </w:rPr>
              <w:t>16</w:t>
            </w:r>
          </w:p>
        </w:tc>
        <w:tc>
          <w:tcPr>
            <w:tcW w:w="548" w:type="pct"/>
            <w:tcBorders>
              <w:top w:val="single" w:color="auto" w:sz="4" w:space="0"/>
              <w:left w:val="nil"/>
              <w:bottom w:val="nil"/>
              <w:right w:val="nil"/>
            </w:tcBorders>
            <w:tcMar>
              <w:top w:w="-1" w:type="dxa"/>
              <w:left w:w="-1" w:type="dxa"/>
              <w:bottom w:w="-1" w:type="dxa"/>
              <w:right w:w="-1" w:type="dxa"/>
            </w:tcMar>
            <w:vAlign w:val="center"/>
          </w:tcPr>
          <w:p w14:paraId="5253ACF3">
            <w:pPr>
              <w:snapToGrid w:val="0"/>
              <w:spacing w:line="360" w:lineRule="auto"/>
              <w:ind w:firstLine="0" w:firstLineChars="0"/>
              <w:jc w:val="center"/>
              <w:rPr>
                <w:bCs/>
                <w:sz w:val="21"/>
                <w:szCs w:val="21"/>
              </w:rPr>
            </w:pPr>
            <w:r>
              <w:rPr>
                <w:bCs/>
                <w:sz w:val="21"/>
                <w:szCs w:val="21"/>
              </w:rPr>
              <w:t>1</w:t>
            </w:r>
          </w:p>
        </w:tc>
      </w:tr>
      <w:tr w14:paraId="6DA5ADE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80" w:type="dxa"/>
            <w:left w:w="120" w:type="dxa"/>
            <w:bottom w:w="80" w:type="dxa"/>
            <w:right w:w="120" w:type="dxa"/>
          </w:tblCellMar>
        </w:tblPrEx>
        <w:trPr>
          <w:jc w:val="center"/>
        </w:trPr>
        <w:tc>
          <w:tcPr>
            <w:tcW w:w="937" w:type="pct"/>
            <w:tcBorders>
              <w:top w:val="nil"/>
              <w:left w:val="nil"/>
              <w:bottom w:val="single" w:color="auto" w:sz="12" w:space="0"/>
              <w:right w:val="nil"/>
            </w:tcBorders>
            <w:tcMar>
              <w:top w:w="-1" w:type="dxa"/>
              <w:left w:w="-1" w:type="dxa"/>
              <w:bottom w:w="-1" w:type="dxa"/>
              <w:right w:w="-1" w:type="dxa"/>
            </w:tcMar>
            <w:vAlign w:val="center"/>
          </w:tcPr>
          <w:p w14:paraId="08D71AEC">
            <w:pPr>
              <w:snapToGrid w:val="0"/>
              <w:spacing w:line="360" w:lineRule="auto"/>
              <w:ind w:firstLine="0" w:firstLineChars="0"/>
              <w:jc w:val="center"/>
              <w:rPr>
                <w:bCs/>
                <w:sz w:val="21"/>
                <w:szCs w:val="21"/>
              </w:rPr>
            </w:pPr>
            <w:r>
              <w:rPr>
                <w:bCs/>
                <w:sz w:val="21"/>
                <w:szCs w:val="21"/>
              </w:rPr>
              <w:t>ResBlock2</w:t>
            </w:r>
          </w:p>
        </w:tc>
        <w:tc>
          <w:tcPr>
            <w:tcW w:w="915" w:type="pct"/>
            <w:tcBorders>
              <w:top w:val="nil"/>
              <w:left w:val="nil"/>
              <w:bottom w:val="single" w:color="auto" w:sz="12" w:space="0"/>
              <w:right w:val="nil"/>
            </w:tcBorders>
            <w:tcMar>
              <w:top w:w="-1" w:type="dxa"/>
              <w:left w:w="-1" w:type="dxa"/>
              <w:bottom w:w="-1" w:type="dxa"/>
              <w:right w:w="-1" w:type="dxa"/>
            </w:tcMar>
            <w:vAlign w:val="center"/>
          </w:tcPr>
          <w:p w14:paraId="3F307353">
            <w:pPr>
              <w:snapToGrid w:val="0"/>
              <w:spacing w:line="360" w:lineRule="auto"/>
              <w:ind w:firstLine="0" w:firstLineChars="0"/>
              <w:jc w:val="center"/>
              <w:rPr>
                <w:bCs/>
                <w:sz w:val="21"/>
                <w:szCs w:val="21"/>
              </w:rPr>
            </w:pPr>
            <w:r>
              <w:rPr>
                <w:bCs/>
                <w:sz w:val="21"/>
                <w:szCs w:val="21"/>
              </w:rPr>
              <w:t>64</w:t>
            </w:r>
          </w:p>
        </w:tc>
        <w:tc>
          <w:tcPr>
            <w:tcW w:w="915" w:type="pct"/>
            <w:tcBorders>
              <w:top w:val="nil"/>
              <w:left w:val="nil"/>
              <w:bottom w:val="single" w:color="auto" w:sz="12" w:space="0"/>
              <w:right w:val="nil"/>
            </w:tcBorders>
            <w:tcMar>
              <w:top w:w="-1" w:type="dxa"/>
              <w:left w:w="-1" w:type="dxa"/>
              <w:bottom w:w="-1" w:type="dxa"/>
              <w:right w:w="-1" w:type="dxa"/>
            </w:tcMar>
            <w:vAlign w:val="center"/>
          </w:tcPr>
          <w:p w14:paraId="40C51BB5">
            <w:pPr>
              <w:snapToGrid w:val="0"/>
              <w:spacing w:line="360" w:lineRule="auto"/>
              <w:ind w:firstLine="0" w:firstLineChars="0"/>
              <w:jc w:val="center"/>
              <w:rPr>
                <w:bCs/>
                <w:sz w:val="21"/>
                <w:szCs w:val="21"/>
              </w:rPr>
            </w:pPr>
            <w:r>
              <w:rPr>
                <w:bCs/>
                <w:sz w:val="21"/>
                <w:szCs w:val="21"/>
              </w:rPr>
              <w:t>128</w:t>
            </w:r>
          </w:p>
        </w:tc>
        <w:tc>
          <w:tcPr>
            <w:tcW w:w="731" w:type="pct"/>
            <w:tcBorders>
              <w:top w:val="nil"/>
              <w:left w:val="nil"/>
              <w:bottom w:val="single" w:color="auto" w:sz="12" w:space="0"/>
              <w:right w:val="nil"/>
            </w:tcBorders>
            <w:tcMar>
              <w:top w:w="-1" w:type="dxa"/>
              <w:left w:w="-1" w:type="dxa"/>
              <w:bottom w:w="-1" w:type="dxa"/>
              <w:right w:w="-1" w:type="dxa"/>
            </w:tcMar>
            <w:vAlign w:val="center"/>
          </w:tcPr>
          <w:p w14:paraId="64C4BF73">
            <w:pPr>
              <w:snapToGrid w:val="0"/>
              <w:spacing w:line="360" w:lineRule="auto"/>
              <w:ind w:firstLine="0" w:firstLineChars="0"/>
              <w:jc w:val="center"/>
              <w:rPr>
                <w:bCs/>
                <w:sz w:val="21"/>
                <w:szCs w:val="21"/>
              </w:rPr>
            </w:pPr>
            <w:r>
              <w:rPr>
                <w:bCs/>
                <w:sz w:val="21"/>
                <w:szCs w:val="21"/>
              </w:rPr>
              <w:t>3</w:t>
            </w:r>
          </w:p>
        </w:tc>
        <w:tc>
          <w:tcPr>
            <w:tcW w:w="952" w:type="pct"/>
            <w:tcBorders>
              <w:top w:val="nil"/>
              <w:left w:val="nil"/>
              <w:bottom w:val="single" w:color="auto" w:sz="12" w:space="0"/>
              <w:right w:val="nil"/>
            </w:tcBorders>
            <w:tcMar>
              <w:top w:w="-1" w:type="dxa"/>
              <w:left w:w="-1" w:type="dxa"/>
              <w:bottom w:w="-1" w:type="dxa"/>
              <w:right w:w="-1" w:type="dxa"/>
            </w:tcMar>
            <w:vAlign w:val="center"/>
          </w:tcPr>
          <w:p w14:paraId="6AF190AB">
            <w:pPr>
              <w:snapToGrid w:val="0"/>
              <w:spacing w:line="360" w:lineRule="auto"/>
              <w:ind w:firstLine="0" w:firstLineChars="0"/>
              <w:jc w:val="center"/>
              <w:rPr>
                <w:bCs/>
                <w:sz w:val="21"/>
                <w:szCs w:val="21"/>
              </w:rPr>
            </w:pPr>
            <w:r>
              <w:rPr>
                <w:bCs/>
                <w:sz w:val="21"/>
                <w:szCs w:val="21"/>
              </w:rPr>
              <w:t>16</w:t>
            </w:r>
          </w:p>
        </w:tc>
        <w:tc>
          <w:tcPr>
            <w:tcW w:w="548" w:type="pct"/>
            <w:tcBorders>
              <w:top w:val="nil"/>
              <w:left w:val="nil"/>
              <w:bottom w:val="single" w:color="auto" w:sz="12" w:space="0"/>
              <w:right w:val="nil"/>
            </w:tcBorders>
            <w:tcMar>
              <w:top w:w="-1" w:type="dxa"/>
              <w:left w:w="-1" w:type="dxa"/>
              <w:bottom w:w="-1" w:type="dxa"/>
              <w:right w:w="-1" w:type="dxa"/>
            </w:tcMar>
            <w:vAlign w:val="center"/>
          </w:tcPr>
          <w:p w14:paraId="5047CD8E">
            <w:pPr>
              <w:snapToGrid w:val="0"/>
              <w:spacing w:line="360" w:lineRule="auto"/>
              <w:ind w:firstLine="0" w:firstLineChars="0"/>
              <w:jc w:val="center"/>
              <w:rPr>
                <w:bCs/>
                <w:sz w:val="21"/>
                <w:szCs w:val="21"/>
              </w:rPr>
            </w:pPr>
            <w:r>
              <w:rPr>
                <w:bCs/>
                <w:sz w:val="21"/>
                <w:szCs w:val="21"/>
              </w:rPr>
              <w:t>1</w:t>
            </w:r>
          </w:p>
        </w:tc>
      </w:tr>
    </w:tbl>
    <w:p w14:paraId="080D77A6">
      <w:pPr>
        <w:ind w:firstLine="480"/>
        <w:rPr>
          <w:highlight w:val="none"/>
        </w:rPr>
      </w:pPr>
      <w:r>
        <w:rPr>
          <w:rFonts w:hint="eastAsia"/>
          <w:highlight w:val="none"/>
        </w:rPr>
        <w:t>每个残差块由两层3×1卷积、批归一化和ReLU串起来，残差连接把输入直接加到输出上，梯度消失的问题被大大缓解了。输入输出维度对不上的时候，用1×1卷积做投影对齐</w:t>
      </w:r>
      <w:r>
        <w:rPr>
          <w:highlight w:val="none"/>
        </w:rPr>
        <w:t>。</w:t>
      </w:r>
    </w:p>
    <w:p w14:paraId="07B3D12F">
      <w:pPr>
        <w:pStyle w:val="4"/>
        <w:spacing w:before="120" w:after="120"/>
      </w:pPr>
      <w:bookmarkStart w:id="69" w:name="_Toc31874"/>
      <w:bookmarkStart w:id="70" w:name="_Toc27364"/>
      <w:r>
        <w:t>3.3.2 SE注意力机制的嵌入与多工况通道特征校准实现</w:t>
      </w:r>
      <w:bookmarkEnd w:id="69"/>
      <w:bookmarkEnd w:id="70"/>
    </w:p>
    <w:p w14:paraId="42541484">
      <w:pPr>
        <w:ind w:firstLine="480"/>
        <w:rPr>
          <w:rFonts w:hint="eastAsia"/>
        </w:rPr>
      </w:pPr>
      <w:r>
        <w:t>SE（Squeeze-and-Excitation）模块</w:t>
      </w:r>
      <w:r>
        <w:rPr>
          <w:rFonts w:hint="eastAsia"/>
        </w:rPr>
        <w:t>的计算很简洁，两步走。先挤压：每个通道全局平均池化，把C×L的特征图压成一个C维向量z。再激励：</w:t>
      </w:r>
      <w:r>
        <w:rPr>
          <w:rFonts w:hint="eastAsia"/>
          <w:lang w:eastAsia="zh-CN"/>
        </w:rPr>
        <w:t>使</w:t>
      </w:r>
      <w:r>
        <w:rPr>
          <w:rFonts w:hint="eastAsia"/>
        </w:rPr>
        <w:t>z过两层全连接组成的瓶颈结构（降维比16），学出一个通道权重向量</w:t>
      </w:r>
      <w:r>
        <w:rPr>
          <w:position w:val="-8"/>
        </w:rPr>
        <w:object>
          <v:shape id="_x0000_i1044" o:spt="75" type="#_x0000_t75" style="height:16pt;width:78.95pt;" o:ole="t" filled="f" o:preferrelative="t" stroked="f" coordsize="21600,21600">
            <v:path/>
            <v:fill on="f" focussize="0,0"/>
            <v:stroke on="f" joinstyle="miter"/>
            <v:imagedata r:id="rId65" o:title=""/>
            <o:lock v:ext="edit" aspectratio="t"/>
            <w10:wrap type="none"/>
            <w10:anchorlock/>
          </v:shape>
          <o:OLEObject Type="Embed" ProgID="Equation.DSMT4" ShapeID="_x0000_i1044" DrawAspect="Content" ObjectID="_1468075744" r:id="rId64">
            <o:LockedField>false</o:LockedField>
          </o:OLEObject>
        </w:object>
      </w:r>
      <w:r>
        <w:t>，式中</w:t>
      </w:r>
      <w:r>
        <w:rPr>
          <w:position w:val="-6"/>
        </w:rPr>
        <w:object>
          <v:shape id="_x0000_i1045" o:spt="75" type="#_x0000_t75" style="height:13.95pt;width:11pt;" o:ole="t" filled="f" o:preferrelative="t" stroked="f" coordsize="21600,21600">
            <v:path/>
            <v:fill on="f" focussize="0,0"/>
            <v:stroke on="f" joinstyle="miter"/>
            <v:imagedata r:id="rId67" o:title=""/>
            <o:lock v:ext="edit" aspectratio="t"/>
            <w10:wrap type="none"/>
            <w10:anchorlock/>
          </v:shape>
          <o:OLEObject Type="Embed" ProgID="Equation.DSMT4" ShapeID="_x0000_i1045" DrawAspect="Content" ObjectID="_1468075745" r:id="rId66">
            <o:LockedField>false</o:LockedField>
          </o:OLEObject>
        </w:object>
      </w:r>
      <w:r>
        <w:t>为</w:t>
      </w:r>
      <w:r>
        <w:rPr>
          <w:position w:val="-6"/>
        </w:rPr>
        <w:object>
          <v:shape id="_x0000_i1046" o:spt="75" type="#_x0000_t75" style="height:13.95pt;width:34pt;" o:ole="t" filled="f" o:preferrelative="t" stroked="f" coordsize="21600,21600">
            <v:path/>
            <v:fill on="f" focussize="0,0"/>
            <v:stroke on="f" joinstyle="miter"/>
            <v:imagedata r:id="rId69" o:title=""/>
            <o:lock v:ext="edit" aspectratio="t"/>
            <w10:wrap type="none"/>
            <w10:anchorlock/>
          </v:shape>
          <o:OLEObject Type="Embed" ProgID="Equation.DSMT4" ShapeID="_x0000_i1046" DrawAspect="Content" ObjectID="_1468075746" r:id="rId68">
            <o:LockedField>false</o:LockedField>
          </o:OLEObject>
        </w:object>
      </w:r>
      <w:r>
        <w:t>，</w:t>
      </w:r>
      <w:r>
        <w:rPr>
          <w:position w:val="-6"/>
        </w:rPr>
        <w:object>
          <v:shape id="_x0000_i1047" o:spt="75" type="#_x0000_t75" style="height:11pt;width:12pt;" o:ole="t" filled="f" o:preferrelative="t" stroked="f" coordsize="21600,21600">
            <v:path/>
            <v:fill on="f" focussize="0,0"/>
            <v:stroke on="f" joinstyle="miter"/>
            <v:imagedata r:id="rId71" o:title=""/>
            <o:lock v:ext="edit" aspectratio="t"/>
            <w10:wrap type="none"/>
            <w10:anchorlock/>
          </v:shape>
          <o:OLEObject Type="Embed" ProgID="Equation.DSMT4" ShapeID="_x0000_i1047" DrawAspect="Content" ObjectID="_1468075747" r:id="rId70">
            <o:LockedField>false</o:LockedField>
          </o:OLEObject>
        </w:object>
      </w:r>
      <w:r>
        <w:t>为</w:t>
      </w:r>
      <w:r>
        <w:rPr>
          <w:position w:val="-10"/>
        </w:rPr>
        <w:object>
          <v:shape id="_x0000_i1048" o:spt="75" type="#_x0000_t75" style="height:16pt;width:45pt;" o:ole="t" filled="f" o:preferrelative="t" stroked="f" coordsize="21600,21600">
            <v:path/>
            <v:fill on="f" focussize="0,0"/>
            <v:stroke on="f" joinstyle="miter"/>
            <v:imagedata r:id="rId73" o:title=""/>
            <o:lock v:ext="edit" aspectratio="t"/>
            <w10:wrap type="none"/>
            <w10:anchorlock/>
          </v:shape>
          <o:OLEObject Type="Embed" ProgID="Equation.DSMT4" ShapeID="_x0000_i1048" DrawAspect="Content" ObjectID="_1468075748" r:id="rId72">
            <o:LockedField>false</o:LockedField>
          </o:OLEObject>
        </w:object>
      </w:r>
      <w:r>
        <w:t>。</w:t>
      </w:r>
      <w:r>
        <w:rPr>
          <w:rFonts w:hint="eastAsia"/>
        </w:rPr>
        <w:t>最后拿这个权重逐通道乘回原始特征图</w:t>
      </w:r>
      <w:r>
        <w:rPr>
          <w:rFonts w:hint="eastAsia"/>
          <w:lang w:eastAsia="zh-CN"/>
        </w:rPr>
        <w:t>，</w:t>
      </w:r>
      <w:r>
        <w:t>即</w:t>
      </w:r>
      <w:r>
        <w:rPr>
          <w:position w:val="-6"/>
        </w:rPr>
        <w:object>
          <v:shape id="_x0000_i1049" o:spt="75" type="#_x0000_t75" style="height:13.95pt;width:49pt;" o:ole="t" filled="f" o:preferrelative="t" stroked="f" coordsize="21600,21600">
            <v:path/>
            <v:fill on="f" focussize="0,0"/>
            <v:stroke on="f" joinstyle="miter"/>
            <v:imagedata r:id="rId75" o:title=""/>
            <o:lock v:ext="edit" aspectratio="t"/>
            <w10:wrap type="none"/>
            <w10:anchorlock/>
          </v:shape>
          <o:OLEObject Type="Embed" ProgID="Equation.DSMT4" ShapeID="_x0000_i1049" DrawAspect="Content" ObjectID="_1468075749" r:id="rId74">
            <o:LockedField>false</o:LockedField>
          </o:OLEObject>
        </w:object>
      </w:r>
      <w:r>
        <w:rPr>
          <w:rFonts w:hint="eastAsia"/>
        </w:rPr>
        <w:t>，完成自适应重标定。</w:t>
      </w:r>
    </w:p>
    <w:p w14:paraId="19B0CC69">
      <w:pPr>
        <w:ind w:firstLine="480"/>
      </w:pPr>
      <w:r>
        <w:rPr>
          <w:rFonts w:hint="eastAsia"/>
        </w:rPr>
        <w:t>在多工况场景下，这套机制的价值在于——不同工况的振动信号，退化敏感频带的分布本来就不一样，SE模块能根据当前输入的统计特性，自动把跟当前工况退化最相关的通道放大、把噪声和不相关通道压下去，做到工况自适应的特征校准</w:t>
      </w:r>
      <w:r>
        <w:rPr>
          <w:vertAlign w:val="superscript"/>
        </w:rPr>
        <w:fldChar w:fldCharType="begin"/>
      </w:r>
      <w:r>
        <w:instrText xml:space="preserve"> REF _Ref5411 \r \h  \* MERGEFORMAT</w:instrText>
      </w:r>
      <w:r>
        <w:rPr>
          <w:vertAlign w:val="superscript"/>
        </w:rPr>
        <w:fldChar w:fldCharType="separate"/>
      </w:r>
      <w:r>
        <w:rPr>
          <w:vertAlign w:val="superscript"/>
        </w:rPr>
        <w:t>[17]</w:t>
      </w:r>
      <w:r>
        <w:rPr>
          <w:vertAlign w:val="superscript"/>
        </w:rPr>
        <w:fldChar w:fldCharType="end"/>
      </w:r>
      <w:r>
        <w:rPr>
          <w:vertAlign w:val="superscript"/>
        </w:rPr>
        <w:fldChar w:fldCharType="begin"/>
      </w:r>
      <w:r>
        <w:instrText xml:space="preserve"> REF _Ref15155 \r \h  \* MERGEFORMAT</w:instrText>
      </w:r>
      <w:r>
        <w:rPr>
          <w:vertAlign w:val="superscript"/>
        </w:rPr>
        <w:fldChar w:fldCharType="separate"/>
      </w:r>
      <w:r>
        <w:rPr>
          <w:vertAlign w:val="superscript"/>
        </w:rPr>
        <w:t>[50]</w:t>
      </w:r>
      <w:r>
        <w:rPr>
          <w:vertAlign w:val="superscript"/>
        </w:rPr>
        <w:fldChar w:fldCharType="end"/>
      </w:r>
      <w:r>
        <w:t>。</w:t>
      </w:r>
    </w:p>
    <w:p w14:paraId="2E9E8BFF">
      <w:pPr>
        <w:pStyle w:val="4"/>
        <w:spacing w:before="120" w:after="120"/>
      </w:pPr>
      <w:bookmarkStart w:id="71" w:name="_Toc19557"/>
      <w:bookmarkStart w:id="72" w:name="_Toc9593"/>
      <w:r>
        <w:t>3.3.3 深度退化特征的提取与输出</w:t>
      </w:r>
      <w:bookmarkEnd w:id="71"/>
      <w:bookmarkEnd w:id="72"/>
    </w:p>
    <w:p w14:paraId="136D83CA">
      <w:pPr>
        <w:ind w:firstLine="480"/>
      </w:pPr>
      <w:r>
        <w:t>输入序列</w:t>
      </w:r>
      <w:r>
        <w:rPr>
          <w:position w:val="-4"/>
        </w:rPr>
        <w:object>
          <v:shape id="_x0000_i1050" o:spt="75" type="#_x0000_t75" style="height:15pt;width:63pt;" o:ole="t" filled="f" o:preferrelative="t" stroked="f" coordsize="21600,21600">
            <v:path/>
            <v:fill on="f" focussize="0,0"/>
            <v:stroke on="f" joinstyle="miter"/>
            <v:imagedata r:id="rId77" o:title=""/>
            <o:lock v:ext="edit" aspectratio="t"/>
            <w10:wrap type="none"/>
            <w10:anchorlock/>
          </v:shape>
          <o:OLEObject Type="Embed" ProgID="Equation.DSMT4" ShapeID="_x0000_i1050" DrawAspect="Content" ObjectID="_1468075750" r:id="rId76">
            <o:LockedField>false</o:LockedField>
          </o:OLEObject>
        </w:object>
      </w:r>
      <w:r>
        <w:rPr>
          <w:rFonts w:hint="eastAsia"/>
        </w:rPr>
        <w:t>先做维度转置，从(B,32,140)变成(B,140,32)，适配Conv1d的输入格式。依次过ResBlock1和ResBlock2之后，输出特征图形状是(B,128,32)。为了跟后面的BiGRU接上，再转回(B,32,128)。另外，为了算跨工况的域适应损失，SE-ResNet单独开了个get_features方法，把ResBlock2的输出展平成(B,4096)的深度特征向量，专门供MK-MMD用。</w:t>
      </w:r>
    </w:p>
    <w:p w14:paraId="6B65A12A">
      <w:pPr>
        <w:pStyle w:val="3"/>
        <w:spacing w:before="120" w:after="120"/>
      </w:pPr>
      <w:bookmarkStart w:id="73" w:name="_Toc1050"/>
      <w:bookmarkStart w:id="74" w:name="_Toc16459"/>
      <w:r>
        <w:t>3.4 基于BiGRU的多工况时序退化建模模块</w:t>
      </w:r>
      <w:bookmarkEnd w:id="73"/>
      <w:bookmarkEnd w:id="74"/>
    </w:p>
    <w:p w14:paraId="34E4BEB8">
      <w:pPr>
        <w:pStyle w:val="4"/>
        <w:spacing w:before="120" w:after="120"/>
      </w:pPr>
      <w:bookmarkStart w:id="75" w:name="_Toc13145"/>
      <w:bookmarkStart w:id="76" w:name="_Toc18312"/>
      <w:r>
        <w:t>3.4.1 适配深度特征的BiGRU网络参数配置</w:t>
      </w:r>
      <w:bookmarkEnd w:id="75"/>
      <w:bookmarkEnd w:id="76"/>
    </w:p>
    <w:p w14:paraId="4675796D">
      <w:pPr>
        <w:ind w:firstLine="480"/>
      </w:pPr>
      <w:r>
        <w:rPr>
          <w:rFonts w:hint="eastAsia"/>
        </w:rPr>
        <w:t>GRU靠重置门和更新门来控制历史信息的保留和遗忘，长时记忆能力不输LSTM，但结构更精简</w:t>
      </w:r>
      <w:r>
        <w:rPr>
          <w:vertAlign w:val="superscript"/>
        </w:rPr>
        <w:fldChar w:fldCharType="begin"/>
      </w:r>
      <w:r>
        <w:instrText xml:space="preserve"> REF _Ref6289 \r \h  \* MERGEFORMAT</w:instrText>
      </w:r>
      <w:r>
        <w:rPr>
          <w:vertAlign w:val="superscript"/>
        </w:rPr>
        <w:fldChar w:fldCharType="separate"/>
      </w:r>
      <w:r>
        <w:rPr>
          <w:vertAlign w:val="superscript"/>
        </w:rPr>
        <w:t>[37]</w:t>
      </w:r>
      <w:r>
        <w:rPr>
          <w:vertAlign w:val="superscript"/>
        </w:rPr>
        <w:fldChar w:fldCharType="end"/>
      </w:r>
      <w:r>
        <w:t>。</w:t>
      </w:r>
      <w:r>
        <w:rPr>
          <w:rFonts w:hint="eastAsia"/>
        </w:rPr>
        <w:t>BiGRU在GRU基础上加了反向层，</w:t>
      </w:r>
      <w:r>
        <w:rPr>
          <w:rFonts w:hint="eastAsia"/>
          <w:lang w:eastAsia="zh-CN"/>
        </w:rPr>
        <w:t>使</w:t>
      </w:r>
      <w:r>
        <w:rPr>
          <w:rFonts w:hint="eastAsia"/>
        </w:rPr>
        <w:t>当前时刻的输出能同时看到过去和未来两个方向的信息。BiGRU模块的参数配置见表3-2。</w:t>
      </w:r>
    </w:p>
    <w:p w14:paraId="23C0299C">
      <w:pPr>
        <w:pStyle w:val="8"/>
        <w:rPr>
          <w:rFonts w:ascii="Times New Roman" w:hAnsi="Times New Roman"/>
        </w:rPr>
      </w:pPr>
      <w:r>
        <w:rPr>
          <w:rFonts w:ascii="Times New Roman" w:hAnsi="Times New Roman"/>
        </w:rPr>
        <w:t>图3-2  BiGRU时序建模模块参数</w:t>
      </w:r>
    </w:p>
    <w:tbl>
      <w:tblPr>
        <w:tblStyle w:val="21"/>
        <w:tblW w:w="8528"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80" w:type="dxa"/>
          <w:left w:w="120" w:type="dxa"/>
          <w:bottom w:w="80" w:type="dxa"/>
          <w:right w:w="120" w:type="dxa"/>
        </w:tblCellMar>
      </w:tblPr>
      <w:tblGrid>
        <w:gridCol w:w="3364"/>
        <w:gridCol w:w="5164"/>
      </w:tblGrid>
      <w:tr w14:paraId="51470FC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80" w:type="dxa"/>
            <w:left w:w="120" w:type="dxa"/>
            <w:bottom w:w="80" w:type="dxa"/>
            <w:right w:w="120" w:type="dxa"/>
          </w:tblCellMar>
        </w:tblPrEx>
        <w:trPr>
          <w:tblHeader/>
          <w:jc w:val="center"/>
        </w:trPr>
        <w:tc>
          <w:tcPr>
            <w:tcW w:w="3364" w:type="dxa"/>
            <w:tcBorders>
              <w:top w:val="single" w:color="auto" w:sz="12" w:space="0"/>
              <w:left w:val="nil"/>
              <w:bottom w:val="nil"/>
              <w:right w:val="nil"/>
            </w:tcBorders>
            <w:tcMar>
              <w:top w:w="-1" w:type="dxa"/>
              <w:left w:w="-1" w:type="dxa"/>
              <w:bottom w:w="-1" w:type="dxa"/>
              <w:right w:w="-1" w:type="dxa"/>
            </w:tcMar>
            <w:vAlign w:val="center"/>
          </w:tcPr>
          <w:p w14:paraId="1E090570">
            <w:pPr>
              <w:snapToGrid w:val="0"/>
              <w:spacing w:line="360" w:lineRule="auto"/>
              <w:ind w:firstLine="0" w:firstLineChars="0"/>
              <w:jc w:val="center"/>
              <w:rPr>
                <w:sz w:val="21"/>
                <w:szCs w:val="21"/>
              </w:rPr>
            </w:pPr>
            <w:r>
              <w:rPr>
                <w:sz w:val="21"/>
                <w:szCs w:val="21"/>
              </w:rPr>
              <w:t>参数名称</w:t>
            </w:r>
          </w:p>
        </w:tc>
        <w:tc>
          <w:tcPr>
            <w:tcW w:w="5164" w:type="dxa"/>
            <w:tcBorders>
              <w:top w:val="single" w:color="auto" w:sz="12" w:space="0"/>
              <w:left w:val="nil"/>
              <w:bottom w:val="nil"/>
              <w:right w:val="nil"/>
            </w:tcBorders>
            <w:tcMar>
              <w:top w:w="-1" w:type="dxa"/>
              <w:left w:w="-1" w:type="dxa"/>
              <w:bottom w:w="-1" w:type="dxa"/>
              <w:right w:w="-1" w:type="dxa"/>
            </w:tcMar>
            <w:vAlign w:val="center"/>
          </w:tcPr>
          <w:p w14:paraId="5B226344">
            <w:pPr>
              <w:snapToGrid w:val="0"/>
              <w:spacing w:line="360" w:lineRule="auto"/>
              <w:ind w:firstLine="0" w:firstLineChars="0"/>
              <w:jc w:val="center"/>
              <w:rPr>
                <w:sz w:val="21"/>
                <w:szCs w:val="21"/>
              </w:rPr>
            </w:pPr>
            <w:r>
              <w:rPr>
                <w:sz w:val="21"/>
                <w:szCs w:val="21"/>
              </w:rPr>
              <w:t>取值/设置</w:t>
            </w:r>
          </w:p>
        </w:tc>
      </w:tr>
      <w:tr w14:paraId="21F961D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80" w:type="dxa"/>
            <w:left w:w="120" w:type="dxa"/>
            <w:bottom w:w="80" w:type="dxa"/>
            <w:right w:w="120" w:type="dxa"/>
          </w:tblCellMar>
        </w:tblPrEx>
        <w:trPr>
          <w:jc w:val="center"/>
        </w:trPr>
        <w:tc>
          <w:tcPr>
            <w:tcW w:w="3364" w:type="dxa"/>
            <w:tcBorders>
              <w:top w:val="single" w:color="auto" w:sz="4" w:space="0"/>
              <w:left w:val="nil"/>
              <w:bottom w:val="nil"/>
              <w:right w:val="nil"/>
            </w:tcBorders>
            <w:tcMar>
              <w:top w:w="-1" w:type="dxa"/>
              <w:left w:w="-1" w:type="dxa"/>
              <w:bottom w:w="-1" w:type="dxa"/>
              <w:right w:w="-1" w:type="dxa"/>
            </w:tcMar>
            <w:vAlign w:val="center"/>
          </w:tcPr>
          <w:p w14:paraId="2E352A99">
            <w:pPr>
              <w:snapToGrid w:val="0"/>
              <w:spacing w:line="360" w:lineRule="auto"/>
              <w:ind w:firstLine="0" w:firstLineChars="0"/>
              <w:jc w:val="center"/>
              <w:rPr>
                <w:sz w:val="21"/>
                <w:szCs w:val="21"/>
              </w:rPr>
            </w:pPr>
            <w:r>
              <w:rPr>
                <w:sz w:val="21"/>
                <w:szCs w:val="21"/>
              </w:rPr>
              <w:t>输入特征维度</w:t>
            </w:r>
          </w:p>
        </w:tc>
        <w:tc>
          <w:tcPr>
            <w:tcW w:w="5164" w:type="dxa"/>
            <w:tcBorders>
              <w:top w:val="single" w:color="auto" w:sz="4" w:space="0"/>
              <w:left w:val="nil"/>
              <w:bottom w:val="nil"/>
              <w:right w:val="nil"/>
            </w:tcBorders>
            <w:tcMar>
              <w:top w:w="-1" w:type="dxa"/>
              <w:left w:w="-1" w:type="dxa"/>
              <w:bottom w:w="-1" w:type="dxa"/>
              <w:right w:w="-1" w:type="dxa"/>
            </w:tcMar>
            <w:vAlign w:val="center"/>
          </w:tcPr>
          <w:p w14:paraId="48AFF93D">
            <w:pPr>
              <w:snapToGrid w:val="0"/>
              <w:spacing w:line="360" w:lineRule="auto"/>
              <w:ind w:firstLine="0" w:firstLineChars="0"/>
              <w:jc w:val="center"/>
              <w:rPr>
                <w:sz w:val="21"/>
                <w:szCs w:val="21"/>
              </w:rPr>
            </w:pPr>
            <w:r>
              <w:rPr>
                <w:sz w:val="21"/>
                <w:szCs w:val="21"/>
              </w:rPr>
              <w:t>128</w:t>
            </w:r>
          </w:p>
        </w:tc>
      </w:tr>
      <w:tr w14:paraId="37A0BC2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80" w:type="dxa"/>
            <w:left w:w="120" w:type="dxa"/>
            <w:bottom w:w="80" w:type="dxa"/>
            <w:right w:w="120" w:type="dxa"/>
          </w:tblCellMar>
        </w:tblPrEx>
        <w:trPr>
          <w:jc w:val="center"/>
        </w:trPr>
        <w:tc>
          <w:tcPr>
            <w:tcW w:w="3364" w:type="dxa"/>
            <w:tcBorders>
              <w:top w:val="nil"/>
              <w:left w:val="nil"/>
              <w:bottom w:val="nil"/>
              <w:right w:val="nil"/>
            </w:tcBorders>
            <w:tcMar>
              <w:top w:w="-1" w:type="dxa"/>
              <w:left w:w="-1" w:type="dxa"/>
              <w:bottom w:w="-1" w:type="dxa"/>
              <w:right w:w="-1" w:type="dxa"/>
            </w:tcMar>
            <w:vAlign w:val="center"/>
          </w:tcPr>
          <w:p w14:paraId="772B5649">
            <w:pPr>
              <w:snapToGrid w:val="0"/>
              <w:spacing w:line="360" w:lineRule="auto"/>
              <w:ind w:firstLine="0" w:firstLineChars="0"/>
              <w:jc w:val="center"/>
              <w:rPr>
                <w:sz w:val="21"/>
                <w:szCs w:val="21"/>
              </w:rPr>
            </w:pPr>
            <w:r>
              <w:rPr>
                <w:sz w:val="21"/>
                <w:szCs w:val="21"/>
              </w:rPr>
              <w:t>隐藏层维度</w:t>
            </w:r>
          </w:p>
        </w:tc>
        <w:tc>
          <w:tcPr>
            <w:tcW w:w="5164" w:type="dxa"/>
            <w:tcBorders>
              <w:top w:val="nil"/>
              <w:left w:val="nil"/>
              <w:bottom w:val="nil"/>
              <w:right w:val="nil"/>
            </w:tcBorders>
            <w:tcMar>
              <w:top w:w="-1" w:type="dxa"/>
              <w:left w:w="-1" w:type="dxa"/>
              <w:bottom w:w="-1" w:type="dxa"/>
              <w:right w:w="-1" w:type="dxa"/>
            </w:tcMar>
            <w:vAlign w:val="center"/>
          </w:tcPr>
          <w:p w14:paraId="549A1EE9">
            <w:pPr>
              <w:snapToGrid w:val="0"/>
              <w:spacing w:line="360" w:lineRule="auto"/>
              <w:ind w:firstLine="0" w:firstLineChars="0"/>
              <w:jc w:val="center"/>
              <w:rPr>
                <w:sz w:val="21"/>
                <w:szCs w:val="21"/>
              </w:rPr>
            </w:pPr>
            <w:r>
              <w:rPr>
                <w:sz w:val="21"/>
                <w:szCs w:val="21"/>
              </w:rPr>
              <w:t>64</w:t>
            </w:r>
          </w:p>
        </w:tc>
      </w:tr>
      <w:tr w14:paraId="500F5FE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80" w:type="dxa"/>
            <w:left w:w="120" w:type="dxa"/>
            <w:bottom w:w="80" w:type="dxa"/>
            <w:right w:w="120" w:type="dxa"/>
          </w:tblCellMar>
        </w:tblPrEx>
        <w:trPr>
          <w:jc w:val="center"/>
        </w:trPr>
        <w:tc>
          <w:tcPr>
            <w:tcW w:w="3364" w:type="dxa"/>
            <w:tcBorders>
              <w:top w:val="nil"/>
              <w:left w:val="nil"/>
              <w:bottom w:val="nil"/>
              <w:right w:val="nil"/>
            </w:tcBorders>
            <w:tcMar>
              <w:top w:w="-1" w:type="dxa"/>
              <w:left w:w="-1" w:type="dxa"/>
              <w:bottom w:w="-1" w:type="dxa"/>
              <w:right w:w="-1" w:type="dxa"/>
            </w:tcMar>
            <w:vAlign w:val="center"/>
          </w:tcPr>
          <w:p w14:paraId="2C5F8A33">
            <w:pPr>
              <w:snapToGrid w:val="0"/>
              <w:spacing w:line="360" w:lineRule="auto"/>
              <w:ind w:firstLine="0" w:firstLineChars="0"/>
              <w:jc w:val="center"/>
              <w:rPr>
                <w:sz w:val="21"/>
                <w:szCs w:val="21"/>
              </w:rPr>
            </w:pPr>
            <w:r>
              <w:rPr>
                <w:sz w:val="21"/>
                <w:szCs w:val="21"/>
              </w:rPr>
              <w:t>GRU层数</w:t>
            </w:r>
          </w:p>
        </w:tc>
        <w:tc>
          <w:tcPr>
            <w:tcW w:w="5164" w:type="dxa"/>
            <w:tcBorders>
              <w:top w:val="nil"/>
              <w:left w:val="nil"/>
              <w:bottom w:val="nil"/>
              <w:right w:val="nil"/>
            </w:tcBorders>
            <w:tcMar>
              <w:top w:w="-1" w:type="dxa"/>
              <w:left w:w="-1" w:type="dxa"/>
              <w:bottom w:w="-1" w:type="dxa"/>
              <w:right w:w="-1" w:type="dxa"/>
            </w:tcMar>
            <w:vAlign w:val="center"/>
          </w:tcPr>
          <w:p w14:paraId="6845926D">
            <w:pPr>
              <w:snapToGrid w:val="0"/>
              <w:spacing w:line="360" w:lineRule="auto"/>
              <w:ind w:firstLine="0" w:firstLineChars="0"/>
              <w:jc w:val="center"/>
              <w:rPr>
                <w:sz w:val="21"/>
                <w:szCs w:val="21"/>
              </w:rPr>
            </w:pPr>
            <w:r>
              <w:rPr>
                <w:sz w:val="21"/>
                <w:szCs w:val="21"/>
              </w:rPr>
              <w:t>2</w:t>
            </w:r>
          </w:p>
        </w:tc>
      </w:tr>
      <w:tr w14:paraId="7E9592F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80" w:type="dxa"/>
            <w:left w:w="120" w:type="dxa"/>
            <w:bottom w:w="80" w:type="dxa"/>
            <w:right w:w="120" w:type="dxa"/>
          </w:tblCellMar>
        </w:tblPrEx>
        <w:trPr>
          <w:jc w:val="center"/>
        </w:trPr>
        <w:tc>
          <w:tcPr>
            <w:tcW w:w="3364" w:type="dxa"/>
            <w:tcBorders>
              <w:top w:val="nil"/>
              <w:left w:val="nil"/>
              <w:bottom w:val="nil"/>
              <w:right w:val="nil"/>
            </w:tcBorders>
            <w:tcMar>
              <w:top w:w="-1" w:type="dxa"/>
              <w:left w:w="-1" w:type="dxa"/>
              <w:bottom w:w="-1" w:type="dxa"/>
              <w:right w:w="-1" w:type="dxa"/>
            </w:tcMar>
            <w:vAlign w:val="center"/>
          </w:tcPr>
          <w:p w14:paraId="78DDED03">
            <w:pPr>
              <w:snapToGrid w:val="0"/>
              <w:spacing w:line="360" w:lineRule="auto"/>
              <w:ind w:firstLine="0" w:firstLineChars="0"/>
              <w:jc w:val="center"/>
              <w:rPr>
                <w:sz w:val="21"/>
                <w:szCs w:val="21"/>
              </w:rPr>
            </w:pPr>
            <w:r>
              <w:rPr>
                <w:sz w:val="21"/>
                <w:szCs w:val="21"/>
              </w:rPr>
              <w:t>双向</w:t>
            </w:r>
          </w:p>
        </w:tc>
        <w:tc>
          <w:tcPr>
            <w:tcW w:w="5164" w:type="dxa"/>
            <w:tcBorders>
              <w:top w:val="nil"/>
              <w:left w:val="nil"/>
              <w:bottom w:val="nil"/>
              <w:right w:val="nil"/>
            </w:tcBorders>
            <w:tcMar>
              <w:top w:w="-1" w:type="dxa"/>
              <w:left w:w="-1" w:type="dxa"/>
              <w:bottom w:w="-1" w:type="dxa"/>
              <w:right w:w="-1" w:type="dxa"/>
            </w:tcMar>
            <w:vAlign w:val="center"/>
          </w:tcPr>
          <w:p w14:paraId="74DA87B8">
            <w:pPr>
              <w:snapToGrid w:val="0"/>
              <w:spacing w:line="360" w:lineRule="auto"/>
              <w:ind w:firstLine="0" w:firstLineChars="0"/>
              <w:jc w:val="center"/>
              <w:rPr>
                <w:sz w:val="21"/>
                <w:szCs w:val="21"/>
              </w:rPr>
            </w:pPr>
            <w:r>
              <w:rPr>
                <w:sz w:val="21"/>
                <w:szCs w:val="21"/>
              </w:rPr>
              <w:t>True</w:t>
            </w:r>
          </w:p>
        </w:tc>
      </w:tr>
      <w:tr w14:paraId="0CA19D9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80" w:type="dxa"/>
            <w:left w:w="120" w:type="dxa"/>
            <w:bottom w:w="80" w:type="dxa"/>
            <w:right w:w="120" w:type="dxa"/>
          </w:tblCellMar>
        </w:tblPrEx>
        <w:trPr>
          <w:jc w:val="center"/>
        </w:trPr>
        <w:tc>
          <w:tcPr>
            <w:tcW w:w="3364" w:type="dxa"/>
            <w:tcBorders>
              <w:top w:val="nil"/>
              <w:left w:val="nil"/>
              <w:bottom w:val="nil"/>
              <w:right w:val="nil"/>
            </w:tcBorders>
            <w:tcMar>
              <w:top w:w="-1" w:type="dxa"/>
              <w:left w:w="-1" w:type="dxa"/>
              <w:bottom w:w="-1" w:type="dxa"/>
              <w:right w:w="-1" w:type="dxa"/>
            </w:tcMar>
            <w:vAlign w:val="center"/>
          </w:tcPr>
          <w:p w14:paraId="4B33973F">
            <w:pPr>
              <w:snapToGrid w:val="0"/>
              <w:spacing w:line="360" w:lineRule="auto"/>
              <w:ind w:firstLine="0" w:firstLineChars="0"/>
              <w:jc w:val="center"/>
              <w:rPr>
                <w:sz w:val="21"/>
                <w:szCs w:val="21"/>
              </w:rPr>
            </w:pPr>
            <w:r>
              <w:rPr>
                <w:sz w:val="21"/>
                <w:szCs w:val="21"/>
              </w:rPr>
              <w:t>Dropout</w:t>
            </w:r>
          </w:p>
        </w:tc>
        <w:tc>
          <w:tcPr>
            <w:tcW w:w="5164" w:type="dxa"/>
            <w:tcBorders>
              <w:top w:val="nil"/>
              <w:left w:val="nil"/>
              <w:bottom w:val="nil"/>
              <w:right w:val="nil"/>
            </w:tcBorders>
            <w:tcMar>
              <w:top w:w="-1" w:type="dxa"/>
              <w:left w:w="-1" w:type="dxa"/>
              <w:bottom w:w="-1" w:type="dxa"/>
              <w:right w:w="-1" w:type="dxa"/>
            </w:tcMar>
            <w:vAlign w:val="center"/>
          </w:tcPr>
          <w:p w14:paraId="153E286D">
            <w:pPr>
              <w:snapToGrid w:val="0"/>
              <w:spacing w:line="360" w:lineRule="auto"/>
              <w:ind w:firstLine="0" w:firstLineChars="0"/>
              <w:jc w:val="center"/>
              <w:rPr>
                <w:sz w:val="21"/>
                <w:szCs w:val="21"/>
              </w:rPr>
            </w:pPr>
            <w:r>
              <w:rPr>
                <w:sz w:val="21"/>
                <w:szCs w:val="21"/>
              </w:rPr>
              <w:t>0.2（仅当层数&gt;1时）</w:t>
            </w:r>
          </w:p>
        </w:tc>
      </w:tr>
      <w:tr w14:paraId="6C1D3AD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80" w:type="dxa"/>
            <w:left w:w="120" w:type="dxa"/>
            <w:bottom w:w="80" w:type="dxa"/>
            <w:right w:w="120" w:type="dxa"/>
          </w:tblCellMar>
        </w:tblPrEx>
        <w:trPr>
          <w:jc w:val="center"/>
        </w:trPr>
        <w:tc>
          <w:tcPr>
            <w:tcW w:w="3364" w:type="dxa"/>
            <w:tcBorders>
              <w:top w:val="nil"/>
              <w:left w:val="nil"/>
              <w:bottom w:val="single" w:color="auto" w:sz="12" w:space="0"/>
              <w:right w:val="nil"/>
            </w:tcBorders>
            <w:tcMar>
              <w:top w:w="-1" w:type="dxa"/>
              <w:left w:w="-1" w:type="dxa"/>
              <w:bottom w:w="-1" w:type="dxa"/>
              <w:right w:w="-1" w:type="dxa"/>
            </w:tcMar>
            <w:vAlign w:val="center"/>
          </w:tcPr>
          <w:p w14:paraId="2F2761FA">
            <w:pPr>
              <w:snapToGrid w:val="0"/>
              <w:spacing w:line="360" w:lineRule="auto"/>
              <w:ind w:firstLine="0" w:firstLineChars="0"/>
              <w:jc w:val="center"/>
              <w:rPr>
                <w:sz w:val="21"/>
                <w:szCs w:val="21"/>
              </w:rPr>
            </w:pPr>
            <w:r>
              <w:rPr>
                <w:sz w:val="21"/>
                <w:szCs w:val="21"/>
              </w:rPr>
              <w:t>输出维度</w:t>
            </w:r>
          </w:p>
        </w:tc>
        <w:tc>
          <w:tcPr>
            <w:tcW w:w="5164" w:type="dxa"/>
            <w:tcBorders>
              <w:top w:val="nil"/>
              <w:left w:val="nil"/>
              <w:bottom w:val="single" w:color="auto" w:sz="12" w:space="0"/>
              <w:right w:val="nil"/>
            </w:tcBorders>
            <w:tcMar>
              <w:top w:w="-1" w:type="dxa"/>
              <w:left w:w="-1" w:type="dxa"/>
              <w:bottom w:w="-1" w:type="dxa"/>
              <w:right w:w="-1" w:type="dxa"/>
            </w:tcMar>
            <w:vAlign w:val="center"/>
          </w:tcPr>
          <w:p w14:paraId="14E68F89">
            <w:pPr>
              <w:snapToGrid w:val="0"/>
              <w:spacing w:line="360" w:lineRule="auto"/>
              <w:ind w:firstLine="0" w:firstLineChars="0"/>
              <w:jc w:val="center"/>
              <w:rPr>
                <w:sz w:val="21"/>
                <w:szCs w:val="21"/>
              </w:rPr>
            </w:pPr>
            <w:r>
              <w:rPr>
                <w:sz w:val="21"/>
                <w:szCs w:val="21"/>
              </w:rPr>
              <w:t>128（64×2拼接）</w:t>
            </w:r>
          </w:p>
        </w:tc>
      </w:tr>
    </w:tbl>
    <w:p w14:paraId="3866E2D5">
      <w:pPr>
        <w:pStyle w:val="4"/>
        <w:spacing w:before="120" w:after="120"/>
      </w:pPr>
      <w:bookmarkStart w:id="77" w:name="_Toc32765"/>
      <w:bookmarkStart w:id="78" w:name="_Toc16797"/>
      <w:r>
        <w:t>3.4.2 BiGRU双向时序建模：变工况退化趋势捕捉</w:t>
      </w:r>
      <w:bookmarkEnd w:id="77"/>
      <w:bookmarkEnd w:id="78"/>
    </w:p>
    <w:p w14:paraId="5E18DD1E">
      <w:pPr>
        <w:ind w:firstLine="480"/>
      </w:pPr>
      <w:r>
        <w:t>设SE-ResNet输出的特征序列为</w:t>
      </w:r>
      <w:r>
        <w:rPr>
          <w:position w:val="-12"/>
        </w:rPr>
        <w:object>
          <v:shape id="_x0000_i1051" o:spt="75" type="#_x0000_t75" style="height:18pt;width:88pt;" o:ole="t" filled="f" o:preferrelative="t" stroked="f" coordsize="21600,21600">
            <v:path/>
            <v:fill on="f" focussize="0,0"/>
            <v:stroke on="f" joinstyle="miter"/>
            <v:imagedata r:id="rId79" o:title=""/>
            <o:lock v:ext="edit" aspectratio="t"/>
            <w10:wrap type="none"/>
            <w10:anchorlock/>
          </v:shape>
          <o:OLEObject Type="Embed" ProgID="Equation.DSMT4" ShapeID="_x0000_i1051" DrawAspect="Content" ObjectID="_1468075751" r:id="rId78">
            <o:LockedField>false</o:LockedField>
          </o:OLEObject>
        </w:object>
      </w:r>
      <w:r>
        <w:t>，式中</w:t>
      </w:r>
      <w:r>
        <w:rPr>
          <w:position w:val="-12"/>
        </w:rPr>
        <w:object>
          <v:shape id="_x0000_i1052" o:spt="75" type="#_x0000_t75" style="height:19pt;width:44pt;" o:ole="t" filled="f" o:preferrelative="t" stroked="f" coordsize="21600,21600">
            <v:path/>
            <v:fill on="f" focussize="0,0"/>
            <v:stroke on="f" joinstyle="miter"/>
            <v:imagedata r:id="rId81" o:title=""/>
            <o:lock v:ext="edit" aspectratio="t"/>
            <w10:wrap type="none"/>
            <w10:anchorlock/>
          </v:shape>
          <o:OLEObject Type="Embed" ProgID="Equation.DSMT4" ShapeID="_x0000_i1052" DrawAspect="Content" ObjectID="_1468075752" r:id="rId80">
            <o:LockedField>false</o:LockedField>
          </o:OLEObject>
        </w:object>
      </w:r>
      <w:r>
        <w:t>为第</w:t>
      </w:r>
      <w:r>
        <w:rPr>
          <w:position w:val="-6"/>
        </w:rPr>
        <w:object>
          <v:shape id="_x0000_i1053" o:spt="75" type="#_x0000_t75" style="height:13pt;width:9pt;" o:ole="t" filled="f" o:preferrelative="t" stroked="f" coordsize="21600,21600">
            <v:path/>
            <v:fill on="f" focussize="0,0"/>
            <v:stroke on="f" joinstyle="miter"/>
            <v:imagedata r:id="rId83" o:title=""/>
            <o:lock v:ext="edit" aspectratio="t"/>
            <w10:wrap type="none"/>
            <w10:anchorlock/>
          </v:shape>
          <o:OLEObject Type="Embed" ProgID="Equation.DSMT4" ShapeID="_x0000_i1053" DrawAspect="Content" ObjectID="_1468075753" r:id="rId82">
            <o:LockedField>false</o:LockedField>
          </o:OLEObject>
        </w:object>
      </w:r>
      <w:r>
        <w:t>个时间步的特征向量。BiGRU在每个时间步</w:t>
      </w:r>
      <w:r>
        <w:rPr>
          <w:position w:val="-6"/>
        </w:rPr>
        <w:object>
          <v:shape id="_x0000_i1054" o:spt="75" type="#_x0000_t75" style="height:13pt;width:8pt;" o:ole="t" filled="f" o:preferrelative="t" stroked="f" coordsize="21600,21600">
            <v:path/>
            <v:fill on="f" focussize="0,0"/>
            <v:stroke on="f" joinstyle="miter"/>
            <v:imagedata r:id="rId85" o:title=""/>
            <o:lock v:ext="edit" aspectratio="t"/>
            <w10:wrap type="none"/>
            <w10:anchorlock/>
          </v:shape>
          <o:OLEObject Type="Embed" ProgID="Equation.DSMT4" ShapeID="_x0000_i1054" DrawAspect="Content" ObjectID="_1468075754" r:id="rId84">
            <o:LockedField>false</o:LockedField>
          </o:OLEObject>
        </w:object>
      </w:r>
      <w:r>
        <w:t>同时执行正向与反向循环计算：</w:t>
      </w:r>
    </w:p>
    <w:p w14:paraId="7AE7BCA2">
      <w:pPr>
        <w:pStyle w:val="30"/>
        <w:spacing w:before="0" w:beforeLines="0" w:after="0" w:afterLines="0"/>
      </w:pPr>
      <w:r>
        <w:tab/>
      </w:r>
      <w:r>
        <w:rPr>
          <w:position w:val="-12"/>
        </w:rPr>
        <w:object>
          <v:shape id="_x0000_i1055" o:spt="75" type="#_x0000_t75" style="height:20pt;width:154pt;" o:ole="t" filled="f" o:preferrelative="t" stroked="f" coordsize="21600,21600">
            <v:path/>
            <v:fill on="f" focussize="0,0"/>
            <v:stroke on="f" joinstyle="miter"/>
            <v:imagedata r:id="rId87" o:title=""/>
            <o:lock v:ext="edit" aspectratio="t"/>
            <w10:wrap type="none"/>
            <w10:anchorlock/>
          </v:shape>
          <o:OLEObject Type="Embed" ProgID="Equation.DSMT4" ShapeID="_x0000_i1055" DrawAspect="Content" ObjectID="_1468075755" r:id="rId86">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separate"/>
      </w:r>
      <w:r>
        <w:fldChar w:fldCharType="end"/>
      </w:r>
      <w:r>
        <w:rPr>
          <w:rFonts w:hint="eastAsia"/>
          <w:lang w:eastAsia="zh-CN"/>
        </w:rPr>
        <w:instrText xml:space="preserve">(</w:instrText>
      </w:r>
      <w:r>
        <w:rPr>
          <w:rFonts w:hint="eastAsia"/>
          <w:lang w:eastAsia="zh-CN"/>
        </w:rPr>
        <w:fldChar w:fldCharType="begin"/>
      </w:r>
      <w:r>
        <w:rPr>
          <w:rFonts w:hint="eastAsia"/>
          <w:lang w:eastAsia="zh-CN"/>
        </w:rPr>
        <w:instrText xml:space="preserve"> SEQ MTChap \c \* Arabic \* MERGEFORMAT </w:instrText>
      </w:r>
      <w:r>
        <w:rPr>
          <w:rFonts w:hint="eastAsia"/>
          <w:lang w:eastAsia="zh-CN"/>
        </w:rPr>
        <w:fldChar w:fldCharType="separate"/>
      </w:r>
      <w:r>
        <w:instrText xml:space="preserve">3</w:instrText>
      </w:r>
      <w:r>
        <w:rPr>
          <w:rFonts w:hint="eastAsia"/>
          <w:lang w:eastAsia="zh-CN"/>
        </w:rPr>
        <w:fldChar w:fldCharType="end"/>
      </w:r>
      <w:r>
        <w:rPr>
          <w:rFonts w:hint="eastAsia"/>
          <w:lang w:eastAsia="zh-CN"/>
        </w:rPr>
        <w:instrText xml:space="preserve">-</w:instrText>
      </w:r>
      <w:r>
        <w:rPr>
          <w:rFonts w:hint="eastAsia"/>
          <w:lang w:eastAsia="zh-CN"/>
        </w:rPr>
        <w:fldChar w:fldCharType="begin"/>
      </w:r>
      <w:r>
        <w:rPr>
          <w:rFonts w:hint="eastAsia"/>
          <w:lang w:eastAsia="zh-CN"/>
        </w:rPr>
        <w:instrText xml:space="preserve"> SEQ MTEqn \c \* Arabic \* MERGEFORMAT </w:instrText>
      </w:r>
      <w:r>
        <w:rPr>
          <w:rFonts w:hint="eastAsia"/>
          <w:lang w:eastAsia="zh-CN"/>
        </w:rPr>
        <w:fldChar w:fldCharType="separate"/>
      </w:r>
      <w:r>
        <w:instrText xml:space="preserve">2</w:instrText>
      </w:r>
      <w:r>
        <w:rPr>
          <w:rFonts w:hint="eastAsia"/>
          <w:lang w:eastAsia="zh-CN"/>
        </w:rPr>
        <w:fldChar w:fldCharType="end"/>
      </w:r>
      <w:r>
        <w:rPr>
          <w:rFonts w:hint="eastAsia"/>
          <w:lang w:eastAsia="zh-CN"/>
        </w:rPr>
        <w:instrText xml:space="preserve">)</w:instrText>
      </w:r>
      <w:r>
        <w:fldChar w:fldCharType="separate"/>
      </w:r>
      <w:r>
        <w:fldChar w:fldCharType="end"/>
      </w:r>
    </w:p>
    <w:p w14:paraId="273C92E8">
      <w:pPr>
        <w:pStyle w:val="30"/>
        <w:spacing w:before="0" w:beforeLines="0" w:after="0" w:afterLines="0"/>
      </w:pPr>
      <w:r>
        <w:tab/>
      </w:r>
      <w:r>
        <w:rPr>
          <w:position w:val="-12"/>
        </w:rPr>
        <w:object>
          <v:shape id="_x0000_i1056" o:spt="75" type="#_x0000_t75" style="height:20pt;width:167pt;" o:ole="t" filled="f" o:preferrelative="t" stroked="f" coordsize="21600,21600">
            <v:path/>
            <v:fill on="f" focussize="0,0"/>
            <v:stroke on="f" joinstyle="miter"/>
            <v:imagedata r:id="rId89" o:title=""/>
            <o:lock v:ext="edit" aspectratio="t"/>
            <w10:wrap type="none"/>
            <w10:anchorlock/>
          </v:shape>
          <o:OLEObject Type="Embed" ProgID="Equation.DSMT4" ShapeID="_x0000_i1056" DrawAspect="Content" ObjectID="_1468075756" r:id="rId88">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separate"/>
      </w:r>
      <w:r>
        <w:fldChar w:fldCharType="end"/>
      </w:r>
      <w:r>
        <w:rPr>
          <w:rFonts w:hint="eastAsia"/>
          <w:lang w:eastAsia="zh-CN"/>
        </w:rPr>
        <w:instrText xml:space="preserve">(</w:instrText>
      </w:r>
      <w:r>
        <w:rPr>
          <w:rFonts w:hint="eastAsia"/>
          <w:lang w:eastAsia="zh-CN"/>
        </w:rPr>
        <w:fldChar w:fldCharType="begin"/>
      </w:r>
      <w:r>
        <w:rPr>
          <w:rFonts w:hint="eastAsia"/>
          <w:lang w:eastAsia="zh-CN"/>
        </w:rPr>
        <w:instrText xml:space="preserve"> SEQ MTChap \c \* Arabic \* MERGEFORMAT </w:instrText>
      </w:r>
      <w:r>
        <w:rPr>
          <w:rFonts w:hint="eastAsia"/>
          <w:lang w:eastAsia="zh-CN"/>
        </w:rPr>
        <w:fldChar w:fldCharType="separate"/>
      </w:r>
      <w:r>
        <w:instrText xml:space="preserve">3</w:instrText>
      </w:r>
      <w:r>
        <w:rPr>
          <w:rFonts w:hint="eastAsia"/>
          <w:lang w:eastAsia="zh-CN"/>
        </w:rPr>
        <w:fldChar w:fldCharType="end"/>
      </w:r>
      <w:r>
        <w:rPr>
          <w:rFonts w:hint="eastAsia"/>
          <w:lang w:eastAsia="zh-CN"/>
        </w:rPr>
        <w:instrText xml:space="preserve">-</w:instrText>
      </w:r>
      <w:r>
        <w:rPr>
          <w:rFonts w:hint="eastAsia"/>
          <w:lang w:eastAsia="zh-CN"/>
        </w:rPr>
        <w:fldChar w:fldCharType="begin"/>
      </w:r>
      <w:r>
        <w:rPr>
          <w:rFonts w:hint="eastAsia"/>
          <w:lang w:eastAsia="zh-CN"/>
        </w:rPr>
        <w:instrText xml:space="preserve"> SEQ MTEqn \c \* Arabic \* MERGEFORMAT </w:instrText>
      </w:r>
      <w:r>
        <w:rPr>
          <w:rFonts w:hint="eastAsia"/>
          <w:lang w:eastAsia="zh-CN"/>
        </w:rPr>
        <w:fldChar w:fldCharType="separate"/>
      </w:r>
      <w:r>
        <w:instrText xml:space="preserve">3</w:instrText>
      </w:r>
      <w:r>
        <w:rPr>
          <w:rFonts w:hint="eastAsia"/>
          <w:lang w:eastAsia="zh-CN"/>
        </w:rPr>
        <w:fldChar w:fldCharType="end"/>
      </w:r>
      <w:r>
        <w:rPr>
          <w:rFonts w:hint="eastAsia"/>
          <w:lang w:eastAsia="zh-CN"/>
        </w:rPr>
        <w:instrText xml:space="preserve">)</w:instrText>
      </w:r>
      <w:r>
        <w:fldChar w:fldCharType="separate"/>
      </w:r>
      <w:r>
        <w:fldChar w:fldCharType="end"/>
      </w:r>
    </w:p>
    <w:p w14:paraId="59DC9217">
      <w:pPr>
        <w:ind w:firstLine="480"/>
      </w:pPr>
      <w:r>
        <w:t>式中</w:t>
      </w:r>
      <w:r>
        <w:rPr>
          <w:color w:val="4F81BD" w:themeColor="accent1"/>
          <w14:textFill>
            <w14:solidFill>
              <w14:schemeClr w14:val="accent1"/>
            </w14:solidFill>
          </w14:textFill>
        </w:rPr>
        <w:t>，</w:t>
      </w:r>
      <w:r>
        <w:rPr>
          <w:position w:val="-12"/>
        </w:rPr>
        <w:object>
          <v:shape id="_x0000_i1057" o:spt="75" type="#_x0000_t75" style="height:20pt;width:12pt;" o:ole="t" filled="f" o:preferrelative="t" stroked="f" coordsize="21600,21600">
            <v:path/>
            <v:fill on="f" focussize="0,0"/>
            <v:stroke on="f" joinstyle="miter"/>
            <v:imagedata r:id="rId91" o:title=""/>
            <o:lock v:ext="edit" aspectratio="t"/>
            <w10:wrap type="none"/>
            <w10:anchorlock/>
          </v:shape>
          <o:OLEObject Type="Embed" ProgID="Equation.DSMT4" ShapeID="_x0000_i1057" DrawAspect="Content" ObjectID="_1468075757" r:id="rId90">
            <o:LockedField>false</o:LockedField>
          </o:OLEObject>
        </w:object>
      </w:r>
      <w:r>
        <w:t>,</w:t>
      </w:r>
      <w:r>
        <w:rPr>
          <w:position w:val="-12"/>
        </w:rPr>
        <w:object>
          <v:shape id="_x0000_i1058" o:spt="75" type="#_x0000_t75" style="height:20pt;width:40pt;" o:ole="t" filled="f" o:preferrelative="t" stroked="f" coordsize="21600,21600">
            <v:path/>
            <v:fill on="f" focussize="0,0"/>
            <v:stroke on="f" joinstyle="miter"/>
            <v:imagedata r:id="rId93" o:title=""/>
            <o:lock v:ext="edit" aspectratio="t"/>
            <w10:wrap type="none"/>
            <w10:anchorlock/>
          </v:shape>
          <o:OLEObject Type="Embed" ProgID="Equation.DSMT4" ShapeID="_x0000_i1058" DrawAspect="Content" ObjectID="_1468075758" r:id="rId92">
            <o:LockedField>false</o:LockedField>
          </o:OLEObject>
        </w:object>
      </w:r>
      <w:r>
        <w:t>分别为正向和反向隐藏状态，</w:t>
      </w:r>
      <w:r>
        <w:rPr>
          <w:position w:val="-6"/>
        </w:rPr>
        <w:object>
          <v:shape id="_x0000_i1059" o:spt="75" type="#_x0000_t75" style="height:13.95pt;width:10pt;" o:ole="t" filled="f" o:preferrelative="t" stroked="f" coordsize="21600,21600">
            <v:path/>
            <v:fill on="f" focussize="0,0"/>
            <v:stroke on="f" joinstyle="miter"/>
            <v:imagedata r:id="rId95" o:title=""/>
            <o:lock v:ext="edit" aspectratio="t"/>
            <w10:wrap type="none"/>
            <w10:anchorlock/>
          </v:shape>
          <o:OLEObject Type="Embed" ProgID="Equation.DSMT4" ShapeID="_x0000_i1059" DrawAspect="Content" ObjectID="_1468075759" r:id="rId94">
            <o:LockedField>false</o:LockedField>
          </o:OLEObject>
        </w:object>
      </w:r>
      <w:r>
        <w:t>为零初始向量。两者在时间步</w:t>
      </w:r>
      <w:r>
        <w:rPr>
          <w:position w:val="-6"/>
        </w:rPr>
        <w:object>
          <v:shape id="_x0000_i1060" o:spt="75" type="#_x0000_t75" style="height:12pt;width:9pt;" o:ole="t" filled="f" o:preferrelative="t" stroked="f" coordsize="21600,21600">
            <v:path/>
            <v:fill on="f" focussize="0,0"/>
            <v:stroke on="f" joinstyle="miter"/>
            <v:imagedata r:id="rId97" o:title=""/>
            <o:lock v:ext="edit" aspectratio="t"/>
            <w10:wrap type="none"/>
            <w10:anchorlock/>
          </v:shape>
          <o:OLEObject Type="Embed" ProgID="Equation.DSMT4" ShapeID="_x0000_i1060" DrawAspect="Content" ObjectID="_1468075760" r:id="rId96">
            <o:LockedField>false</o:LockedField>
          </o:OLEObject>
        </w:object>
      </w:r>
      <w:r>
        <w:t>拼接得到当前时刻的时序表示：</w:t>
      </w:r>
    </w:p>
    <w:p w14:paraId="7DDD64F4">
      <w:pPr>
        <w:pStyle w:val="30"/>
        <w:spacing w:before="0" w:beforeLines="0" w:after="0" w:afterLines="0"/>
      </w:pPr>
      <w:r>
        <w:tab/>
      </w:r>
      <w:r>
        <w:rPr>
          <w:position w:val="-12"/>
        </w:rPr>
        <w:object>
          <v:shape id="_x0000_i1061" o:spt="75" type="#_x0000_t75" style="height:20pt;width:84pt;" o:ole="t" filled="f" o:preferrelative="t" stroked="f" coordsize="21600,21600">
            <v:path/>
            <v:fill on="f" focussize="0,0"/>
            <v:stroke on="f" joinstyle="miter"/>
            <v:imagedata r:id="rId99" o:title=""/>
            <o:lock v:ext="edit" aspectratio="t"/>
            <w10:wrap type="none"/>
            <w10:anchorlock/>
          </v:shape>
          <o:OLEObject Type="Embed" ProgID="Equation.DSMT4" ShapeID="_x0000_i1061" DrawAspect="Content" ObjectID="_1468075761" r:id="rId98">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separate"/>
      </w:r>
      <w:r>
        <w:fldChar w:fldCharType="end"/>
      </w:r>
      <w:r>
        <w:rPr>
          <w:rFonts w:hint="eastAsia"/>
          <w:lang w:eastAsia="zh-CN"/>
        </w:rPr>
        <w:instrText xml:space="preserve">(</w:instrText>
      </w:r>
      <w:r>
        <w:rPr>
          <w:rFonts w:hint="eastAsia"/>
          <w:lang w:eastAsia="zh-CN"/>
        </w:rPr>
        <w:fldChar w:fldCharType="begin"/>
      </w:r>
      <w:r>
        <w:rPr>
          <w:rFonts w:hint="eastAsia"/>
          <w:lang w:eastAsia="zh-CN"/>
        </w:rPr>
        <w:instrText xml:space="preserve"> SEQ MTChap \c \* Arabic \* MERGEFORMAT </w:instrText>
      </w:r>
      <w:r>
        <w:rPr>
          <w:rFonts w:hint="eastAsia"/>
          <w:lang w:eastAsia="zh-CN"/>
        </w:rPr>
        <w:fldChar w:fldCharType="separate"/>
      </w:r>
      <w:r>
        <w:instrText xml:space="preserve">3</w:instrText>
      </w:r>
      <w:r>
        <w:rPr>
          <w:rFonts w:hint="eastAsia"/>
          <w:lang w:eastAsia="zh-CN"/>
        </w:rPr>
        <w:fldChar w:fldCharType="end"/>
      </w:r>
      <w:r>
        <w:rPr>
          <w:rFonts w:hint="eastAsia"/>
          <w:lang w:eastAsia="zh-CN"/>
        </w:rPr>
        <w:instrText xml:space="preserve">-</w:instrText>
      </w:r>
      <w:r>
        <w:rPr>
          <w:rFonts w:hint="eastAsia"/>
          <w:lang w:eastAsia="zh-CN"/>
        </w:rPr>
        <w:fldChar w:fldCharType="begin"/>
      </w:r>
      <w:r>
        <w:rPr>
          <w:rFonts w:hint="eastAsia"/>
          <w:lang w:eastAsia="zh-CN"/>
        </w:rPr>
        <w:instrText xml:space="preserve"> SEQ MTEqn \c \* Arabic \* MERGEFORMAT </w:instrText>
      </w:r>
      <w:r>
        <w:rPr>
          <w:rFonts w:hint="eastAsia"/>
          <w:lang w:eastAsia="zh-CN"/>
        </w:rPr>
        <w:fldChar w:fldCharType="separate"/>
      </w:r>
      <w:r>
        <w:instrText xml:space="preserve">4</w:instrText>
      </w:r>
      <w:r>
        <w:rPr>
          <w:rFonts w:hint="eastAsia"/>
          <w:lang w:eastAsia="zh-CN"/>
        </w:rPr>
        <w:fldChar w:fldCharType="end"/>
      </w:r>
      <w:r>
        <w:rPr>
          <w:rFonts w:hint="eastAsia"/>
          <w:lang w:eastAsia="zh-CN"/>
        </w:rPr>
        <w:instrText xml:space="preserve">)</w:instrText>
      </w:r>
      <w:r>
        <w:fldChar w:fldCharType="separate"/>
      </w:r>
      <w:r>
        <w:fldChar w:fldCharType="end"/>
      </w:r>
    </w:p>
    <w:p w14:paraId="3176D45C">
      <w:pPr>
        <w:snapToGrid w:val="0"/>
        <w:ind w:firstLine="480"/>
      </w:pPr>
      <w:r>
        <w:t>取序列末位隐藏状态</w:t>
      </w:r>
      <w:r>
        <w:rPr>
          <w:position w:val="-6"/>
        </w:rPr>
        <w:object>
          <v:shape id="_x0000_i1062" o:spt="75" type="#_x0000_t75" style="height:13.95pt;width:15pt;" o:ole="t" filled="f" o:preferrelative="t" stroked="f" coordsize="21600,21600">
            <v:path/>
            <v:fill on="f" focussize="0,0"/>
            <v:stroke on="f" joinstyle="miter"/>
            <v:imagedata r:id="rId101" o:title=""/>
            <o:lock v:ext="edit" aspectratio="t"/>
            <w10:wrap type="none"/>
            <w10:anchorlock/>
          </v:shape>
          <o:OLEObject Type="Embed" ProgID="Equation.DSMT4" ShapeID="_x0000_i1062" DrawAspect="Content" ObjectID="_1468075762" r:id="rId100">
            <o:LockedField>false</o:LockedField>
          </o:OLEObject>
        </w:object>
      </w:r>
      <w:r>
        <w:t>，经Dropout正则化（dropout率</w:t>
      </w:r>
      <w:r>
        <w:rPr>
          <w:position w:val="-10"/>
        </w:rPr>
        <w:object>
          <v:shape id="_x0000_i1063" o:spt="75" type="#_x0000_t75" style="height:16pt;width:46pt;" o:ole="t" filled="f" o:preferrelative="t" stroked="f" coordsize="21600,21600">
            <v:path/>
            <v:fill on="f" focussize="0,0"/>
            <v:stroke on="f" joinstyle="miter"/>
            <v:imagedata r:id="rId103" o:title=""/>
            <o:lock v:ext="edit" aspectratio="t"/>
            <w10:wrap type="none"/>
            <w10:anchorlock/>
          </v:shape>
          <o:OLEObject Type="Embed" ProgID="Equation.DSMT4" ShapeID="_x0000_i1063" DrawAspect="Content" ObjectID="_1468075763" r:id="rId102">
            <o:LockedField>false</o:LockedField>
          </o:OLEObject>
        </w:object>
      </w:r>
      <w:r>
        <w:t>）后送入全连接层输出标量预测值：</w:t>
      </w:r>
    </w:p>
    <w:p w14:paraId="36BDA0AB">
      <w:pPr>
        <w:pStyle w:val="30"/>
        <w:spacing w:before="0" w:beforeLines="0" w:after="0" w:afterLines="0"/>
      </w:pPr>
      <w:r>
        <w:tab/>
      </w:r>
      <w:r>
        <w:rPr>
          <w:position w:val="-14"/>
        </w:rPr>
        <w:object>
          <v:shape id="_x0000_i1064" o:spt="75" type="#_x0000_t75" style="height:19pt;width:130pt;" o:ole="t" filled="f" o:preferrelative="t" stroked="f" coordsize="21600,21600">
            <v:path/>
            <v:fill on="f" focussize="0,0"/>
            <v:stroke on="f" joinstyle="miter"/>
            <v:imagedata r:id="rId105" o:title=""/>
            <o:lock v:ext="edit" aspectratio="t"/>
            <w10:wrap type="none"/>
            <w10:anchorlock/>
          </v:shape>
          <o:OLEObject Type="Embed" ProgID="Equation.DSMT4" ShapeID="_x0000_i1064" DrawAspect="Content" ObjectID="_1468075764" r:id="rId104">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separate"/>
      </w:r>
      <w:r>
        <w:fldChar w:fldCharType="end"/>
      </w:r>
      <w:r>
        <w:rPr>
          <w:rFonts w:hint="eastAsia"/>
          <w:lang w:eastAsia="zh-CN"/>
        </w:rPr>
        <w:instrText xml:space="preserve">(</w:instrText>
      </w:r>
      <w:r>
        <w:rPr>
          <w:rFonts w:hint="eastAsia"/>
          <w:lang w:eastAsia="zh-CN"/>
        </w:rPr>
        <w:fldChar w:fldCharType="begin"/>
      </w:r>
      <w:r>
        <w:rPr>
          <w:rFonts w:hint="eastAsia"/>
          <w:lang w:eastAsia="zh-CN"/>
        </w:rPr>
        <w:instrText xml:space="preserve"> SEQ MTChap \c \* Arabic \* MERGEFORMAT </w:instrText>
      </w:r>
      <w:r>
        <w:rPr>
          <w:rFonts w:hint="eastAsia"/>
          <w:lang w:eastAsia="zh-CN"/>
        </w:rPr>
        <w:fldChar w:fldCharType="separate"/>
      </w:r>
      <w:r>
        <w:instrText xml:space="preserve">3</w:instrText>
      </w:r>
      <w:r>
        <w:rPr>
          <w:rFonts w:hint="eastAsia"/>
          <w:lang w:eastAsia="zh-CN"/>
        </w:rPr>
        <w:fldChar w:fldCharType="end"/>
      </w:r>
      <w:r>
        <w:rPr>
          <w:rFonts w:hint="eastAsia"/>
          <w:lang w:eastAsia="zh-CN"/>
        </w:rPr>
        <w:instrText xml:space="preserve">-</w:instrText>
      </w:r>
      <w:r>
        <w:rPr>
          <w:rFonts w:hint="eastAsia"/>
          <w:lang w:eastAsia="zh-CN"/>
        </w:rPr>
        <w:fldChar w:fldCharType="begin"/>
      </w:r>
      <w:r>
        <w:rPr>
          <w:rFonts w:hint="eastAsia"/>
          <w:lang w:eastAsia="zh-CN"/>
        </w:rPr>
        <w:instrText xml:space="preserve"> SEQ MTEqn \c \* Arabic \* MERGEFORMAT </w:instrText>
      </w:r>
      <w:r>
        <w:rPr>
          <w:rFonts w:hint="eastAsia"/>
          <w:lang w:eastAsia="zh-CN"/>
        </w:rPr>
        <w:fldChar w:fldCharType="separate"/>
      </w:r>
      <w:r>
        <w:instrText xml:space="preserve">5</w:instrText>
      </w:r>
      <w:r>
        <w:rPr>
          <w:rFonts w:hint="eastAsia"/>
          <w:lang w:eastAsia="zh-CN"/>
        </w:rPr>
        <w:fldChar w:fldCharType="end"/>
      </w:r>
      <w:r>
        <w:rPr>
          <w:rFonts w:hint="eastAsia"/>
          <w:lang w:eastAsia="zh-CN"/>
        </w:rPr>
        <w:instrText xml:space="preserve">)</w:instrText>
      </w:r>
      <w:r>
        <w:fldChar w:fldCharType="separate"/>
      </w:r>
      <w:r>
        <w:fldChar w:fldCharType="end"/>
      </w:r>
    </w:p>
    <w:p w14:paraId="23C99265">
      <w:pPr>
        <w:ind w:firstLine="480"/>
      </w:pPr>
      <w:r>
        <w:t>式中，</w:t>
      </w:r>
      <w:r>
        <w:rPr>
          <w:position w:val="-14"/>
        </w:rPr>
        <w:object>
          <v:shape id="_x0000_i1065" o:spt="75" type="#_x0000_t75" style="height:20pt;width:59pt;" o:ole="t" filled="f" o:preferrelative="t" stroked="f" coordsize="21600,21600">
            <v:path/>
            <v:fill on="f" focussize="0,0"/>
            <v:stroke on="f" joinstyle="miter"/>
            <v:imagedata r:id="rId107" o:title=""/>
            <o:lock v:ext="edit" aspectratio="t"/>
            <w10:wrap type="none"/>
            <w10:anchorlock/>
          </v:shape>
          <o:OLEObject Type="Embed" ProgID="Equation.DSMT4" ShapeID="_x0000_i1065" DrawAspect="Content" ObjectID="_1468075765" r:id="rId106">
            <o:LockedField>false</o:LockedField>
          </o:OLEObject>
        </w:object>
      </w:r>
      <w:r>
        <w:t>为全连接层权重矩阵，</w:t>
      </w:r>
      <w:r>
        <w:rPr>
          <w:position w:val="-14"/>
        </w:rPr>
        <w:object>
          <v:shape id="_x0000_i1066" o:spt="75" type="#_x0000_t75" style="height:19pt;width:37pt;" o:ole="t" filled="f" o:preferrelative="t" stroked="f" coordsize="21600,21600">
            <v:path/>
            <v:fill on="f" focussize="0,0"/>
            <v:stroke on="f" joinstyle="miter"/>
            <v:imagedata r:id="rId109" o:title=""/>
            <o:lock v:ext="edit" aspectratio="t"/>
            <w10:wrap type="none"/>
            <w10:anchorlock/>
          </v:shape>
          <o:OLEObject Type="Embed" ProgID="Equation.DSMT4" ShapeID="_x0000_i1066" DrawAspect="Content" ObjectID="_1468075766" r:id="rId108">
            <o:LockedField>false</o:LockedField>
          </o:OLEObject>
        </w:object>
      </w:r>
      <w:r>
        <w:t>为偏置项，</w:t>
      </w:r>
      <w:r>
        <w:rPr>
          <w:position w:val="-10"/>
        </w:rPr>
        <w:object>
          <v:shape id="_x0000_i1067" o:spt="75" type="#_x0000_t75" style="height:16pt;width:42.95pt;" o:ole="t" filled="f" o:preferrelative="t" stroked="f" coordsize="21600,21600">
            <v:path/>
            <v:fill on="f" focussize="0,0"/>
            <v:stroke on="f" joinstyle="miter"/>
            <v:imagedata r:id="rId111" o:title=""/>
            <o:lock v:ext="edit" aspectratio="t"/>
            <w10:wrap type="none"/>
            <w10:anchorlock/>
          </v:shape>
          <o:OLEObject Type="Embed" ProgID="Equation.DSMT4" ShapeID="_x0000_i1067" DrawAspect="Content" ObjectID="_1468075767" r:id="rId110">
            <o:LockedField>false</o:LockedField>
          </o:OLEObject>
        </w:object>
      </w:r>
      <w:r>
        <w:t>为当前时刻的归一化</w:t>
      </w:r>
      <w:r>
        <w:rPr>
          <w:position w:val="-6"/>
        </w:rPr>
        <w:object>
          <v:shape id="_x0000_i1068" o:spt="75" type="#_x0000_t75" style="height:13.95pt;width:28pt;" o:ole="t" filled="f" o:preferrelative="t" stroked="f" coordsize="21600,21600">
            <v:path/>
            <v:fill on="f" focussize="0,0"/>
            <v:stroke on="f" joinstyle="miter"/>
            <v:imagedata r:id="rId113" o:title=""/>
            <o:lock v:ext="edit" aspectratio="t"/>
            <w10:wrap type="none"/>
            <w10:anchorlock/>
          </v:shape>
          <o:OLEObject Type="Embed" ProgID="Equation.DSMT4" ShapeID="_x0000_i1068" DrawAspect="Content" ObjectID="_1468075768" r:id="rId112">
            <o:LockedField>false</o:LockedField>
          </o:OLEObject>
        </w:object>
      </w:r>
      <w:r>
        <w:t>比例预测值。</w:t>
      </w:r>
    </w:p>
    <w:p w14:paraId="0701F11B">
      <w:pPr>
        <w:ind w:firstLine="480"/>
      </w:pPr>
      <w:r>
        <w:t>双向GRU的前向传播公式如下。设当前输入为</w:t>
      </w:r>
      <w:r>
        <w:rPr>
          <w:position w:val="-6"/>
        </w:rPr>
        <w:object>
          <v:shape id="_x0000_i1069" o:spt="75" type="#_x0000_t75" style="height:11pt;width:13.95pt;" o:ole="t" filled="f" o:preferrelative="t" stroked="f" coordsize="21600,21600">
            <v:path/>
            <v:fill on="f" focussize="0,0"/>
            <v:stroke on="f" joinstyle="miter"/>
            <v:imagedata r:id="rId115" o:title=""/>
            <o:lock v:ext="edit" aspectratio="t"/>
            <w10:wrap type="none"/>
            <w10:anchorlock/>
          </v:shape>
          <o:OLEObject Type="Embed" ProgID="Equation.DSMT4" ShapeID="_x0000_i1069" DrawAspect="Content" ObjectID="_1468075769" r:id="rId114">
            <o:LockedField>false</o:LockedField>
          </o:OLEObject>
        </w:object>
      </w:r>
      <w:r>
        <w:t>，上一时刻隐藏状态为</w:t>
      </w:r>
      <w:r>
        <w:rPr>
          <w:position w:val="-6"/>
        </w:rPr>
        <w:object>
          <v:shape id="_x0000_i1070" o:spt="75" type="#_x0000_t75" style="height:13.95pt;width:24pt;" o:ole="t" filled="f" o:preferrelative="t" stroked="f" coordsize="21600,21600">
            <v:path/>
            <v:fill on="f" focussize="0,0"/>
            <v:stroke on="f" joinstyle="miter"/>
            <v:imagedata r:id="rId117" o:title=""/>
            <o:lock v:ext="edit" aspectratio="t"/>
            <w10:wrap type="none"/>
            <w10:anchorlock/>
          </v:shape>
          <o:OLEObject Type="Embed" ProgID="Equation.DSMT4" ShapeID="_x0000_i1070" DrawAspect="Content" ObjectID="_1468075770" r:id="rId116">
            <o:LockedField>false</o:LockedField>
          </o:OLEObject>
        </w:object>
      </w:r>
      <w:r>
        <w:t>，GRU通过重置门</w:t>
      </w:r>
      <w:r>
        <w:rPr>
          <w:position w:val="-6"/>
        </w:rPr>
        <w:object>
          <v:shape id="_x0000_i1071" o:spt="75" type="#_x0000_t75" style="height:11pt;width:10pt;" o:ole="t" filled="f" o:preferrelative="t" stroked="f" coordsize="21600,21600">
            <v:path/>
            <v:fill on="f" focussize="0,0"/>
            <v:stroke on="f" joinstyle="miter"/>
            <v:imagedata r:id="rId119" o:title=""/>
            <o:lock v:ext="edit" aspectratio="t"/>
            <w10:wrap type="none"/>
            <w10:anchorlock/>
          </v:shape>
          <o:OLEObject Type="Embed" ProgID="Equation.DSMT4" ShapeID="_x0000_i1071" DrawAspect="Content" ObjectID="_1468075771" r:id="rId118">
            <o:LockedField>false</o:LockedField>
          </o:OLEObject>
        </w:object>
      </w:r>
      <w:r>
        <w:t>和更新门</w:t>
      </w:r>
      <w:r>
        <w:rPr>
          <w:position w:val="-6"/>
        </w:rPr>
        <w:object>
          <v:shape id="_x0000_i1072" o:spt="75" type="#_x0000_t75" style="height:11pt;width:11pt;" o:ole="t" filled="f" o:preferrelative="t" stroked="f" coordsize="21600,21600">
            <v:path/>
            <v:fill on="f" focussize="0,0"/>
            <v:stroke on="f" joinstyle="miter"/>
            <v:imagedata r:id="rId121" o:title=""/>
            <o:lock v:ext="edit" aspectratio="t"/>
            <w10:wrap type="none"/>
            <w10:anchorlock/>
          </v:shape>
          <o:OLEObject Type="Embed" ProgID="Equation.DSMT4" ShapeID="_x0000_i1072" DrawAspect="Content" ObjectID="_1468075772" r:id="rId120">
            <o:LockedField>false</o:LockedField>
          </o:OLEObject>
        </w:object>
      </w:r>
      <w:r>
        <w:t>控制信息流动：</w:t>
      </w:r>
    </w:p>
    <w:p w14:paraId="708B4610">
      <w:pPr>
        <w:pStyle w:val="30"/>
        <w:spacing w:before="0" w:beforeLines="0" w:after="0" w:afterLines="0"/>
      </w:pPr>
      <w:r>
        <w:tab/>
      </w:r>
      <w:r>
        <w:rPr>
          <w:position w:val="-12"/>
        </w:rPr>
        <w:object>
          <v:shape id="_x0000_i1073" o:spt="75" type="#_x0000_t75" style="height:18pt;width:120pt;" o:ole="t" filled="f" o:preferrelative="t" stroked="f" coordsize="21600,21600">
            <v:path/>
            <v:fill on="f" focussize="0,0"/>
            <v:stroke on="f" joinstyle="miter"/>
            <v:imagedata r:id="rId123" o:title=""/>
            <o:lock v:ext="edit" aspectratio="t"/>
            <w10:wrap type="none"/>
            <w10:anchorlock/>
          </v:shape>
          <o:OLEObject Type="Embed" ProgID="Equation.DSMT4" ShapeID="_x0000_i1073" DrawAspect="Content" ObjectID="_1468075773" r:id="rId122">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separate"/>
      </w:r>
      <w:r>
        <w:fldChar w:fldCharType="end"/>
      </w:r>
      <w:r>
        <w:rPr>
          <w:rFonts w:hint="eastAsia"/>
          <w:lang w:eastAsia="zh-CN"/>
        </w:rPr>
        <w:instrText xml:space="preserve">(</w:instrText>
      </w:r>
      <w:r>
        <w:rPr>
          <w:rFonts w:hint="eastAsia"/>
          <w:lang w:eastAsia="zh-CN"/>
        </w:rPr>
        <w:fldChar w:fldCharType="begin"/>
      </w:r>
      <w:r>
        <w:rPr>
          <w:rFonts w:hint="eastAsia"/>
          <w:lang w:eastAsia="zh-CN"/>
        </w:rPr>
        <w:instrText xml:space="preserve"> SEQ MTChap \c \* Arabic \* MERGEFORMAT </w:instrText>
      </w:r>
      <w:r>
        <w:rPr>
          <w:rFonts w:hint="eastAsia"/>
          <w:lang w:eastAsia="zh-CN"/>
        </w:rPr>
        <w:fldChar w:fldCharType="separate"/>
      </w:r>
      <w:r>
        <w:instrText xml:space="preserve">3</w:instrText>
      </w:r>
      <w:r>
        <w:rPr>
          <w:rFonts w:hint="eastAsia"/>
          <w:lang w:eastAsia="zh-CN"/>
        </w:rPr>
        <w:fldChar w:fldCharType="end"/>
      </w:r>
      <w:r>
        <w:rPr>
          <w:rFonts w:hint="eastAsia"/>
          <w:lang w:eastAsia="zh-CN"/>
        </w:rPr>
        <w:instrText xml:space="preserve">-</w:instrText>
      </w:r>
      <w:r>
        <w:rPr>
          <w:rFonts w:hint="eastAsia"/>
          <w:lang w:eastAsia="zh-CN"/>
        </w:rPr>
        <w:fldChar w:fldCharType="begin"/>
      </w:r>
      <w:r>
        <w:rPr>
          <w:rFonts w:hint="eastAsia"/>
          <w:lang w:eastAsia="zh-CN"/>
        </w:rPr>
        <w:instrText xml:space="preserve"> SEQ MTEqn \c \* Arabic \* MERGEFORMAT </w:instrText>
      </w:r>
      <w:r>
        <w:rPr>
          <w:rFonts w:hint="eastAsia"/>
          <w:lang w:eastAsia="zh-CN"/>
        </w:rPr>
        <w:fldChar w:fldCharType="separate"/>
      </w:r>
      <w:r>
        <w:instrText xml:space="preserve">6</w:instrText>
      </w:r>
      <w:r>
        <w:rPr>
          <w:rFonts w:hint="eastAsia"/>
          <w:lang w:eastAsia="zh-CN"/>
        </w:rPr>
        <w:fldChar w:fldCharType="end"/>
      </w:r>
      <w:r>
        <w:rPr>
          <w:rFonts w:hint="eastAsia"/>
          <w:lang w:eastAsia="zh-CN"/>
        </w:rPr>
        <w:instrText xml:space="preserve">)</w:instrText>
      </w:r>
      <w:r>
        <w:fldChar w:fldCharType="separate"/>
      </w:r>
      <w:r>
        <w:fldChar w:fldCharType="end"/>
      </w:r>
    </w:p>
    <w:p w14:paraId="2A0BC8ED">
      <w:pPr>
        <w:pStyle w:val="30"/>
        <w:spacing w:before="0" w:beforeLines="0" w:after="0" w:afterLines="0"/>
      </w:pPr>
      <w:r>
        <w:tab/>
      </w:r>
      <w:r>
        <w:rPr>
          <w:position w:val="-12"/>
        </w:rPr>
        <w:object>
          <v:shape id="_x0000_i1074" o:spt="75" type="#_x0000_t75" style="height:18pt;width:121.95pt;" o:ole="t" filled="f" o:preferrelative="t" stroked="f" coordsize="21600,21600">
            <v:path/>
            <v:fill on="f" focussize="0,0"/>
            <v:stroke on="f" joinstyle="miter"/>
            <v:imagedata r:id="rId125" o:title=""/>
            <o:lock v:ext="edit" aspectratio="t"/>
            <w10:wrap type="none"/>
            <w10:anchorlock/>
          </v:shape>
          <o:OLEObject Type="Embed" ProgID="Equation.DSMT4" ShapeID="_x0000_i1074" DrawAspect="Content" ObjectID="_1468075774" r:id="rId124">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separate"/>
      </w:r>
      <w:r>
        <w:fldChar w:fldCharType="end"/>
      </w:r>
      <w:r>
        <w:rPr>
          <w:rFonts w:hint="eastAsia"/>
          <w:lang w:eastAsia="zh-CN"/>
        </w:rPr>
        <w:instrText xml:space="preserve">(</w:instrText>
      </w:r>
      <w:r>
        <w:rPr>
          <w:rFonts w:hint="eastAsia"/>
          <w:lang w:eastAsia="zh-CN"/>
        </w:rPr>
        <w:fldChar w:fldCharType="begin"/>
      </w:r>
      <w:r>
        <w:rPr>
          <w:rFonts w:hint="eastAsia"/>
          <w:lang w:eastAsia="zh-CN"/>
        </w:rPr>
        <w:instrText xml:space="preserve"> SEQ MTChap \c \* Arabic \* MERGEFORMAT </w:instrText>
      </w:r>
      <w:r>
        <w:rPr>
          <w:rFonts w:hint="eastAsia"/>
          <w:lang w:eastAsia="zh-CN"/>
        </w:rPr>
        <w:fldChar w:fldCharType="separate"/>
      </w:r>
      <w:r>
        <w:instrText xml:space="preserve">3</w:instrText>
      </w:r>
      <w:r>
        <w:rPr>
          <w:rFonts w:hint="eastAsia"/>
          <w:lang w:eastAsia="zh-CN"/>
        </w:rPr>
        <w:fldChar w:fldCharType="end"/>
      </w:r>
      <w:r>
        <w:rPr>
          <w:rFonts w:hint="eastAsia"/>
          <w:lang w:eastAsia="zh-CN"/>
        </w:rPr>
        <w:instrText xml:space="preserve">-</w:instrText>
      </w:r>
      <w:r>
        <w:rPr>
          <w:rFonts w:hint="eastAsia"/>
          <w:lang w:eastAsia="zh-CN"/>
        </w:rPr>
        <w:fldChar w:fldCharType="begin"/>
      </w:r>
      <w:r>
        <w:rPr>
          <w:rFonts w:hint="eastAsia"/>
          <w:lang w:eastAsia="zh-CN"/>
        </w:rPr>
        <w:instrText xml:space="preserve"> SEQ MTEqn \c \* Arabic \* MERGEFORMAT </w:instrText>
      </w:r>
      <w:r>
        <w:rPr>
          <w:rFonts w:hint="eastAsia"/>
          <w:lang w:eastAsia="zh-CN"/>
        </w:rPr>
        <w:fldChar w:fldCharType="separate"/>
      </w:r>
      <w:r>
        <w:instrText xml:space="preserve">7</w:instrText>
      </w:r>
      <w:r>
        <w:rPr>
          <w:rFonts w:hint="eastAsia"/>
          <w:lang w:eastAsia="zh-CN"/>
        </w:rPr>
        <w:fldChar w:fldCharType="end"/>
      </w:r>
      <w:r>
        <w:rPr>
          <w:rFonts w:hint="eastAsia"/>
          <w:lang w:eastAsia="zh-CN"/>
        </w:rPr>
        <w:instrText xml:space="preserve">)</w:instrText>
      </w:r>
      <w:r>
        <w:fldChar w:fldCharType="separate"/>
      </w:r>
      <w:r>
        <w:fldChar w:fldCharType="end"/>
      </w:r>
    </w:p>
    <w:p w14:paraId="21280258">
      <w:pPr>
        <w:pStyle w:val="30"/>
        <w:spacing w:before="0" w:beforeLines="0" w:after="0" w:afterLines="0"/>
      </w:pPr>
      <w:r>
        <w:tab/>
      </w:r>
      <w:r>
        <w:rPr>
          <w:position w:val="-12"/>
        </w:rPr>
        <w:object>
          <v:shape id="_x0000_i1075" o:spt="75" type="#_x0000_t75" style="height:20pt;width:165pt;" o:ole="t" filled="f" o:preferrelative="t" stroked="f" coordsize="21600,21600">
            <v:path/>
            <v:fill on="f" focussize="0,0"/>
            <v:stroke on="f" joinstyle="miter"/>
            <v:imagedata r:id="rId127" o:title=""/>
            <o:lock v:ext="edit" aspectratio="t"/>
            <w10:wrap type="none"/>
            <w10:anchorlock/>
          </v:shape>
          <o:OLEObject Type="Embed" ProgID="Equation.DSMT4" ShapeID="_x0000_i1075" DrawAspect="Content" ObjectID="_1468075775" r:id="rId126">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separate"/>
      </w:r>
      <w:r>
        <w:fldChar w:fldCharType="end"/>
      </w:r>
      <w:r>
        <w:rPr>
          <w:rFonts w:hint="eastAsia"/>
          <w:lang w:eastAsia="zh-CN"/>
        </w:rPr>
        <w:instrText xml:space="preserve">(</w:instrText>
      </w:r>
      <w:r>
        <w:rPr>
          <w:rFonts w:hint="eastAsia"/>
          <w:lang w:eastAsia="zh-CN"/>
        </w:rPr>
        <w:fldChar w:fldCharType="begin"/>
      </w:r>
      <w:r>
        <w:rPr>
          <w:rFonts w:hint="eastAsia"/>
          <w:lang w:eastAsia="zh-CN"/>
        </w:rPr>
        <w:instrText xml:space="preserve"> SEQ MTChap \c \* Arabic \* MERGEFORMAT </w:instrText>
      </w:r>
      <w:r>
        <w:rPr>
          <w:rFonts w:hint="eastAsia"/>
          <w:lang w:eastAsia="zh-CN"/>
        </w:rPr>
        <w:fldChar w:fldCharType="separate"/>
      </w:r>
      <w:r>
        <w:instrText xml:space="preserve">3</w:instrText>
      </w:r>
      <w:r>
        <w:rPr>
          <w:rFonts w:hint="eastAsia"/>
          <w:lang w:eastAsia="zh-CN"/>
        </w:rPr>
        <w:fldChar w:fldCharType="end"/>
      </w:r>
      <w:r>
        <w:rPr>
          <w:rFonts w:hint="eastAsia"/>
          <w:lang w:eastAsia="zh-CN"/>
        </w:rPr>
        <w:instrText xml:space="preserve">-</w:instrText>
      </w:r>
      <w:r>
        <w:rPr>
          <w:rFonts w:hint="eastAsia"/>
          <w:lang w:eastAsia="zh-CN"/>
        </w:rPr>
        <w:fldChar w:fldCharType="begin"/>
      </w:r>
      <w:r>
        <w:rPr>
          <w:rFonts w:hint="eastAsia"/>
          <w:lang w:eastAsia="zh-CN"/>
        </w:rPr>
        <w:instrText xml:space="preserve"> SEQ MTEqn \c \* Arabic \* MERGEFORMAT </w:instrText>
      </w:r>
      <w:r>
        <w:rPr>
          <w:rFonts w:hint="eastAsia"/>
          <w:lang w:eastAsia="zh-CN"/>
        </w:rPr>
        <w:fldChar w:fldCharType="separate"/>
      </w:r>
      <w:r>
        <w:instrText xml:space="preserve">8</w:instrText>
      </w:r>
      <w:r>
        <w:rPr>
          <w:rFonts w:hint="eastAsia"/>
          <w:lang w:eastAsia="zh-CN"/>
        </w:rPr>
        <w:fldChar w:fldCharType="end"/>
      </w:r>
      <w:r>
        <w:rPr>
          <w:rFonts w:hint="eastAsia"/>
          <w:lang w:eastAsia="zh-CN"/>
        </w:rPr>
        <w:instrText xml:space="preserve">)</w:instrText>
      </w:r>
      <w:r>
        <w:fldChar w:fldCharType="separate"/>
      </w:r>
      <w:r>
        <w:fldChar w:fldCharType="end"/>
      </w:r>
    </w:p>
    <w:p w14:paraId="16EEA012">
      <w:pPr>
        <w:pStyle w:val="30"/>
        <w:spacing w:before="0" w:beforeLines="0" w:after="0" w:afterLines="0"/>
      </w:pPr>
      <w:r>
        <w:tab/>
      </w:r>
      <w:r>
        <w:rPr>
          <w:position w:val="-12"/>
        </w:rPr>
        <w:object>
          <v:shape id="_x0000_i1076" o:spt="75" type="#_x0000_t75" style="height:20pt;width:125pt;" o:ole="t" filled="f" o:preferrelative="t" stroked="f" coordsize="21600,21600">
            <v:path/>
            <v:fill on="f" focussize="0,0"/>
            <v:stroke on="f" joinstyle="miter"/>
            <v:imagedata r:id="rId129" o:title=""/>
            <o:lock v:ext="edit" aspectratio="t"/>
            <w10:wrap type="none"/>
            <w10:anchorlock/>
          </v:shape>
          <o:OLEObject Type="Embed" ProgID="Equation.DSMT4" ShapeID="_x0000_i1076" DrawAspect="Content" ObjectID="_1468075776" r:id="rId128">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separate"/>
      </w:r>
      <w:r>
        <w:fldChar w:fldCharType="end"/>
      </w:r>
      <w:r>
        <w:rPr>
          <w:rFonts w:hint="eastAsia"/>
          <w:lang w:eastAsia="zh-CN"/>
        </w:rPr>
        <w:instrText xml:space="preserve">(</w:instrText>
      </w:r>
      <w:r>
        <w:rPr>
          <w:rFonts w:hint="eastAsia"/>
          <w:lang w:eastAsia="zh-CN"/>
        </w:rPr>
        <w:fldChar w:fldCharType="begin"/>
      </w:r>
      <w:r>
        <w:rPr>
          <w:rFonts w:hint="eastAsia"/>
          <w:lang w:eastAsia="zh-CN"/>
        </w:rPr>
        <w:instrText xml:space="preserve"> SEQ MTChap \c \* Arabic \* MERGEFORMAT </w:instrText>
      </w:r>
      <w:r>
        <w:rPr>
          <w:rFonts w:hint="eastAsia"/>
          <w:lang w:eastAsia="zh-CN"/>
        </w:rPr>
        <w:fldChar w:fldCharType="separate"/>
      </w:r>
      <w:r>
        <w:instrText xml:space="preserve">3</w:instrText>
      </w:r>
      <w:r>
        <w:rPr>
          <w:rFonts w:hint="eastAsia"/>
          <w:lang w:eastAsia="zh-CN"/>
        </w:rPr>
        <w:fldChar w:fldCharType="end"/>
      </w:r>
      <w:r>
        <w:rPr>
          <w:rFonts w:hint="eastAsia"/>
          <w:lang w:eastAsia="zh-CN"/>
        </w:rPr>
        <w:instrText xml:space="preserve">-</w:instrText>
      </w:r>
      <w:r>
        <w:rPr>
          <w:rFonts w:hint="eastAsia"/>
          <w:lang w:eastAsia="zh-CN"/>
        </w:rPr>
        <w:fldChar w:fldCharType="begin"/>
      </w:r>
      <w:r>
        <w:rPr>
          <w:rFonts w:hint="eastAsia"/>
          <w:lang w:eastAsia="zh-CN"/>
        </w:rPr>
        <w:instrText xml:space="preserve"> SEQ MTEqn \c \* Arabic \* MERGEFORMAT </w:instrText>
      </w:r>
      <w:r>
        <w:rPr>
          <w:rFonts w:hint="eastAsia"/>
          <w:lang w:eastAsia="zh-CN"/>
        </w:rPr>
        <w:fldChar w:fldCharType="separate"/>
      </w:r>
      <w:r>
        <w:instrText xml:space="preserve">9</w:instrText>
      </w:r>
      <w:r>
        <w:rPr>
          <w:rFonts w:hint="eastAsia"/>
          <w:lang w:eastAsia="zh-CN"/>
        </w:rPr>
        <w:fldChar w:fldCharType="end"/>
      </w:r>
      <w:r>
        <w:rPr>
          <w:rFonts w:hint="eastAsia"/>
          <w:lang w:eastAsia="zh-CN"/>
        </w:rPr>
        <w:instrText xml:space="preserve">)</w:instrText>
      </w:r>
      <w:r>
        <w:fldChar w:fldCharType="separate"/>
      </w:r>
      <w:r>
        <w:fldChar w:fldCharType="end"/>
      </w:r>
    </w:p>
    <w:p w14:paraId="5B7F8B8F">
      <w:pPr>
        <w:ind w:firstLine="480"/>
      </w:pPr>
      <w:r>
        <w:t>式中，</w:t>
      </w:r>
      <w:r>
        <w:rPr>
          <w:position w:val="-10"/>
        </w:rPr>
        <w:object>
          <v:shape id="_x0000_i1077" o:spt="75" type="#_x0000_t75" style="height:16pt;width:22pt;" o:ole="t" filled="f" o:preferrelative="t" stroked="f" coordsize="21600,21600">
            <v:path/>
            <v:fill on="f" focussize="0,0"/>
            <v:stroke on="f" joinstyle="miter"/>
            <v:imagedata r:id="rId131" o:title=""/>
            <o:lock v:ext="edit" aspectratio="t"/>
            <w10:wrap type="none"/>
            <w10:anchorlock/>
          </v:shape>
          <o:OLEObject Type="Embed" ProgID="Equation.DSMT4" ShapeID="_x0000_i1077" DrawAspect="Content" ObjectID="_1468075777" r:id="rId130">
            <o:LockedField>false</o:LockedField>
          </o:OLEObject>
        </w:object>
      </w:r>
      <w:r>
        <w:rPr>
          <w:rFonts w:hint="eastAsia"/>
          <w:lang w:val="en-US" w:eastAsia="zh-CN"/>
        </w:rPr>
        <w:t>是</w:t>
      </w:r>
      <w:r>
        <w:t>Sigmoid激活函数，</w:t>
      </w:r>
      <w:r>
        <w:rPr>
          <w:position w:val="-8"/>
        </w:rPr>
        <w:object>
          <v:shape id="_x0000_i1078" o:spt="75" type="#_x0000_t75" style="height:13.95pt;width:13pt;" o:ole="t" filled="f" o:preferrelative="t" stroked="f" coordsize="21600,21600">
            <v:path/>
            <v:fill on="f" focussize="0,0"/>
            <v:stroke on="f" joinstyle="miter"/>
            <v:imagedata r:id="rId133" o:title=""/>
            <o:lock v:ext="edit" aspectratio="t"/>
            <w10:wrap type="none"/>
            <w10:anchorlock/>
          </v:shape>
          <o:OLEObject Type="Embed" ProgID="Equation.DSMT4" ShapeID="_x0000_i1078" DrawAspect="Content" ObjectID="_1468075778" r:id="rId132">
            <o:LockedField>false</o:LockedField>
          </o:OLEObject>
        </w:object>
      </w:r>
      <w:r>
        <w:t>表示逐元素乘积，</w:t>
      </w:r>
      <w:r>
        <w:rPr>
          <w:position w:val="-14"/>
        </w:rPr>
        <w:object>
          <v:shape id="_x0000_i1079" o:spt="75" type="#_x0000_t75" style="height:20pt;width:67pt;" o:ole="t" filled="f" o:preferrelative="t" stroked="f" coordsize="21600,21600">
            <v:path/>
            <v:fill on="f" focussize="0,0"/>
            <v:stroke on="f" joinstyle="miter"/>
            <v:imagedata r:id="rId135" o:title=""/>
            <o:lock v:ext="edit" aspectratio="t"/>
            <w10:wrap type="none"/>
            <w10:anchorlock/>
          </v:shape>
          <o:OLEObject Type="Embed" ProgID="Equation.DSMT4" ShapeID="_x0000_i1079" DrawAspect="Content" ObjectID="_1468075779" r:id="rId134">
            <o:LockedField>false</o:LockedField>
          </o:OLEObject>
        </w:object>
      </w:r>
      <w:r>
        <w:rPr>
          <w:rFonts w:hint="eastAsia"/>
          <w:lang w:val="en-US" w:eastAsia="zh-CN"/>
        </w:rPr>
        <w:t>是</w:t>
      </w:r>
      <w:r>
        <w:t>可学习参数。重置门</w:t>
      </w:r>
      <w:r>
        <w:rPr>
          <w:position w:val="-6"/>
        </w:rPr>
        <w:object>
          <v:shape id="_x0000_i1080" o:spt="75" type="#_x0000_t75" style="height:11pt;width:10pt;" o:ole="t" filled="f" o:preferrelative="t" stroked="f" coordsize="21600,21600">
            <v:path/>
            <v:fill on="f" focussize="0,0"/>
            <v:stroke on="f" joinstyle="miter"/>
            <v:imagedata r:id="rId137" o:title=""/>
            <o:lock v:ext="edit" aspectratio="t"/>
            <w10:wrap type="none"/>
            <w10:anchorlock/>
          </v:shape>
          <o:OLEObject Type="Embed" ProgID="Equation.DSMT4" ShapeID="_x0000_i1080" DrawAspect="Content" ObjectID="_1468075780" r:id="rId136">
            <o:LockedField>false</o:LockedField>
          </o:OLEObject>
        </w:object>
      </w:r>
      <w:r>
        <w:t>控制历史信息的遗忘程度，更新门</w:t>
      </w:r>
      <w:r>
        <w:rPr>
          <w:position w:val="-6"/>
        </w:rPr>
        <w:object>
          <v:shape id="_x0000_i1081" o:spt="75" type="#_x0000_t75" style="height:11pt;width:11pt;" o:ole="t" filled="f" o:preferrelative="t" stroked="f" coordsize="21600,21600">
            <v:path/>
            <v:fill on="f" focussize="0,0"/>
            <v:stroke on="f" joinstyle="miter"/>
            <v:imagedata r:id="rId139" o:title=""/>
            <o:lock v:ext="edit" aspectratio="t"/>
            <w10:wrap type="none"/>
            <w10:anchorlock/>
          </v:shape>
          <o:OLEObject Type="Embed" ProgID="Equation.DSMT4" ShapeID="_x0000_i1081" DrawAspect="Content" ObjectID="_1468075781" r:id="rId138">
            <o:LockedField>false</o:LockedField>
          </o:OLEObject>
        </w:object>
      </w:r>
      <w:r>
        <w:t>平衡历史状态与当前候选状态的融合比例。</w:t>
      </w:r>
    </w:p>
    <w:p w14:paraId="4719CF8E">
      <w:pPr>
        <w:ind w:firstLine="480"/>
      </w:pPr>
      <w:r>
        <w:rPr>
          <w:rFonts w:hint="eastAsia"/>
        </w:rPr>
        <w:t>双向结构的好处很直观：正向GRU捕获由远及近的退化累积趋势，反向GRU则从后往前做运行状态回溯，两者拼在一起，对工况变化引起的退化速率局部波动有了更强的鲁棒性。</w:t>
      </w:r>
    </w:p>
    <w:p w14:paraId="443C55EC">
      <w:pPr>
        <w:pStyle w:val="4"/>
        <w:spacing w:before="120" w:after="120"/>
      </w:pPr>
      <w:bookmarkStart w:id="79" w:name="_Toc11345"/>
      <w:bookmarkStart w:id="80" w:name="_Toc9596"/>
      <w:r>
        <w:t>3.4.3 健康指标预测与RUL换算</w:t>
      </w:r>
      <w:bookmarkEnd w:id="79"/>
      <w:bookmarkEnd w:id="80"/>
    </w:p>
    <w:p w14:paraId="59B928AF">
      <w:pPr>
        <w:snapToGrid w:val="0"/>
        <w:ind w:firstLine="480"/>
      </w:pPr>
      <w:r>
        <w:rPr>
          <w:rFonts w:hint="eastAsia"/>
        </w:rPr>
        <w:t>本文的策略是直接预测归一化</w:t>
      </w:r>
      <w:r>
        <w:rPr>
          <w:rFonts w:hint="eastAsia"/>
          <w:lang w:val="en-US" w:eastAsia="zh-CN"/>
        </w:rPr>
        <w:t>的</w:t>
      </w:r>
      <w:r>
        <w:rPr>
          <w:rFonts w:hint="eastAsia"/>
        </w:rPr>
        <w:t>RUL比例。输出层单神经元，输出值1表示最大剩余寿命，0表示完全失效。监督标签采用前80%寿命恒定、后20%线性递减的分段线性策略，这么做能有效</w:t>
      </w:r>
      <w:r>
        <w:rPr>
          <w:rFonts w:hint="eastAsia"/>
          <w:lang w:val="en-US" w:eastAsia="zh-CN"/>
        </w:rPr>
        <w:t>减少</w:t>
      </w:r>
      <w:r>
        <w:rPr>
          <w:rFonts w:hint="eastAsia"/>
        </w:rPr>
        <w:t>标签误差</w:t>
      </w:r>
      <w:r>
        <w:rPr>
          <w:vertAlign w:val="superscript"/>
        </w:rPr>
        <w:fldChar w:fldCharType="begin"/>
      </w:r>
      <w:r>
        <w:instrText xml:space="preserve"> REF _Ref22549 \r \h  \* MERGEFORMAT</w:instrText>
      </w:r>
      <w:r>
        <w:rPr>
          <w:vertAlign w:val="superscript"/>
        </w:rPr>
        <w:fldChar w:fldCharType="separate"/>
      </w:r>
      <w:r>
        <w:rPr>
          <w:vertAlign w:val="superscript"/>
        </w:rPr>
        <w:t>[51]</w:t>
      </w:r>
      <w:r>
        <w:rPr>
          <w:vertAlign w:val="superscript"/>
        </w:rPr>
        <w:fldChar w:fldCharType="end"/>
      </w:r>
      <w:r>
        <w:t>。</w:t>
      </w:r>
      <w:r>
        <w:rPr>
          <w:rFonts w:hint="eastAsia"/>
        </w:rPr>
        <w:t>物理上的依据也</w:t>
      </w:r>
      <w:r>
        <w:rPr>
          <w:rFonts w:hint="eastAsia"/>
          <w:lang w:val="en-US" w:eastAsia="zh-CN"/>
        </w:rPr>
        <w:t>很</w:t>
      </w:r>
      <w:r>
        <w:rPr>
          <w:rFonts w:hint="eastAsia"/>
        </w:rPr>
        <w:t>清楚：轴承在服役初期一直处于健康平稳阶段，退化特征不明显，剩余寿命可以视作充足且相对恒定；当累积损伤越过某个临界点后，轴承进入显著退化期，剩余寿命迅速衰减直至失效。分段线性函数用极简的方式逼近了这一过程，更</w:t>
      </w:r>
      <w:r>
        <w:rPr>
          <w:rFonts w:hint="eastAsia"/>
          <w:lang w:val="en-US" w:eastAsia="zh-CN"/>
        </w:rPr>
        <w:t>为</w:t>
      </w:r>
      <w:r>
        <w:rPr>
          <w:rFonts w:hint="eastAsia"/>
        </w:rPr>
        <w:t>重要的是，它</w:t>
      </w:r>
      <w:r>
        <w:rPr>
          <w:rFonts w:hint="eastAsia"/>
          <w:lang w:eastAsia="zh-CN"/>
        </w:rPr>
        <w:t>使</w:t>
      </w:r>
      <w:r>
        <w:rPr>
          <w:rFonts w:hint="eastAsia"/>
        </w:rPr>
        <w:t>标签分布在源域和目标域之间保持严格一致，给跨工况域适应</w:t>
      </w:r>
      <w:r>
        <w:rPr>
          <w:rFonts w:hint="eastAsia"/>
          <w:lang w:val="en-US" w:eastAsia="zh-CN"/>
        </w:rPr>
        <w:t>打好了基础</w:t>
      </w:r>
      <w:r>
        <w:rPr>
          <w:rFonts w:hint="eastAsia"/>
        </w:rPr>
        <w:t>。</w:t>
      </w:r>
    </w:p>
    <w:p w14:paraId="2F5A9545">
      <w:pPr>
        <w:snapToGrid w:val="0"/>
        <w:ind w:firstLine="480"/>
      </w:pPr>
      <w:r>
        <w:t>当前时刻</w:t>
      </w:r>
      <w:r>
        <w:rPr>
          <w:position w:val="-6"/>
        </w:rPr>
        <w:object>
          <v:shape id="_x0000_i1082" o:spt="75" type="#_x0000_t75" style="height:12pt;width:9pt;" o:ole="t" filled="f" o:preferrelative="t" stroked="f" coordsize="21600,21600">
            <v:path/>
            <v:fill on="f" focussize="0,0"/>
            <v:stroke on="f" joinstyle="miter"/>
            <v:imagedata r:id="rId141" o:title=""/>
            <o:lock v:ext="edit" aspectratio="t"/>
            <w10:wrap type="none"/>
            <w10:anchorlock/>
          </v:shape>
          <o:OLEObject Type="Embed" ProgID="Equation.DSMT4" ShapeID="_x0000_i1082" DrawAspect="Content" ObjectID="_1468075782" r:id="rId140">
            <o:LockedField>false</o:LockedField>
          </o:OLEObject>
        </w:object>
      </w:r>
      <w:r>
        <w:t>的剩余使用寿命（分钟）由下式换算：</w:t>
      </w:r>
    </w:p>
    <w:p w14:paraId="411D4DC9">
      <w:pPr>
        <w:pStyle w:val="30"/>
        <w:spacing w:before="0" w:beforeLines="0" w:after="0" w:afterLines="0"/>
      </w:pPr>
      <w:r>
        <w:tab/>
      </w:r>
      <w:r>
        <w:rPr>
          <w:position w:val="-12"/>
        </w:rPr>
        <w:object>
          <v:shape id="_x0000_i1083" o:spt="75" type="#_x0000_t75" style="height:18pt;width:81pt;" o:ole="t" filled="f" o:preferrelative="t" stroked="f" coordsize="21600,21600">
            <v:path/>
            <v:fill on="f" focussize="0,0"/>
            <v:stroke on="f" joinstyle="miter"/>
            <v:imagedata r:id="rId143" o:title=""/>
            <o:lock v:ext="edit" aspectratio="t"/>
            <w10:wrap type="none"/>
            <w10:anchorlock/>
          </v:shape>
          <o:OLEObject Type="Embed" ProgID="Equation.DSMT4" ShapeID="_x0000_i1083" DrawAspect="Content" ObjectID="_1468075783" r:id="rId142">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separate"/>
      </w:r>
      <w:r>
        <w:fldChar w:fldCharType="end"/>
      </w:r>
      <w:r>
        <w:rPr>
          <w:rFonts w:hint="eastAsia"/>
          <w:lang w:eastAsia="zh-CN"/>
        </w:rPr>
        <w:instrText xml:space="preserve">(</w:instrText>
      </w:r>
      <w:r>
        <w:rPr>
          <w:rFonts w:hint="eastAsia"/>
          <w:lang w:eastAsia="zh-CN"/>
        </w:rPr>
        <w:fldChar w:fldCharType="begin"/>
      </w:r>
      <w:r>
        <w:rPr>
          <w:rFonts w:hint="eastAsia"/>
          <w:lang w:eastAsia="zh-CN"/>
        </w:rPr>
        <w:instrText xml:space="preserve"> SEQ MTChap \c \* Arabic \* MERGEFORMAT </w:instrText>
      </w:r>
      <w:r>
        <w:rPr>
          <w:rFonts w:hint="eastAsia"/>
          <w:lang w:eastAsia="zh-CN"/>
        </w:rPr>
        <w:fldChar w:fldCharType="separate"/>
      </w:r>
      <w:r>
        <w:instrText xml:space="preserve">3</w:instrText>
      </w:r>
      <w:r>
        <w:rPr>
          <w:rFonts w:hint="eastAsia"/>
          <w:lang w:eastAsia="zh-CN"/>
        </w:rPr>
        <w:fldChar w:fldCharType="end"/>
      </w:r>
      <w:r>
        <w:rPr>
          <w:rFonts w:hint="eastAsia"/>
          <w:lang w:eastAsia="zh-CN"/>
        </w:rPr>
        <w:instrText xml:space="preserve">-</w:instrText>
      </w:r>
      <w:r>
        <w:rPr>
          <w:rFonts w:hint="eastAsia"/>
          <w:lang w:eastAsia="zh-CN"/>
        </w:rPr>
        <w:fldChar w:fldCharType="begin"/>
      </w:r>
      <w:r>
        <w:rPr>
          <w:rFonts w:hint="eastAsia"/>
          <w:lang w:eastAsia="zh-CN"/>
        </w:rPr>
        <w:instrText xml:space="preserve"> SEQ MTEqn \c \* Arabic \* MERGEFORMAT </w:instrText>
      </w:r>
      <w:r>
        <w:rPr>
          <w:rFonts w:hint="eastAsia"/>
          <w:lang w:eastAsia="zh-CN"/>
        </w:rPr>
        <w:fldChar w:fldCharType="separate"/>
      </w:r>
      <w:r>
        <w:instrText xml:space="preserve">10</w:instrText>
      </w:r>
      <w:r>
        <w:rPr>
          <w:rFonts w:hint="eastAsia"/>
          <w:lang w:eastAsia="zh-CN"/>
        </w:rPr>
        <w:fldChar w:fldCharType="end"/>
      </w:r>
      <w:r>
        <w:rPr>
          <w:rFonts w:hint="eastAsia"/>
          <w:lang w:eastAsia="zh-CN"/>
        </w:rPr>
        <w:instrText xml:space="preserve">)</w:instrText>
      </w:r>
      <w:r>
        <w:fldChar w:fldCharType="separate"/>
      </w:r>
      <w:r>
        <w:fldChar w:fldCharType="end"/>
      </w:r>
    </w:p>
    <w:p w14:paraId="1C3DEA12">
      <w:pPr>
        <w:snapToGrid w:val="0"/>
        <w:ind w:firstLine="480"/>
      </w:pPr>
      <w:r>
        <w:t>式中，</w:t>
      </w:r>
      <w:r>
        <w:rPr>
          <w:position w:val="-6"/>
        </w:rPr>
        <w:object>
          <v:shape id="_x0000_i1084" o:spt="75" type="#_x0000_t75" style="height:13.95pt;width:24.95pt;" o:ole="t" filled="f" o:preferrelative="t" stroked="f" coordsize="21600,21600">
            <v:path/>
            <v:fill on="f" focussize="0,0"/>
            <v:stroke on="f" joinstyle="miter"/>
            <v:imagedata r:id="rId145" o:title=""/>
            <o:lock v:ext="edit" aspectratio="t"/>
            <w10:wrap type="none"/>
            <w10:anchorlock/>
          </v:shape>
          <o:OLEObject Type="Embed" ProgID="Equation.DSMT4" ShapeID="_x0000_i1084" DrawAspect="Content" ObjectID="_1468075784" r:id="rId144">
            <o:LockedField>false</o:LockedField>
          </o:OLEObject>
        </w:object>
      </w:r>
      <w:r>
        <w:rPr>
          <w:rFonts w:hint="eastAsia"/>
          <w:lang w:val="en-US" w:eastAsia="zh-CN"/>
        </w:rPr>
        <w:t>是</w:t>
      </w:r>
      <w:r>
        <w:t>该轴承的全寿命总时长</w:t>
      </w:r>
      <w:r>
        <w:rPr>
          <w:rFonts w:hint="eastAsia"/>
          <w:lang w:eastAsia="zh-CN"/>
        </w:rPr>
        <w:t>，</w:t>
      </w:r>
      <w:r>
        <w:t>单位</w:t>
      </w:r>
      <w:r>
        <w:rPr>
          <w:rFonts w:hint="eastAsia"/>
          <w:lang w:val="en-US" w:eastAsia="zh-CN"/>
        </w:rPr>
        <w:t>是</w:t>
      </w:r>
      <w:r>
        <w:t>分钟。XJTU-SY数据集采样间隔为1分钟，</w:t>
      </w:r>
      <w:r>
        <w:rPr>
          <w:rFonts w:hint="eastAsia"/>
          <w:lang w:val="en-US" w:eastAsia="zh-CN"/>
        </w:rPr>
        <w:t>所以</w:t>
      </w:r>
      <w:r>
        <w:rPr>
          <w:position w:val="-6"/>
        </w:rPr>
        <w:object>
          <v:shape id="_x0000_i1085" o:spt="75" type="#_x0000_t75" style="height:13.95pt;width:24pt;" o:ole="t" filled="f" o:preferrelative="t" stroked="f" coordsize="21600,21600">
            <v:path/>
            <v:fill on="f" focussize="0,0"/>
            <v:stroke on="f" joinstyle="miter"/>
            <v:imagedata r:id="rId147" o:title=""/>
            <o:lock v:ext="edit" aspectratio="t"/>
            <w10:wrap type="none"/>
            <w10:anchorlock/>
          </v:shape>
          <o:OLEObject Type="Embed" ProgID="Equation.DSMT4" ShapeID="_x0000_i1085" DrawAspect="Content" ObjectID="_1468075785" r:id="rId146">
            <o:LockedField>false</o:LockedField>
          </o:OLEObject>
        </w:object>
      </w:r>
      <w:r>
        <w:t>等于轴承从开始运行至完全失效所经历的总采样点数。</w:t>
      </w:r>
    </w:p>
    <w:p w14:paraId="7BA82096">
      <w:pPr>
        <w:snapToGrid w:val="0"/>
        <w:ind w:firstLine="480"/>
        <w:rPr>
          <w:rFonts w:hint="eastAsia"/>
        </w:rPr>
      </w:pPr>
      <w:r>
        <w:rPr>
          <w:rFonts w:hint="eastAsia"/>
        </w:rPr>
        <w:t>为了直观展示退化趋势，</w:t>
      </w:r>
      <w:r>
        <w:rPr>
          <w:rFonts w:hint="eastAsia"/>
          <w:lang w:val="en-US" w:eastAsia="zh-CN"/>
        </w:rPr>
        <w:t>本文</w:t>
      </w:r>
      <w:r>
        <w:rPr>
          <w:rFonts w:hint="eastAsia"/>
        </w:rPr>
        <w:t>用PCA把140维特征降到一维，再取累积最大值归一化到[0,1]，构建了一条单调递增的HI曲线当作辅助可视化工具。PCA取第一主成分，保留了原始特征里方差最大的那个投影方向；累积最大值处理则保证了HI的单调递增性，能直观反映轴承从健康到失效的不可逆退化过程。HI纯粹用于可视化和辅助分析，不参与模型训练，也不参与RUL标签构造。训练目标是独立于HI的分段线性RUL标签——这样一来，RUL标签的分布就完全脱离了具体工况退化速率的约束，避免了传统方法里PCA累积最大值在不同工况下尺度不一致导致的标签分布偏移。</w:t>
      </w:r>
    </w:p>
    <w:p w14:paraId="308FD9FB">
      <w:pPr>
        <w:snapToGrid w:val="0"/>
        <w:ind w:firstLine="480"/>
      </w:pPr>
      <w:r>
        <w:t>模型评估阶段，跨工况</w:t>
      </w:r>
      <w:r>
        <w:rPr>
          <w:rFonts w:hint="eastAsia"/>
        </w:rPr>
        <w:t>时</w:t>
      </w:r>
      <w:r>
        <w:t>目标域测试集的真实RUL由预处理阶段保存的真实RUL比例</w:t>
      </w:r>
      <w:r>
        <w:rPr>
          <w:position w:val="-10"/>
        </w:rPr>
        <w:object>
          <v:shape id="_x0000_i1086" o:spt="75" type="#_x0000_t75" style="height:13pt;width:13pt;" o:ole="t" filled="f" o:preferrelative="t" stroked="f" coordsize="21600,21600">
            <v:path/>
            <v:fill on="f" focussize="0,0"/>
            <v:stroke on="f" joinstyle="miter"/>
            <v:imagedata r:id="rId149" o:title=""/>
            <o:lock v:ext="edit" aspectratio="t"/>
            <w10:wrap type="none"/>
            <w10:anchorlock/>
          </v:shape>
          <o:OLEObject Type="Embed" ProgID="Equation.DSMT4" ShapeID="_x0000_i1086" DrawAspect="Content" ObjectID="_1468075786" r:id="rId148">
            <o:LockedField>false</o:LockedField>
          </o:OLEObject>
        </w:object>
      </w:r>
      <w:r>
        <w:t>乘以相应的总寿命</w:t>
      </w:r>
      <w:r>
        <w:rPr>
          <w:position w:val="-6"/>
        </w:rPr>
        <w:object>
          <v:shape id="_x0000_i1087" o:spt="75" type="#_x0000_t75" style="height:13.95pt;width:23pt;" o:ole="t" filled="f" o:preferrelative="t" stroked="f" coordsize="21600,21600">
            <v:path/>
            <v:fill on="f" focussize="0,0"/>
            <v:stroke on="f" joinstyle="miter"/>
            <v:imagedata r:id="rId151" o:title=""/>
            <o:lock v:ext="edit" aspectratio="t"/>
            <w10:wrap type="none"/>
            <w10:anchorlock/>
          </v:shape>
          <o:OLEObject Type="Embed" ProgID="Equation.DSMT4" ShapeID="_x0000_i1087" DrawAspect="Content" ObjectID="_1468075787" r:id="rId150">
            <o:LockedField>false</o:LockedField>
          </o:OLEObject>
        </w:object>
      </w:r>
      <w:r>
        <w:t>得到</w:t>
      </w:r>
      <w:r>
        <w:rPr>
          <w:color w:val="4F81BD" w:themeColor="accent1"/>
          <w14:textFill>
            <w14:solidFill>
              <w14:schemeClr w14:val="accent1"/>
            </w14:solidFill>
          </w14:textFill>
        </w:rPr>
        <w:t>，</w:t>
      </w:r>
      <w:r>
        <w:t>即</w:t>
      </w:r>
      <w:r>
        <w:rPr>
          <w:position w:val="-12"/>
        </w:rPr>
        <w:object>
          <v:shape id="_x0000_i1088" o:spt="75" type="#_x0000_t75" style="height:19pt;width:95pt;" o:ole="t" filled="f" o:preferrelative="t" stroked="f" coordsize="21600,21600">
            <v:path/>
            <v:fill on="f" focussize="0,0"/>
            <v:stroke on="f" joinstyle="miter"/>
            <v:imagedata r:id="rId153" o:title=""/>
            <o:lock v:ext="edit" aspectratio="t"/>
            <w10:wrap type="none"/>
            <w10:anchorlock/>
          </v:shape>
          <o:OLEObject Type="Embed" ProgID="Equation.DSMT4" ShapeID="_x0000_i1088" DrawAspect="Content" ObjectID="_1468075788" r:id="rId152">
            <o:LockedField>false</o:LockedField>
          </o:OLEObject>
        </w:object>
      </w:r>
      <w:r>
        <w:t>。</w:t>
      </w:r>
      <w:r>
        <w:rPr>
          <w:rFonts w:hint="eastAsia"/>
        </w:rPr>
        <w:t>单工况评估不存在域偏移</w:t>
      </w:r>
      <w:r>
        <w:t>，预测RUL经裁剪至</w:t>
      </w:r>
      <w:r>
        <w:rPr>
          <w:position w:val="-14"/>
        </w:rPr>
        <w:object>
          <v:shape id="_x0000_i1089" o:spt="75" type="#_x0000_t75" style="height:20pt;width:45pt;" o:ole="t" filled="f" o:preferrelative="t" stroked="f" coordsize="21600,21600">
            <v:path/>
            <v:fill on="f" focussize="0,0"/>
            <v:stroke on="f" joinstyle="miter"/>
            <v:imagedata r:id="rId155" o:title=""/>
            <o:lock v:ext="edit" aspectratio="t"/>
            <w10:wrap type="none"/>
            <w10:anchorlock/>
          </v:shape>
          <o:OLEObject Type="Embed" ProgID="Equation.DSMT4" ShapeID="_x0000_i1089" DrawAspect="Content" ObjectID="_1468075789" r:id="rId154">
            <o:LockedField>false</o:LockedField>
          </o:OLEObject>
        </w:object>
      </w:r>
      <w:r>
        <w:t>后直接与真实值比较；</w:t>
      </w:r>
      <w:r>
        <w:rPr>
          <w:rFonts w:hint="eastAsia"/>
        </w:rPr>
        <w:t>跨工况评估则要先走一遍验证集缩放因子校正，再算各项</w:t>
      </w:r>
      <w:r>
        <w:rPr>
          <w:rFonts w:hint="eastAsia"/>
          <w:lang w:val="en-US" w:eastAsia="zh-CN"/>
        </w:rPr>
        <w:t>评价</w:t>
      </w:r>
      <w:r>
        <w:rPr>
          <w:rFonts w:hint="eastAsia"/>
        </w:rPr>
        <w:t>指标。</w:t>
      </w:r>
    </w:p>
    <w:p w14:paraId="19AA3FD0">
      <w:pPr>
        <w:pStyle w:val="3"/>
        <w:spacing w:before="120" w:after="120"/>
      </w:pPr>
      <w:bookmarkStart w:id="81" w:name="_Toc19563"/>
      <w:bookmarkStart w:id="82" w:name="_Toc16142"/>
      <w:r>
        <w:t>3.5 SE-ResNet+BiGRU模型融合与训练策略</w:t>
      </w:r>
      <w:bookmarkEnd w:id="81"/>
      <w:bookmarkEnd w:id="82"/>
    </w:p>
    <w:p w14:paraId="335EC8EF">
      <w:pPr>
        <w:pStyle w:val="4"/>
        <w:spacing w:before="120" w:after="120"/>
      </w:pPr>
      <w:bookmarkStart w:id="83" w:name="_Toc3895"/>
      <w:bookmarkStart w:id="84" w:name="_Toc19024"/>
      <w:r>
        <w:t>3.5.1 特征融合策略与模型端到端训练逻辑</w:t>
      </w:r>
      <w:bookmarkEnd w:id="83"/>
      <w:bookmarkEnd w:id="84"/>
    </w:p>
    <w:p w14:paraId="2C522657">
      <w:pPr>
        <w:ind w:firstLine="480"/>
        <w:rPr>
          <w:rFonts w:hint="eastAsia"/>
        </w:rPr>
      </w:pPr>
      <w:r>
        <w:rPr>
          <w:rFonts w:hint="eastAsia"/>
        </w:rPr>
        <w:t>SE-ResNet和BiGRU按“特征提取—时序建模—全连接输出”的顺序串起来，整个模型端到端可微。前向过程就是：输入特征序列转置后依次过ResBlock1和ResBlock2做深度特征提取，再转置送入BiGRU抓双向时序依赖，最后取序列末尾隐状态，</w:t>
      </w:r>
      <w:r>
        <w:rPr>
          <w:rFonts w:hint="eastAsia"/>
          <w:lang w:val="en-US" w:eastAsia="zh-CN"/>
        </w:rPr>
        <w:t>最后</w:t>
      </w:r>
      <w:r>
        <w:rPr>
          <w:rFonts w:hint="eastAsia"/>
        </w:rPr>
        <w:t>经Dropout后由全连接层输出标量预测值。</w:t>
      </w:r>
    </w:p>
    <w:p w14:paraId="394056AB">
      <w:pPr>
        <w:ind w:firstLine="480"/>
      </w:pPr>
      <w:r>
        <w:rPr>
          <w:rFonts w:hint="eastAsia"/>
        </w:rPr>
        <w:t>训练时主监督损失</w:t>
      </w:r>
      <w:r>
        <w:rPr>
          <w:rFonts w:hint="eastAsia"/>
          <w:lang w:val="en-US" w:eastAsia="zh-CN"/>
        </w:rPr>
        <w:t>使</w:t>
      </w:r>
      <w:r>
        <w:rPr>
          <w:rFonts w:hint="eastAsia"/>
        </w:rPr>
        <w:t>用加权MSE。退化晚期的预测对</w:t>
      </w:r>
      <w:r>
        <w:rPr>
          <w:rFonts w:hint="eastAsia"/>
          <w:lang w:val="en-US" w:eastAsia="zh-CN"/>
        </w:rPr>
        <w:t>于</w:t>
      </w:r>
      <w:r>
        <w:rPr>
          <w:rFonts w:hint="eastAsia"/>
        </w:rPr>
        <w:t>安全预警</w:t>
      </w:r>
      <w:r>
        <w:rPr>
          <w:rFonts w:hint="eastAsia"/>
          <w:lang w:val="en-US" w:eastAsia="zh-CN"/>
        </w:rPr>
        <w:t>更加</w:t>
      </w:r>
      <w:r>
        <w:rPr>
          <w:rFonts w:hint="eastAsia"/>
        </w:rPr>
        <w:t>关键，所以对加速退化期的样本给了更高权重，这套做法在多项研究里都证明能提升安全预警性能</w:t>
      </w:r>
      <w:r>
        <w:rPr>
          <w:vertAlign w:val="superscript"/>
        </w:rPr>
        <w:fldChar w:fldCharType="begin"/>
      </w:r>
      <w:r>
        <w:instrText xml:space="preserve"> REF _Ref5192 \r \h  \* MERGEFORMAT</w:instrText>
      </w:r>
      <w:r>
        <w:rPr>
          <w:vertAlign w:val="superscript"/>
        </w:rPr>
        <w:fldChar w:fldCharType="separate"/>
      </w:r>
      <w:r>
        <w:rPr>
          <w:vertAlign w:val="superscript"/>
        </w:rPr>
        <w:t>[12]</w:t>
      </w:r>
      <w:r>
        <w:rPr>
          <w:vertAlign w:val="superscript"/>
        </w:rPr>
        <w:fldChar w:fldCharType="end"/>
      </w:r>
      <w:r>
        <w:rPr>
          <w:vertAlign w:val="superscript"/>
        </w:rPr>
        <w:fldChar w:fldCharType="begin"/>
      </w:r>
      <w:r>
        <w:instrText xml:space="preserve"> REF _Ref5783 \r \h  \* MERGEFORMAT</w:instrText>
      </w:r>
      <w:r>
        <w:rPr>
          <w:vertAlign w:val="superscript"/>
        </w:rPr>
        <w:fldChar w:fldCharType="separate"/>
      </w:r>
      <w:r>
        <w:rPr>
          <w:vertAlign w:val="superscript"/>
        </w:rPr>
        <w:t>[26]</w:t>
      </w:r>
      <w:r>
        <w:rPr>
          <w:vertAlign w:val="superscript"/>
        </w:rPr>
        <w:fldChar w:fldCharType="end"/>
      </w:r>
      <w:r>
        <w:t>。具体公式为：</w:t>
      </w:r>
    </w:p>
    <w:p w14:paraId="7449A872">
      <w:pPr>
        <w:pStyle w:val="30"/>
        <w:spacing w:before="120" w:beforeLines="50" w:after="240"/>
      </w:pPr>
      <w:r>
        <w:tab/>
      </w:r>
      <w:r>
        <w:rPr>
          <w:position w:val="-30"/>
        </w:rPr>
        <w:object>
          <v:shape id="_x0000_i1090" o:spt="75" type="#_x0000_t75" style="height:36pt;width:227pt;" o:ole="t" filled="f" o:preferrelative="t" stroked="f" coordsize="21600,21600">
            <v:path/>
            <v:fill on="f" focussize="0,0"/>
            <v:stroke on="f" joinstyle="miter"/>
            <v:imagedata r:id="rId157" o:title=""/>
            <o:lock v:ext="edit" aspectratio="t"/>
            <w10:wrap type="none"/>
            <w10:anchorlock/>
          </v:shape>
          <o:OLEObject Type="Embed" ProgID="Equation.DSMT4" ShapeID="_x0000_i1090" DrawAspect="Content" ObjectID="_1468075790" r:id="rId156">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separate"/>
      </w:r>
      <w:r>
        <w:fldChar w:fldCharType="end"/>
      </w:r>
      <w:r>
        <w:rPr>
          <w:rFonts w:hint="eastAsia"/>
          <w:lang w:eastAsia="zh-CN"/>
        </w:rPr>
        <w:instrText xml:space="preserve">(</w:instrText>
      </w:r>
      <w:r>
        <w:rPr>
          <w:rFonts w:hint="eastAsia"/>
          <w:lang w:eastAsia="zh-CN"/>
        </w:rPr>
        <w:fldChar w:fldCharType="begin"/>
      </w:r>
      <w:r>
        <w:rPr>
          <w:rFonts w:hint="eastAsia"/>
          <w:lang w:eastAsia="zh-CN"/>
        </w:rPr>
        <w:instrText xml:space="preserve"> SEQ MTChap \c \* Arabic \* MERGEFORMAT </w:instrText>
      </w:r>
      <w:r>
        <w:rPr>
          <w:rFonts w:hint="eastAsia"/>
          <w:lang w:eastAsia="zh-CN"/>
        </w:rPr>
        <w:fldChar w:fldCharType="separate"/>
      </w:r>
      <w:r>
        <w:instrText xml:space="preserve">3</w:instrText>
      </w:r>
      <w:r>
        <w:rPr>
          <w:rFonts w:hint="eastAsia"/>
          <w:lang w:eastAsia="zh-CN"/>
        </w:rPr>
        <w:fldChar w:fldCharType="end"/>
      </w:r>
      <w:r>
        <w:rPr>
          <w:rFonts w:hint="eastAsia"/>
          <w:lang w:eastAsia="zh-CN"/>
        </w:rPr>
        <w:instrText xml:space="preserve">-</w:instrText>
      </w:r>
      <w:r>
        <w:rPr>
          <w:rFonts w:hint="eastAsia"/>
          <w:lang w:eastAsia="zh-CN"/>
        </w:rPr>
        <w:fldChar w:fldCharType="begin"/>
      </w:r>
      <w:r>
        <w:rPr>
          <w:rFonts w:hint="eastAsia"/>
          <w:lang w:eastAsia="zh-CN"/>
        </w:rPr>
        <w:instrText xml:space="preserve"> SEQ MTEqn \c \* Arabic \* MERGEFORMAT </w:instrText>
      </w:r>
      <w:r>
        <w:rPr>
          <w:rFonts w:hint="eastAsia"/>
          <w:lang w:eastAsia="zh-CN"/>
        </w:rPr>
        <w:fldChar w:fldCharType="separate"/>
      </w:r>
      <w:r>
        <w:instrText xml:space="preserve">11</w:instrText>
      </w:r>
      <w:r>
        <w:rPr>
          <w:rFonts w:hint="eastAsia"/>
          <w:lang w:eastAsia="zh-CN"/>
        </w:rPr>
        <w:fldChar w:fldCharType="end"/>
      </w:r>
      <w:r>
        <w:rPr>
          <w:rFonts w:hint="eastAsia"/>
          <w:lang w:eastAsia="zh-CN"/>
        </w:rPr>
        <w:instrText xml:space="preserve">)</w:instrText>
      </w:r>
      <w:r>
        <w:fldChar w:fldCharType="separate"/>
      </w:r>
      <w:r>
        <w:fldChar w:fldCharType="end"/>
      </w:r>
    </w:p>
    <w:p w14:paraId="48D024CF">
      <w:pPr>
        <w:snapToGrid w:val="0"/>
        <w:ind w:firstLine="480"/>
      </w:pPr>
      <w:r>
        <w:t>式中，</w:t>
      </w:r>
      <w:r>
        <w:rPr>
          <w:position w:val="-10"/>
        </w:rPr>
        <w:object>
          <v:shape id="_x0000_i1091" o:spt="75" type="#_x0000_t75" style="height:13pt;width:12pt;" o:ole="t" filled="f" o:preferrelative="t" stroked="f" coordsize="21600,21600">
            <v:path/>
            <v:fill on="f" focussize="0,0"/>
            <v:stroke on="f" joinstyle="miter"/>
            <v:imagedata r:id="rId159" o:title=""/>
            <o:lock v:ext="edit" aspectratio="t"/>
            <w10:wrap type="none"/>
            <w10:anchorlock/>
          </v:shape>
          <o:OLEObject Type="Embed" ProgID="Equation.DSMT4" ShapeID="_x0000_i1091" DrawAspect="Content" ObjectID="_1468075791" r:id="rId158">
            <o:LockedField>false</o:LockedField>
          </o:OLEObject>
        </w:object>
      </w:r>
      <w:r>
        <w:rPr>
          <w:rFonts w:hint="eastAsia"/>
        </w:rPr>
        <w:t>为分段线性标签（1→0递减），对应最后的加速退化期，权重×2。这么加权的物理意义很</w:t>
      </w:r>
      <w:r>
        <w:rPr>
          <w:rFonts w:hint="eastAsia"/>
          <w:lang w:val="en-US" w:eastAsia="zh-CN"/>
        </w:rPr>
        <w:t>明显</w:t>
      </w:r>
      <w:r>
        <w:rPr>
          <w:rFonts w:hint="eastAsia"/>
        </w:rPr>
        <w:t>：轴承快不行的时候剩余寿命极短，预测误差的容忍度更低，提前且准确地预警失效时刻对设备安全至关重要；而在健康平稳期，剩余寿命充裕，预测精度的重要性相对</w:t>
      </w:r>
      <w:r>
        <w:rPr>
          <w:rFonts w:hint="eastAsia"/>
          <w:lang w:val="en-US" w:eastAsia="zh-CN"/>
        </w:rPr>
        <w:t>来说</w:t>
      </w:r>
      <w:r>
        <w:rPr>
          <w:rFonts w:hint="eastAsia"/>
        </w:rPr>
        <w:t>低一些。</w:t>
      </w:r>
      <w:r>
        <w:rPr>
          <w:rFonts w:hint="eastAsia"/>
          <w:lang w:val="en-US" w:eastAsia="zh-CN"/>
        </w:rPr>
        <w:t>用来</w:t>
      </w:r>
      <w:r>
        <w:rPr>
          <w:rFonts w:hint="eastAsia"/>
        </w:rPr>
        <w:t>差异化加权，优化重心</w:t>
      </w:r>
      <w:r>
        <w:rPr>
          <w:rFonts w:hint="eastAsia"/>
          <w:lang w:val="en-US" w:eastAsia="zh-CN"/>
        </w:rPr>
        <w:t>会</w:t>
      </w:r>
      <w:r>
        <w:rPr>
          <w:rFonts w:hint="eastAsia"/>
        </w:rPr>
        <w:t>向关键退化区间倾斜，</w:t>
      </w:r>
      <w:r>
        <w:rPr>
          <w:rFonts w:hint="eastAsia"/>
          <w:lang w:val="en-US" w:eastAsia="zh-CN"/>
        </w:rPr>
        <w:t>很</w:t>
      </w:r>
      <w:r>
        <w:rPr>
          <w:rFonts w:hint="eastAsia"/>
        </w:rPr>
        <w:t>契合工业PHM“安全预警优先”的核心需求。</w:t>
      </w:r>
    </w:p>
    <w:p w14:paraId="7420FBBA">
      <w:pPr>
        <w:snapToGrid w:val="0"/>
        <w:ind w:firstLine="480"/>
      </w:pPr>
      <w:r>
        <w:t>跨工况训练时，额外引入多核最大均值差异（MK-MMD）域适应损失：</w:t>
      </w:r>
    </w:p>
    <w:p w14:paraId="3066094E">
      <w:pPr>
        <w:pStyle w:val="30"/>
        <w:spacing w:before="120" w:beforeLines="50" w:after="240"/>
      </w:pPr>
      <w:r>
        <w:tab/>
      </w:r>
      <w:r>
        <w:rPr>
          <w:position w:val="-28"/>
        </w:rPr>
        <w:object>
          <v:shape id="_x0000_i1092" o:spt="75" type="#_x0000_t75" style="height:34pt;width:141pt;" o:ole="t" filled="f" o:preferrelative="t" stroked="f" coordsize="21600,21600">
            <v:path/>
            <v:fill on="f" focussize="0,0"/>
            <v:stroke on="f" joinstyle="miter"/>
            <v:imagedata r:id="rId161" o:title=""/>
            <o:lock v:ext="edit" aspectratio="t"/>
            <w10:wrap type="none"/>
            <w10:anchorlock/>
          </v:shape>
          <o:OLEObject Type="Embed" ProgID="Equation.DSMT4" ShapeID="_x0000_i1092" DrawAspect="Content" ObjectID="_1468075792" r:id="rId160">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separate"/>
      </w:r>
      <w:r>
        <w:fldChar w:fldCharType="end"/>
      </w:r>
      <w:r>
        <w:rPr>
          <w:rFonts w:hint="eastAsia"/>
          <w:lang w:eastAsia="zh-CN"/>
        </w:rPr>
        <w:instrText xml:space="preserve">(</w:instrText>
      </w:r>
      <w:r>
        <w:rPr>
          <w:rFonts w:hint="eastAsia"/>
          <w:lang w:eastAsia="zh-CN"/>
        </w:rPr>
        <w:fldChar w:fldCharType="begin"/>
      </w:r>
      <w:r>
        <w:rPr>
          <w:rFonts w:hint="eastAsia"/>
          <w:lang w:eastAsia="zh-CN"/>
        </w:rPr>
        <w:instrText xml:space="preserve"> SEQ MTChap \c \* Arabic \* MERGEFORMAT </w:instrText>
      </w:r>
      <w:r>
        <w:rPr>
          <w:rFonts w:hint="eastAsia"/>
          <w:lang w:eastAsia="zh-CN"/>
        </w:rPr>
        <w:fldChar w:fldCharType="separate"/>
      </w:r>
      <w:r>
        <w:instrText xml:space="preserve">3</w:instrText>
      </w:r>
      <w:r>
        <w:rPr>
          <w:rFonts w:hint="eastAsia"/>
          <w:lang w:eastAsia="zh-CN"/>
        </w:rPr>
        <w:fldChar w:fldCharType="end"/>
      </w:r>
      <w:r>
        <w:rPr>
          <w:rFonts w:hint="eastAsia"/>
          <w:lang w:eastAsia="zh-CN"/>
        </w:rPr>
        <w:instrText xml:space="preserve">-</w:instrText>
      </w:r>
      <w:r>
        <w:rPr>
          <w:rFonts w:hint="eastAsia"/>
          <w:lang w:eastAsia="zh-CN"/>
        </w:rPr>
        <w:fldChar w:fldCharType="begin"/>
      </w:r>
      <w:r>
        <w:rPr>
          <w:rFonts w:hint="eastAsia"/>
          <w:lang w:eastAsia="zh-CN"/>
        </w:rPr>
        <w:instrText xml:space="preserve"> SEQ MTEqn \c \* Arabic \* MERGEFORMAT </w:instrText>
      </w:r>
      <w:r>
        <w:rPr>
          <w:rFonts w:hint="eastAsia"/>
          <w:lang w:eastAsia="zh-CN"/>
        </w:rPr>
        <w:fldChar w:fldCharType="separate"/>
      </w:r>
      <w:r>
        <w:instrText xml:space="preserve">12</w:instrText>
      </w:r>
      <w:r>
        <w:rPr>
          <w:rFonts w:hint="eastAsia"/>
          <w:lang w:eastAsia="zh-CN"/>
        </w:rPr>
        <w:fldChar w:fldCharType="end"/>
      </w:r>
      <w:r>
        <w:rPr>
          <w:rFonts w:hint="eastAsia"/>
          <w:lang w:eastAsia="zh-CN"/>
        </w:rPr>
        <w:instrText xml:space="preserve">)</w:instrText>
      </w:r>
      <w:r>
        <w:fldChar w:fldCharType="separate"/>
      </w:r>
      <w:r>
        <w:fldChar w:fldCharType="end"/>
      </w:r>
    </w:p>
    <w:p w14:paraId="557FBD31">
      <w:pPr>
        <w:snapToGrid w:val="0"/>
        <w:ind w:firstLine="480"/>
      </w:pPr>
      <w:r>
        <w:t>式中，</w:t>
      </w:r>
      <w:r>
        <w:rPr>
          <w:position w:val="-10"/>
        </w:rPr>
        <w:object>
          <v:shape id="_x0000_i1093" o:spt="75" type="#_x0000_t75" style="height:16pt;width:42.95pt;" o:ole="t" filled="f" o:preferrelative="t" stroked="f" coordsize="21600,21600">
            <v:path/>
            <v:fill on="f" focussize="0,0"/>
            <v:stroke on="f" joinstyle="miter"/>
            <v:imagedata r:id="rId163" o:title=""/>
            <o:lock v:ext="edit" aspectratio="t"/>
            <w10:wrap type="none"/>
            <w10:anchorlock/>
          </v:shape>
          <o:OLEObject Type="Embed" ProgID="Equation.DSMT4" ShapeID="_x0000_i1093" DrawAspect="Content" ObjectID="_1468075793" r:id="rId162">
            <o:LockedField>false</o:LockedField>
          </o:OLEObject>
        </w:object>
      </w:r>
      <w:r>
        <w:t>，高斯核带宽取</w:t>
      </w:r>
      <w:r>
        <w:rPr>
          <w:position w:val="-10"/>
        </w:rPr>
        <w:object>
          <v:shape id="_x0000_i1094" o:spt="75" type="#_x0000_t75" style="height:18pt;width:139.95pt;" o:ole="t" filled="f" o:preferrelative="t" stroked="f" coordsize="21600,21600">
            <v:path/>
            <v:fill on="f" focussize="0,0"/>
            <v:stroke on="f" joinstyle="miter"/>
            <v:imagedata r:id="rId165" o:title=""/>
            <o:lock v:ext="edit" aspectratio="t"/>
            <w10:wrap type="none"/>
            <w10:anchorlock/>
          </v:shape>
          <o:OLEObject Type="Embed" ProgID="Equation.DSMT4" ShapeID="_x0000_i1094" DrawAspect="Content" ObjectID="_1468075794" r:id="rId164">
            <o:LockedField>false</o:LockedField>
          </o:OLEObject>
        </w:object>
      </w:r>
      <w:r>
        <w:t>。</w:t>
      </w:r>
      <w:r>
        <w:rPr>
          <w:position w:val="-6"/>
        </w:rPr>
        <w:object>
          <v:shape id="_x0000_i1095" o:spt="75" type="#_x0000_t75" style="height:13.95pt;width:13.95pt;" o:ole="t" filled="f" o:preferrelative="t" stroked="f" coordsize="21600,21600">
            <v:path/>
            <v:fill on="f" focussize="0,0"/>
            <v:stroke on="f" joinstyle="miter"/>
            <v:imagedata r:id="rId167" o:title=""/>
            <o:lock v:ext="edit" aspectratio="t"/>
            <w10:wrap type="none"/>
            <w10:anchorlock/>
          </v:shape>
          <o:OLEObject Type="Embed" ProgID="Equation.DSMT4" ShapeID="_x0000_i1095" DrawAspect="Content" ObjectID="_1468075795" r:id="rId166">
            <o:LockedField>false</o:LockedField>
          </o:OLEObject>
        </w:object>
      </w:r>
      <w:r>
        <w:t>与</w:t>
      </w:r>
      <w:r>
        <w:rPr>
          <w:position w:val="-6"/>
        </w:rPr>
        <w:object>
          <v:shape id="_x0000_i1096" o:spt="75" type="#_x0000_t75" style="height:13.95pt;width:13.95pt;" o:ole="t" filled="f" o:preferrelative="t" stroked="f" coordsize="21600,21600">
            <v:path/>
            <v:fill on="f" focussize="0,0"/>
            <v:stroke on="f" joinstyle="miter"/>
            <v:imagedata r:id="rId169" o:title=""/>
            <o:lock v:ext="edit" aspectratio="t"/>
            <w10:wrap type="none"/>
            <w10:anchorlock/>
          </v:shape>
          <o:OLEObject Type="Embed" ProgID="Equation.DSMT4" ShapeID="_x0000_i1096" DrawAspect="Content" ObjectID="_1468075796" r:id="rId168">
            <o:LockedField>false</o:LockedField>
          </o:OLEObject>
        </w:object>
      </w:r>
      <w:r>
        <w:t>分别为源域和目标域样本经SE-ResNet提取并展平的4096维深度特征向量。总损失函数为监督损失与域适应损失的联合优化：</w:t>
      </w:r>
    </w:p>
    <w:p w14:paraId="2089E20F">
      <w:pPr>
        <w:pStyle w:val="30"/>
        <w:spacing w:before="0" w:beforeLines="0" w:after="0" w:afterLines="0"/>
      </w:pPr>
      <w:r>
        <w:tab/>
      </w:r>
      <w:r>
        <w:rPr>
          <w:position w:val="-12"/>
        </w:rPr>
        <w:object>
          <v:shape id="_x0000_i1097" o:spt="75" type="#_x0000_t75" style="height:18pt;width:101pt;" o:ole="t" filled="f" o:preferrelative="t" stroked="f" coordsize="21600,21600">
            <v:path/>
            <v:fill on="f" focussize="0,0"/>
            <v:stroke on="f" joinstyle="miter"/>
            <v:imagedata r:id="rId171" o:title=""/>
            <o:lock v:ext="edit" aspectratio="t"/>
            <w10:wrap type="none"/>
            <w10:anchorlock/>
          </v:shape>
          <o:OLEObject Type="Embed" ProgID="Equation.DSMT4" ShapeID="_x0000_i1097" DrawAspect="Content" ObjectID="_1468075797" r:id="rId170">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separate"/>
      </w:r>
      <w:r>
        <w:fldChar w:fldCharType="end"/>
      </w:r>
      <w:r>
        <w:rPr>
          <w:rFonts w:hint="eastAsia"/>
          <w:lang w:eastAsia="zh-CN"/>
        </w:rPr>
        <w:instrText xml:space="preserve">(</w:instrText>
      </w:r>
      <w:r>
        <w:rPr>
          <w:rFonts w:hint="eastAsia"/>
          <w:lang w:eastAsia="zh-CN"/>
        </w:rPr>
        <w:fldChar w:fldCharType="begin"/>
      </w:r>
      <w:r>
        <w:rPr>
          <w:rFonts w:hint="eastAsia"/>
          <w:lang w:eastAsia="zh-CN"/>
        </w:rPr>
        <w:instrText xml:space="preserve"> SEQ MTChap \c \* Arabic \* MERGEFORMAT </w:instrText>
      </w:r>
      <w:r>
        <w:rPr>
          <w:rFonts w:hint="eastAsia"/>
          <w:lang w:eastAsia="zh-CN"/>
        </w:rPr>
        <w:fldChar w:fldCharType="separate"/>
      </w:r>
      <w:r>
        <w:instrText xml:space="preserve">3</w:instrText>
      </w:r>
      <w:r>
        <w:rPr>
          <w:rFonts w:hint="eastAsia"/>
          <w:lang w:eastAsia="zh-CN"/>
        </w:rPr>
        <w:fldChar w:fldCharType="end"/>
      </w:r>
      <w:r>
        <w:rPr>
          <w:rFonts w:hint="eastAsia"/>
          <w:lang w:eastAsia="zh-CN"/>
        </w:rPr>
        <w:instrText xml:space="preserve">-</w:instrText>
      </w:r>
      <w:r>
        <w:rPr>
          <w:rFonts w:hint="eastAsia"/>
          <w:lang w:eastAsia="zh-CN"/>
        </w:rPr>
        <w:fldChar w:fldCharType="begin"/>
      </w:r>
      <w:r>
        <w:rPr>
          <w:rFonts w:hint="eastAsia"/>
          <w:lang w:eastAsia="zh-CN"/>
        </w:rPr>
        <w:instrText xml:space="preserve"> SEQ MTEqn \c \* Arabic \* MERGEFORMAT </w:instrText>
      </w:r>
      <w:r>
        <w:rPr>
          <w:rFonts w:hint="eastAsia"/>
          <w:lang w:eastAsia="zh-CN"/>
        </w:rPr>
        <w:fldChar w:fldCharType="separate"/>
      </w:r>
      <w:r>
        <w:instrText xml:space="preserve">13</w:instrText>
      </w:r>
      <w:r>
        <w:rPr>
          <w:rFonts w:hint="eastAsia"/>
          <w:lang w:eastAsia="zh-CN"/>
        </w:rPr>
        <w:fldChar w:fldCharType="end"/>
      </w:r>
      <w:r>
        <w:rPr>
          <w:rFonts w:hint="eastAsia"/>
          <w:lang w:eastAsia="zh-CN"/>
        </w:rPr>
        <w:instrText xml:space="preserve">)</w:instrText>
      </w:r>
      <w:r>
        <w:fldChar w:fldCharType="separate"/>
      </w:r>
      <w:r>
        <w:fldChar w:fldCharType="end"/>
      </w:r>
    </w:p>
    <w:p w14:paraId="64B22A72">
      <w:pPr>
        <w:snapToGrid w:val="0"/>
        <w:ind w:firstLine="480"/>
      </w:pPr>
      <w:r>
        <w:t>平衡系数</w:t>
      </w:r>
      <w:r>
        <w:rPr>
          <w:position w:val="-14"/>
        </w:rPr>
        <w:object>
          <v:shape id="_x0000_i1098" o:spt="75" type="#_x0000_t75" style="height:20pt;width:47pt;" o:ole="t" filled="f" o:preferrelative="t" stroked="f" coordsize="21600,21600">
            <v:path/>
            <v:fill on="f" focussize="0,0"/>
            <v:stroke on="f"/>
            <v:imagedata r:id="rId173" o:title=""/>
            <o:lock v:ext="edit" aspectratio="t"/>
            <w10:wrap type="none"/>
            <w10:anchorlock/>
          </v:shape>
          <o:OLEObject Type="Embed" ProgID="Equation.DSMT4" ShapeID="_x0000_i1098" DrawAspect="Content" ObjectID="_1468075798" r:id="rId172">
            <o:LockedField>false</o:LockedField>
          </o:OLEObject>
        </w:object>
      </w:r>
      <w:r>
        <w:rPr>
          <w:rFonts w:hint="eastAsia"/>
          <w:lang w:val="en-US" w:eastAsia="zh-CN"/>
        </w:rPr>
        <w:t>，它用</w:t>
      </w:r>
      <w:r>
        <w:rPr>
          <w:rFonts w:hint="eastAsia"/>
        </w:rPr>
        <w:t>于调节预测精度和域对齐强度之间的权重。训练时每个批次同步加载源域和目标域样本，源域样本同时参与监督损失和域适应损失的计算，目标域样本只参与域适应损失，不碰任何标签。反向传播时，域适应损失的梯度推着SE-ResNet去学工况无关的域不变表示，监督损失的梯度则保证这个表示对RUL预测任务有判别力，两者协同优化，跨工况泛化能力和预测精度就平衡住了。</w:t>
      </w:r>
    </w:p>
    <w:p w14:paraId="22133ED1">
      <w:pPr>
        <w:pStyle w:val="4"/>
        <w:spacing w:before="120" w:after="120"/>
      </w:pPr>
      <w:bookmarkStart w:id="85" w:name="_Toc3514"/>
      <w:bookmarkStart w:id="86" w:name="_Toc17103"/>
      <w:r>
        <w:t>3.5.2 优化器与训练配置</w:t>
      </w:r>
      <w:bookmarkEnd w:id="85"/>
      <w:bookmarkEnd w:id="86"/>
    </w:p>
    <w:p w14:paraId="575DA4E0">
      <w:pPr>
        <w:ind w:firstLine="480"/>
      </w:pPr>
      <w:r>
        <w:rPr>
          <w:rFonts w:hint="eastAsia"/>
        </w:rPr>
        <w:t>优化器选</w:t>
      </w:r>
      <w:r>
        <w:rPr>
          <w:rFonts w:hint="eastAsia"/>
          <w:lang w:val="en-US" w:eastAsia="zh-CN"/>
        </w:rPr>
        <w:t>的是</w:t>
      </w:r>
      <w:r>
        <w:rPr>
          <w:rFonts w:hint="eastAsia"/>
        </w:rPr>
        <w:t>Adam，</w:t>
      </w:r>
      <w:r>
        <w:rPr>
          <w:rFonts w:hint="eastAsia"/>
          <w:lang w:val="en-US" w:eastAsia="zh-CN"/>
        </w:rPr>
        <w:t>它</w:t>
      </w:r>
      <w:r>
        <w:rPr>
          <w:rFonts w:hint="eastAsia"/>
        </w:rPr>
        <w:t>收敛快、调参</w:t>
      </w:r>
      <w:r>
        <w:rPr>
          <w:rFonts w:hint="eastAsia"/>
          <w:lang w:val="en-US" w:eastAsia="zh-CN"/>
        </w:rPr>
        <w:t>方便省力</w:t>
      </w:r>
      <w:r>
        <w:rPr>
          <w:vertAlign w:val="superscript"/>
        </w:rPr>
        <w:fldChar w:fldCharType="begin"/>
      </w:r>
      <w:r>
        <w:instrText xml:space="preserve"> REF _Ref6244 \r \h  \* MERGEFORMAT</w:instrText>
      </w:r>
      <w:r>
        <w:rPr>
          <w:vertAlign w:val="superscript"/>
        </w:rPr>
        <w:fldChar w:fldCharType="separate"/>
      </w:r>
      <w:r>
        <w:rPr>
          <w:vertAlign w:val="superscript"/>
        </w:rPr>
        <w:t>[36]</w:t>
      </w:r>
      <w:r>
        <w:rPr>
          <w:vertAlign w:val="superscript"/>
        </w:rPr>
        <w:fldChar w:fldCharType="end"/>
      </w:r>
      <w:r>
        <w:rPr>
          <w:vertAlign w:val="superscript"/>
        </w:rPr>
        <w:fldChar w:fldCharType="begin"/>
      </w:r>
      <w:r>
        <w:instrText xml:space="preserve"> REF _Ref6423 \r \h  \* MERGEFORMAT</w:instrText>
      </w:r>
      <w:r>
        <w:rPr>
          <w:vertAlign w:val="superscript"/>
        </w:rPr>
        <w:fldChar w:fldCharType="separate"/>
      </w:r>
      <w:r>
        <w:rPr>
          <w:vertAlign w:val="superscript"/>
        </w:rPr>
        <w:t>[39]</w:t>
      </w:r>
      <w:r>
        <w:rPr>
          <w:vertAlign w:val="superscript"/>
        </w:rPr>
        <w:fldChar w:fldCharType="end"/>
      </w:r>
      <w:r>
        <w:t>。</w:t>
      </w:r>
      <w:r>
        <w:rPr>
          <w:rFonts w:hint="eastAsia"/>
        </w:rPr>
        <w:t>配上ReduceLROnPlateau调度器</w:t>
      </w:r>
      <w:r>
        <w:rPr>
          <w:rFonts w:hint="eastAsia"/>
          <w:lang w:eastAsia="zh-CN"/>
        </w:rPr>
        <w:t>，</w:t>
      </w:r>
      <w:r>
        <w:rPr>
          <w:rFonts w:hint="eastAsia"/>
          <w:lang w:val="en-US" w:eastAsia="zh-CN"/>
        </w:rPr>
        <w:t>它用处是在</w:t>
      </w:r>
      <w:r>
        <w:rPr>
          <w:rFonts w:hint="eastAsia"/>
        </w:rPr>
        <w:t>验证损失连续5轮不降</w:t>
      </w:r>
      <w:r>
        <w:rPr>
          <w:rFonts w:hint="eastAsia"/>
          <w:lang w:val="en-US" w:eastAsia="zh-CN"/>
        </w:rPr>
        <w:t>时</w:t>
      </w:r>
      <w:r>
        <w:rPr>
          <w:rFonts w:hint="eastAsia"/>
        </w:rPr>
        <w:t>就减半。早停耐心值</w:t>
      </w:r>
      <w:r>
        <w:rPr>
          <w:rFonts w:hint="eastAsia"/>
          <w:lang w:val="en-US" w:eastAsia="zh-CN"/>
        </w:rPr>
        <w:t>为</w:t>
      </w:r>
      <w:r>
        <w:rPr>
          <w:rFonts w:hint="eastAsia"/>
        </w:rPr>
        <w:t>15轮，最大训练轮数</w:t>
      </w:r>
      <w:r>
        <w:rPr>
          <w:rFonts w:hint="eastAsia"/>
          <w:lang w:val="en-US" w:eastAsia="zh-CN"/>
        </w:rPr>
        <w:t>是</w:t>
      </w:r>
      <w:r>
        <w:rPr>
          <w:rFonts w:hint="eastAsia"/>
        </w:rPr>
        <w:t>150</w:t>
      </w:r>
      <w:r>
        <w:rPr>
          <w:rFonts w:hint="eastAsia"/>
          <w:lang w:val="en-US" w:eastAsia="zh-CN"/>
        </w:rPr>
        <w:t>轮</w:t>
      </w:r>
      <w:r>
        <w:rPr>
          <w:rFonts w:hint="eastAsia"/>
        </w:rPr>
        <w:t>。实验固定随机种子为</w:t>
      </w:r>
      <w:r>
        <w:rPr>
          <w:rFonts w:hint="eastAsia"/>
          <w:lang w:val="en-US" w:eastAsia="zh-CN"/>
        </w:rPr>
        <w:t>在单种子评估时用</w:t>
      </w:r>
      <w:r>
        <w:rPr>
          <w:rFonts w:hint="eastAsia"/>
        </w:rPr>
        <w:t>42</w:t>
      </w:r>
      <w:r>
        <w:rPr>
          <w:rFonts w:hint="eastAsia"/>
          <w:lang w:eastAsia="zh-CN"/>
        </w:rPr>
        <w:t>，</w:t>
      </w:r>
      <w:r>
        <w:rPr>
          <w:rFonts w:hint="eastAsia"/>
          <w:lang w:val="en-US" w:eastAsia="zh-CN"/>
        </w:rPr>
        <w:t>在</w:t>
      </w:r>
      <w:r>
        <w:rPr>
          <w:rFonts w:hint="eastAsia"/>
        </w:rPr>
        <w:t>5种子集成评估时用[42,123,456,</w:t>
      </w:r>
      <w:r>
        <w:rPr>
          <w:rFonts w:hint="eastAsia"/>
          <w:lang w:val="en-US" w:eastAsia="zh-CN"/>
        </w:rPr>
        <w:t>7</w:t>
      </w:r>
      <w:r>
        <w:rPr>
          <w:rFonts w:hint="eastAsia"/>
        </w:rPr>
        <w:t>89,1011]。</w:t>
      </w:r>
    </w:p>
    <w:p w14:paraId="3E8B141F">
      <w:pPr>
        <w:pStyle w:val="3"/>
        <w:spacing w:before="120" w:after="120"/>
      </w:pPr>
      <w:bookmarkStart w:id="87" w:name="_Toc17695"/>
      <w:bookmarkStart w:id="88" w:name="_Toc3005"/>
      <w:r>
        <w:t>3.6 本章小结</w:t>
      </w:r>
      <w:bookmarkEnd w:id="87"/>
      <w:bookmarkEnd w:id="88"/>
    </w:p>
    <w:p w14:paraId="788FAE91">
      <w:pPr>
        <w:ind w:firstLine="480"/>
      </w:pPr>
      <w:r>
        <w:rPr>
          <w:rFonts w:hint="eastAsia"/>
        </w:rPr>
        <w:t>本章把SE-ResNet+BiGRU跨工况RUL预测模型从头到尾捋了一遍。先给了整体架构和多工况适配的核心思路，然后依次交代了数据预处理、SE-ResNet特征提取模块、BiGRU时序建模模块的具体设计和参数配置，最后说明了HI构建方式、RUL换算公式以及训练的损失函数和优化策略。下一章在XJTU-SY数据集上设了多组实验，全面验证模型在单工况和跨工况场景下的实际表现</w:t>
      </w:r>
      <w:r>
        <w:t>。</w:t>
      </w:r>
    </w:p>
    <w:p w14:paraId="3B28F18E">
      <w:pPr>
        <w:ind w:firstLine="480"/>
      </w:pPr>
      <w:r>
        <w:br w:type="page"/>
      </w:r>
    </w:p>
    <w:p w14:paraId="2CC7983F">
      <w:pPr>
        <w:pStyle w:val="2"/>
        <w:spacing w:after="120"/>
        <w:rPr>
          <w:rFonts w:ascii="Times New Roman" w:hAnsi="Times New Roman"/>
        </w:rPr>
      </w:pPr>
      <w:bookmarkStart w:id="89" w:name="_Toc12085"/>
      <w:bookmarkStart w:id="90" w:name="_Toc22016"/>
      <w:r>
        <w:rPr>
          <w:rFonts w:ascii="Times New Roman" w:hAnsi="Times New Roman"/>
        </w:rPr>
        <w:t>XJTU-SY数据集下的多工况实验设计与性能验证</w:t>
      </w:r>
      <w:bookmarkEnd w:id="89"/>
      <w:bookmarkEnd w:id="90"/>
    </w:p>
    <w:p w14:paraId="0028838E">
      <w:pPr>
        <w:pStyle w:val="3"/>
        <w:spacing w:before="120" w:after="120"/>
      </w:pPr>
      <w:bookmarkStart w:id="91" w:name="_Toc22402"/>
      <w:bookmarkStart w:id="92" w:name="_Toc16532"/>
      <w:r>
        <w:t>4.1 实验环境</w:t>
      </w:r>
      <w:bookmarkEnd w:id="91"/>
      <w:bookmarkEnd w:id="92"/>
    </w:p>
    <w:p w14:paraId="2D4B89D2">
      <w:pPr>
        <w:ind w:firstLine="480"/>
      </w:pPr>
      <w:r>
        <w:rPr>
          <w:rFonts w:hint="eastAsia"/>
        </w:rPr>
        <w:t>本实验基于XJTU-SY官方数据集，15个轴承、3类工况、多种故障类型，所有训练和验证都在统一环境下跑，保证结果可复现、可对比</w:t>
      </w:r>
      <w:r>
        <w:t>。</w:t>
      </w:r>
    </w:p>
    <w:p w14:paraId="45F30FB6">
      <w:pPr>
        <w:pStyle w:val="4"/>
        <w:spacing w:before="120" w:after="120"/>
      </w:pPr>
      <w:bookmarkStart w:id="93" w:name="_Toc978"/>
      <w:bookmarkStart w:id="94" w:name="_Toc23623"/>
      <w:r>
        <w:t>4.1.1 硬件环境</w:t>
      </w:r>
      <w:bookmarkEnd w:id="93"/>
      <w:bookmarkEnd w:id="94"/>
    </w:p>
    <w:p w14:paraId="18AE99DA">
      <w:pPr>
        <w:ind w:firstLine="480"/>
      </w:pPr>
      <w:r>
        <w:rPr>
          <w:rFonts w:hint="eastAsia"/>
        </w:rPr>
        <w:t>全部实验在一台配了NVIDIA独显的笔记本上完成，配置跑XJTU-SY这种规模的数据集（单轴承最多2538个采样点）是够用的，具体见表4-1。</w:t>
      </w:r>
    </w:p>
    <w:p w14:paraId="7D5106C6">
      <w:pPr>
        <w:pStyle w:val="8"/>
        <w:rPr>
          <w:rFonts w:ascii="Times New Roman" w:hAnsi="Times New Roman"/>
        </w:rPr>
      </w:pPr>
      <w:r>
        <w:rPr>
          <w:rFonts w:ascii="Times New Roman" w:hAnsi="Times New Roman"/>
        </w:rPr>
        <w:t>表 4-</w:t>
      </w:r>
      <w:r>
        <w:rPr>
          <w:rFonts w:ascii="Times New Roman" w:hAnsi="Times New Roman"/>
        </w:rPr>
        <w:fldChar w:fldCharType="begin"/>
      </w:r>
      <w:r>
        <w:rPr>
          <w:rFonts w:ascii="Times New Roman" w:hAnsi="Times New Roman"/>
        </w:rPr>
        <w:instrText xml:space="preserve"> SEQ 表 \* ARABIC \s 2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bookmarkStart w:id="95" w:name="_Toc19357"/>
      <w:r>
        <w:rPr>
          <w:rFonts w:ascii="Times New Roman" w:hAnsi="Times New Roman"/>
        </w:rPr>
        <w:t xml:space="preserve"> 实验硬件环境配置</w:t>
      </w:r>
      <w:bookmarkEnd w:id="95"/>
    </w:p>
    <w:tbl>
      <w:tblPr>
        <w:tblStyle w:val="22"/>
        <w:tblW w:w="8528"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380"/>
        <w:gridCol w:w="2598"/>
        <w:gridCol w:w="4550"/>
      </w:tblGrid>
      <w:tr w14:paraId="7572631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1380" w:type="dxa"/>
            <w:tcBorders>
              <w:top w:val="single" w:color="auto" w:sz="12" w:space="0"/>
              <w:left w:val="nil"/>
              <w:bottom w:val="nil"/>
              <w:right w:val="nil"/>
            </w:tcBorders>
            <w:tcMar>
              <w:top w:w="-1" w:type="dxa"/>
              <w:left w:w="-1" w:type="dxa"/>
              <w:bottom w:w="-1" w:type="dxa"/>
              <w:right w:w="-1" w:type="dxa"/>
            </w:tcMar>
            <w:vAlign w:val="center"/>
          </w:tcPr>
          <w:p w14:paraId="287DDE2E">
            <w:pPr>
              <w:snapToGrid w:val="0"/>
              <w:spacing w:line="360" w:lineRule="auto"/>
              <w:ind w:firstLine="0" w:firstLineChars="0"/>
              <w:jc w:val="center"/>
              <w:rPr>
                <w:sz w:val="21"/>
                <w:szCs w:val="21"/>
              </w:rPr>
            </w:pPr>
            <w:r>
              <w:rPr>
                <w:sz w:val="21"/>
                <w:szCs w:val="21"/>
              </w:rPr>
              <w:t>硬件类型</w:t>
            </w:r>
          </w:p>
        </w:tc>
        <w:tc>
          <w:tcPr>
            <w:tcW w:w="2598" w:type="dxa"/>
            <w:tcBorders>
              <w:top w:val="single" w:color="auto" w:sz="12" w:space="0"/>
              <w:left w:val="nil"/>
              <w:bottom w:val="nil"/>
              <w:right w:val="nil"/>
            </w:tcBorders>
            <w:tcMar>
              <w:top w:w="-1" w:type="dxa"/>
              <w:left w:w="-1" w:type="dxa"/>
              <w:bottom w:w="-1" w:type="dxa"/>
              <w:right w:w="-1" w:type="dxa"/>
            </w:tcMar>
            <w:vAlign w:val="center"/>
          </w:tcPr>
          <w:p w14:paraId="7FC1551C">
            <w:pPr>
              <w:snapToGrid w:val="0"/>
              <w:spacing w:line="360" w:lineRule="auto"/>
              <w:ind w:firstLine="0" w:firstLineChars="0"/>
              <w:jc w:val="center"/>
              <w:rPr>
                <w:sz w:val="21"/>
                <w:szCs w:val="21"/>
              </w:rPr>
            </w:pPr>
            <w:r>
              <w:rPr>
                <w:sz w:val="21"/>
                <w:szCs w:val="21"/>
              </w:rPr>
              <w:t>型号/参数</w:t>
            </w:r>
          </w:p>
        </w:tc>
        <w:tc>
          <w:tcPr>
            <w:tcW w:w="4550" w:type="dxa"/>
            <w:tcBorders>
              <w:top w:val="single" w:color="auto" w:sz="12" w:space="0"/>
              <w:left w:val="nil"/>
              <w:bottom w:val="nil"/>
              <w:right w:val="nil"/>
            </w:tcBorders>
            <w:tcMar>
              <w:top w:w="-1" w:type="dxa"/>
              <w:left w:w="-1" w:type="dxa"/>
              <w:bottom w:w="-1" w:type="dxa"/>
              <w:right w:w="-1" w:type="dxa"/>
            </w:tcMar>
            <w:vAlign w:val="center"/>
          </w:tcPr>
          <w:p w14:paraId="36EB2189">
            <w:pPr>
              <w:snapToGrid w:val="0"/>
              <w:spacing w:line="360" w:lineRule="auto"/>
              <w:ind w:firstLine="0" w:firstLineChars="0"/>
              <w:jc w:val="center"/>
              <w:rPr>
                <w:sz w:val="21"/>
                <w:szCs w:val="21"/>
              </w:rPr>
            </w:pPr>
            <w:r>
              <w:rPr>
                <w:sz w:val="21"/>
                <w:szCs w:val="21"/>
              </w:rPr>
              <w:t>备注</w:t>
            </w:r>
          </w:p>
        </w:tc>
      </w:tr>
      <w:tr w14:paraId="7E5629F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380" w:type="dxa"/>
            <w:tcBorders>
              <w:top w:val="single" w:color="auto" w:sz="4" w:space="0"/>
              <w:left w:val="nil"/>
              <w:bottom w:val="nil"/>
              <w:right w:val="nil"/>
            </w:tcBorders>
            <w:tcMar>
              <w:top w:w="-1" w:type="dxa"/>
              <w:left w:w="-1" w:type="dxa"/>
              <w:bottom w:w="-1" w:type="dxa"/>
              <w:right w:w="-1" w:type="dxa"/>
            </w:tcMar>
            <w:vAlign w:val="center"/>
          </w:tcPr>
          <w:p w14:paraId="4050D096">
            <w:pPr>
              <w:snapToGrid w:val="0"/>
              <w:spacing w:line="360" w:lineRule="auto"/>
              <w:ind w:firstLine="0" w:firstLineChars="0"/>
              <w:jc w:val="center"/>
              <w:rPr>
                <w:sz w:val="21"/>
                <w:szCs w:val="21"/>
              </w:rPr>
            </w:pPr>
            <w:r>
              <w:rPr>
                <w:sz w:val="21"/>
                <w:szCs w:val="21"/>
              </w:rPr>
              <w:t>CPU</w:t>
            </w:r>
          </w:p>
        </w:tc>
        <w:tc>
          <w:tcPr>
            <w:tcW w:w="2598" w:type="dxa"/>
            <w:tcBorders>
              <w:top w:val="single" w:color="auto" w:sz="4" w:space="0"/>
              <w:left w:val="nil"/>
              <w:bottom w:val="nil"/>
              <w:right w:val="nil"/>
            </w:tcBorders>
            <w:tcMar>
              <w:top w:w="-1" w:type="dxa"/>
              <w:left w:w="-1" w:type="dxa"/>
              <w:bottom w:w="-1" w:type="dxa"/>
              <w:right w:w="-1" w:type="dxa"/>
            </w:tcMar>
            <w:vAlign w:val="center"/>
          </w:tcPr>
          <w:p w14:paraId="775ED2F2">
            <w:pPr>
              <w:snapToGrid w:val="0"/>
              <w:spacing w:line="360" w:lineRule="auto"/>
              <w:ind w:firstLine="0" w:firstLineChars="0"/>
              <w:jc w:val="center"/>
              <w:rPr>
                <w:sz w:val="21"/>
                <w:szCs w:val="21"/>
              </w:rPr>
            </w:pPr>
            <w:r>
              <w:rPr>
                <w:sz w:val="21"/>
                <w:szCs w:val="21"/>
              </w:rPr>
              <w:t>AMD Ryzen 7 8845H</w:t>
            </w:r>
          </w:p>
        </w:tc>
        <w:tc>
          <w:tcPr>
            <w:tcW w:w="4550" w:type="dxa"/>
            <w:tcBorders>
              <w:top w:val="single" w:color="auto" w:sz="4" w:space="0"/>
              <w:left w:val="nil"/>
              <w:bottom w:val="nil"/>
              <w:right w:val="nil"/>
            </w:tcBorders>
            <w:tcMar>
              <w:top w:w="-1" w:type="dxa"/>
              <w:left w:w="-1" w:type="dxa"/>
              <w:bottom w:w="-1" w:type="dxa"/>
              <w:right w:w="-1" w:type="dxa"/>
            </w:tcMar>
            <w:vAlign w:val="center"/>
          </w:tcPr>
          <w:p w14:paraId="0BCF808F">
            <w:pPr>
              <w:snapToGrid w:val="0"/>
              <w:spacing w:line="360" w:lineRule="auto"/>
              <w:ind w:firstLine="0" w:firstLineChars="0"/>
              <w:jc w:val="center"/>
              <w:rPr>
                <w:sz w:val="21"/>
                <w:szCs w:val="21"/>
              </w:rPr>
            </w:pPr>
            <w:r>
              <w:rPr>
                <w:sz w:val="21"/>
                <w:szCs w:val="21"/>
              </w:rPr>
              <w:t>8核16线程，最高加速频率5.1GHz，负责通用</w:t>
            </w:r>
          </w:p>
          <w:p w14:paraId="32839E21">
            <w:pPr>
              <w:snapToGrid w:val="0"/>
              <w:spacing w:line="360" w:lineRule="auto"/>
              <w:ind w:firstLine="0" w:firstLineChars="0"/>
              <w:jc w:val="center"/>
              <w:rPr>
                <w:sz w:val="21"/>
                <w:szCs w:val="21"/>
              </w:rPr>
            </w:pPr>
            <w:r>
              <w:rPr>
                <w:sz w:val="21"/>
                <w:szCs w:val="21"/>
              </w:rPr>
              <w:t>计算与任务调度</w:t>
            </w:r>
          </w:p>
        </w:tc>
      </w:tr>
      <w:tr w14:paraId="2332A54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380" w:type="dxa"/>
            <w:tcBorders>
              <w:top w:val="nil"/>
              <w:left w:val="nil"/>
              <w:bottom w:val="nil"/>
              <w:right w:val="nil"/>
            </w:tcBorders>
            <w:tcMar>
              <w:top w:w="-1" w:type="dxa"/>
              <w:left w:w="-1" w:type="dxa"/>
              <w:bottom w:w="-1" w:type="dxa"/>
              <w:right w:w="-1" w:type="dxa"/>
            </w:tcMar>
            <w:vAlign w:val="center"/>
          </w:tcPr>
          <w:p w14:paraId="4A949144">
            <w:pPr>
              <w:snapToGrid w:val="0"/>
              <w:spacing w:line="360" w:lineRule="auto"/>
              <w:ind w:firstLine="0" w:firstLineChars="0"/>
              <w:jc w:val="center"/>
              <w:rPr>
                <w:sz w:val="21"/>
                <w:szCs w:val="21"/>
              </w:rPr>
            </w:pPr>
            <w:r>
              <w:rPr>
                <w:sz w:val="21"/>
                <w:szCs w:val="21"/>
              </w:rPr>
              <w:t>GPU</w:t>
            </w:r>
          </w:p>
        </w:tc>
        <w:tc>
          <w:tcPr>
            <w:tcW w:w="2598" w:type="dxa"/>
            <w:tcBorders>
              <w:top w:val="nil"/>
              <w:left w:val="nil"/>
              <w:bottom w:val="nil"/>
              <w:right w:val="nil"/>
            </w:tcBorders>
            <w:tcMar>
              <w:top w:w="-1" w:type="dxa"/>
              <w:left w:w="-1" w:type="dxa"/>
              <w:bottom w:w="-1" w:type="dxa"/>
              <w:right w:w="-1" w:type="dxa"/>
            </w:tcMar>
            <w:vAlign w:val="center"/>
          </w:tcPr>
          <w:p w14:paraId="4095C1E2">
            <w:pPr>
              <w:snapToGrid w:val="0"/>
              <w:spacing w:line="360" w:lineRule="auto"/>
              <w:ind w:firstLine="0" w:firstLineChars="0"/>
              <w:jc w:val="center"/>
              <w:rPr>
                <w:sz w:val="21"/>
                <w:szCs w:val="21"/>
              </w:rPr>
            </w:pPr>
            <w:r>
              <w:rPr>
                <w:sz w:val="21"/>
                <w:szCs w:val="21"/>
              </w:rPr>
              <w:t>NVIDIA GeForce RTX 4050 Laptop GPU</w:t>
            </w:r>
          </w:p>
        </w:tc>
        <w:tc>
          <w:tcPr>
            <w:tcW w:w="4550" w:type="dxa"/>
            <w:tcBorders>
              <w:top w:val="nil"/>
              <w:left w:val="nil"/>
              <w:bottom w:val="nil"/>
              <w:right w:val="nil"/>
            </w:tcBorders>
            <w:tcMar>
              <w:top w:w="-1" w:type="dxa"/>
              <w:left w:w="-1" w:type="dxa"/>
              <w:bottom w:w="-1" w:type="dxa"/>
              <w:right w:w="-1" w:type="dxa"/>
            </w:tcMar>
            <w:vAlign w:val="center"/>
          </w:tcPr>
          <w:p w14:paraId="4C3BCF52">
            <w:pPr>
              <w:snapToGrid w:val="0"/>
              <w:spacing w:line="360" w:lineRule="auto"/>
              <w:ind w:firstLine="0" w:firstLineChars="0"/>
              <w:jc w:val="center"/>
              <w:rPr>
                <w:sz w:val="21"/>
                <w:szCs w:val="21"/>
              </w:rPr>
            </w:pPr>
            <w:r>
              <w:rPr>
                <w:sz w:val="21"/>
                <w:szCs w:val="21"/>
              </w:rPr>
              <w:t>专用显存：6GB GDDR6；支持CUDA 11.8及</w:t>
            </w:r>
          </w:p>
          <w:p w14:paraId="2D8D5CEC">
            <w:pPr>
              <w:snapToGrid w:val="0"/>
              <w:spacing w:line="360" w:lineRule="auto"/>
              <w:ind w:firstLine="0" w:firstLineChars="0"/>
              <w:jc w:val="center"/>
              <w:rPr>
                <w:sz w:val="21"/>
                <w:szCs w:val="21"/>
              </w:rPr>
            </w:pPr>
            <w:r>
              <w:rPr>
                <w:sz w:val="21"/>
                <w:szCs w:val="21"/>
              </w:rPr>
              <w:t>以上，用于深度学习模型的核心加速计算</w:t>
            </w:r>
          </w:p>
        </w:tc>
      </w:tr>
      <w:tr w14:paraId="58CF583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380" w:type="dxa"/>
            <w:tcBorders>
              <w:top w:val="nil"/>
              <w:left w:val="nil"/>
              <w:bottom w:val="nil"/>
              <w:right w:val="nil"/>
            </w:tcBorders>
            <w:tcMar>
              <w:top w:w="-1" w:type="dxa"/>
              <w:left w:w="-1" w:type="dxa"/>
              <w:bottom w:w="-1" w:type="dxa"/>
              <w:right w:w="-1" w:type="dxa"/>
            </w:tcMar>
            <w:vAlign w:val="center"/>
          </w:tcPr>
          <w:p w14:paraId="68FC2D19">
            <w:pPr>
              <w:snapToGrid w:val="0"/>
              <w:spacing w:line="360" w:lineRule="auto"/>
              <w:ind w:firstLine="0" w:firstLineChars="0"/>
              <w:jc w:val="center"/>
              <w:rPr>
                <w:sz w:val="21"/>
                <w:szCs w:val="21"/>
              </w:rPr>
            </w:pPr>
            <w:r>
              <w:rPr>
                <w:sz w:val="21"/>
                <w:szCs w:val="21"/>
              </w:rPr>
              <w:t>内存</w:t>
            </w:r>
          </w:p>
        </w:tc>
        <w:tc>
          <w:tcPr>
            <w:tcW w:w="2598" w:type="dxa"/>
            <w:tcBorders>
              <w:top w:val="nil"/>
              <w:left w:val="nil"/>
              <w:bottom w:val="nil"/>
              <w:right w:val="nil"/>
            </w:tcBorders>
            <w:tcMar>
              <w:top w:w="-1" w:type="dxa"/>
              <w:left w:w="-1" w:type="dxa"/>
              <w:bottom w:w="-1" w:type="dxa"/>
              <w:right w:w="-1" w:type="dxa"/>
            </w:tcMar>
            <w:vAlign w:val="center"/>
          </w:tcPr>
          <w:p w14:paraId="2D5B05C7">
            <w:pPr>
              <w:snapToGrid w:val="0"/>
              <w:spacing w:line="360" w:lineRule="auto"/>
              <w:ind w:firstLine="0" w:firstLineChars="0"/>
              <w:jc w:val="center"/>
              <w:rPr>
                <w:sz w:val="21"/>
                <w:szCs w:val="21"/>
              </w:rPr>
            </w:pPr>
            <w:r>
              <w:rPr>
                <w:sz w:val="21"/>
                <w:szCs w:val="21"/>
              </w:rPr>
              <w:t>16 GB DDR5</w:t>
            </w:r>
          </w:p>
        </w:tc>
        <w:tc>
          <w:tcPr>
            <w:tcW w:w="4550" w:type="dxa"/>
            <w:tcBorders>
              <w:top w:val="nil"/>
              <w:left w:val="nil"/>
              <w:bottom w:val="nil"/>
              <w:right w:val="nil"/>
            </w:tcBorders>
            <w:tcMar>
              <w:top w:w="-1" w:type="dxa"/>
              <w:left w:w="-1" w:type="dxa"/>
              <w:bottom w:w="-1" w:type="dxa"/>
              <w:right w:w="-1" w:type="dxa"/>
            </w:tcMar>
            <w:vAlign w:val="center"/>
          </w:tcPr>
          <w:p w14:paraId="17F97A23">
            <w:pPr>
              <w:snapToGrid w:val="0"/>
              <w:spacing w:line="360" w:lineRule="auto"/>
              <w:ind w:firstLine="0" w:firstLineChars="0"/>
              <w:jc w:val="center"/>
              <w:rPr>
                <w:sz w:val="21"/>
                <w:szCs w:val="21"/>
              </w:rPr>
            </w:pPr>
            <w:r>
              <w:rPr>
                <w:sz w:val="21"/>
                <w:szCs w:val="21"/>
              </w:rPr>
              <w:t>满足XJTU-SY全数据集加载</w:t>
            </w:r>
          </w:p>
        </w:tc>
      </w:tr>
      <w:tr w14:paraId="265B514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380" w:type="dxa"/>
            <w:tcBorders>
              <w:top w:val="nil"/>
              <w:left w:val="nil"/>
              <w:bottom w:val="single" w:color="auto" w:sz="12" w:space="0"/>
              <w:right w:val="nil"/>
            </w:tcBorders>
            <w:tcMar>
              <w:top w:w="-1" w:type="dxa"/>
              <w:left w:w="-1" w:type="dxa"/>
              <w:bottom w:w="-1" w:type="dxa"/>
              <w:right w:w="-1" w:type="dxa"/>
            </w:tcMar>
            <w:vAlign w:val="center"/>
          </w:tcPr>
          <w:p w14:paraId="25775AF2">
            <w:pPr>
              <w:snapToGrid w:val="0"/>
              <w:spacing w:line="360" w:lineRule="auto"/>
              <w:ind w:firstLine="0" w:firstLineChars="0"/>
              <w:jc w:val="center"/>
              <w:rPr>
                <w:sz w:val="21"/>
                <w:szCs w:val="21"/>
              </w:rPr>
            </w:pPr>
            <w:r>
              <w:rPr>
                <w:sz w:val="21"/>
                <w:szCs w:val="21"/>
              </w:rPr>
              <w:t>存储</w:t>
            </w:r>
          </w:p>
        </w:tc>
        <w:tc>
          <w:tcPr>
            <w:tcW w:w="2598" w:type="dxa"/>
            <w:tcBorders>
              <w:top w:val="nil"/>
              <w:left w:val="nil"/>
              <w:bottom w:val="single" w:color="auto" w:sz="12" w:space="0"/>
              <w:right w:val="nil"/>
            </w:tcBorders>
            <w:tcMar>
              <w:top w:w="-1" w:type="dxa"/>
              <w:left w:w="-1" w:type="dxa"/>
              <w:bottom w:w="-1" w:type="dxa"/>
              <w:right w:w="-1" w:type="dxa"/>
            </w:tcMar>
            <w:vAlign w:val="center"/>
          </w:tcPr>
          <w:p w14:paraId="6EE8B527">
            <w:pPr>
              <w:snapToGrid w:val="0"/>
              <w:spacing w:line="360" w:lineRule="auto"/>
              <w:ind w:firstLine="0" w:firstLineChars="0"/>
              <w:jc w:val="center"/>
              <w:rPr>
                <w:sz w:val="21"/>
                <w:szCs w:val="21"/>
              </w:rPr>
            </w:pPr>
            <w:r>
              <w:rPr>
                <w:sz w:val="21"/>
                <w:szCs w:val="21"/>
              </w:rPr>
              <w:t>2x 512 GB NVMe SSD (RAID 0)</w:t>
            </w:r>
          </w:p>
        </w:tc>
        <w:tc>
          <w:tcPr>
            <w:tcW w:w="4550" w:type="dxa"/>
            <w:tcBorders>
              <w:top w:val="nil"/>
              <w:left w:val="nil"/>
              <w:bottom w:val="single" w:color="auto" w:sz="12" w:space="0"/>
              <w:right w:val="nil"/>
            </w:tcBorders>
            <w:tcMar>
              <w:top w:w="-1" w:type="dxa"/>
              <w:left w:w="-1" w:type="dxa"/>
              <w:bottom w:w="-1" w:type="dxa"/>
              <w:right w:w="-1" w:type="dxa"/>
            </w:tcMar>
            <w:vAlign w:val="center"/>
          </w:tcPr>
          <w:p w14:paraId="707A7EB1">
            <w:pPr>
              <w:snapToGrid w:val="0"/>
              <w:spacing w:line="360" w:lineRule="auto"/>
              <w:ind w:firstLine="0" w:firstLineChars="0"/>
              <w:jc w:val="center"/>
              <w:rPr>
                <w:sz w:val="21"/>
                <w:szCs w:val="21"/>
              </w:rPr>
            </w:pPr>
            <w:r>
              <w:rPr>
                <w:sz w:val="21"/>
                <w:szCs w:val="21"/>
              </w:rPr>
              <w:t>存储数据集、模型权重与实验结果</w:t>
            </w:r>
          </w:p>
        </w:tc>
      </w:tr>
    </w:tbl>
    <w:p w14:paraId="184ABA56">
      <w:pPr>
        <w:pStyle w:val="4"/>
        <w:spacing w:before="120" w:after="120"/>
      </w:pPr>
      <w:bookmarkStart w:id="96" w:name="_Toc7596"/>
      <w:bookmarkStart w:id="97" w:name="_Toc14159"/>
      <w:r>
        <w:t>4.1.2 软件环境</w:t>
      </w:r>
      <w:bookmarkEnd w:id="96"/>
      <w:bookmarkEnd w:id="97"/>
    </w:p>
    <w:p w14:paraId="4567F8FD">
      <w:pPr>
        <w:pStyle w:val="8"/>
        <w:rPr>
          <w:rFonts w:ascii="Times New Roman" w:hAnsi="Times New Roman"/>
        </w:rPr>
      </w:pPr>
      <w:r>
        <w:rPr>
          <w:rFonts w:ascii="Times New Roman" w:hAnsi="Times New Roman"/>
        </w:rPr>
        <w:t>表4-</w:t>
      </w:r>
      <w:r>
        <w:rPr>
          <w:rFonts w:ascii="Times New Roman" w:hAnsi="Times New Roman"/>
        </w:rPr>
        <w:fldChar w:fldCharType="begin"/>
      </w:r>
      <w:r>
        <w:rPr>
          <w:rFonts w:ascii="Times New Roman" w:hAnsi="Times New Roman"/>
        </w:rPr>
        <w:instrText xml:space="preserve"> SEQ 表 \* ARABIC \s 2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bookmarkStart w:id="98" w:name="_Toc25166"/>
      <w:r>
        <w:rPr>
          <w:rFonts w:ascii="Times New Roman" w:hAnsi="Times New Roman"/>
        </w:rPr>
        <w:t>实验软件环境配置</w:t>
      </w:r>
      <w:bookmarkEnd w:id="98"/>
    </w:p>
    <w:tbl>
      <w:tblPr>
        <w:tblStyle w:val="22"/>
        <w:tblW w:w="8528"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952"/>
        <w:gridCol w:w="1867"/>
        <w:gridCol w:w="4709"/>
      </w:tblGrid>
      <w:tr w14:paraId="54893E3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1952" w:type="dxa"/>
            <w:tcBorders>
              <w:top w:val="single" w:color="auto" w:sz="12" w:space="0"/>
              <w:left w:val="nil"/>
              <w:bottom w:val="nil"/>
              <w:right w:val="nil"/>
            </w:tcBorders>
            <w:tcMar>
              <w:top w:w="-1" w:type="dxa"/>
              <w:left w:w="-1" w:type="dxa"/>
              <w:bottom w:w="-1" w:type="dxa"/>
              <w:right w:w="-1" w:type="dxa"/>
            </w:tcMar>
            <w:vAlign w:val="center"/>
          </w:tcPr>
          <w:p w14:paraId="40C7D2D5">
            <w:pPr>
              <w:keepNext/>
              <w:snapToGrid w:val="0"/>
              <w:spacing w:line="360" w:lineRule="auto"/>
              <w:ind w:firstLine="0" w:firstLineChars="0"/>
              <w:jc w:val="center"/>
              <w:rPr>
                <w:sz w:val="21"/>
                <w:szCs w:val="21"/>
              </w:rPr>
            </w:pPr>
            <w:r>
              <w:rPr>
                <w:sz w:val="21"/>
                <w:szCs w:val="21"/>
              </w:rPr>
              <w:t>软件/库名称</w:t>
            </w:r>
          </w:p>
        </w:tc>
        <w:tc>
          <w:tcPr>
            <w:tcW w:w="1867" w:type="dxa"/>
            <w:tcBorders>
              <w:top w:val="single" w:color="auto" w:sz="12" w:space="0"/>
              <w:left w:val="nil"/>
              <w:bottom w:val="nil"/>
              <w:right w:val="nil"/>
            </w:tcBorders>
            <w:tcMar>
              <w:top w:w="-1" w:type="dxa"/>
              <w:left w:w="-1" w:type="dxa"/>
              <w:bottom w:w="-1" w:type="dxa"/>
              <w:right w:w="-1" w:type="dxa"/>
            </w:tcMar>
            <w:vAlign w:val="center"/>
          </w:tcPr>
          <w:p w14:paraId="4CF015D0">
            <w:pPr>
              <w:keepNext/>
              <w:snapToGrid w:val="0"/>
              <w:spacing w:line="360" w:lineRule="auto"/>
              <w:ind w:firstLine="0" w:firstLineChars="0"/>
              <w:jc w:val="center"/>
              <w:rPr>
                <w:sz w:val="21"/>
                <w:szCs w:val="21"/>
              </w:rPr>
            </w:pPr>
            <w:r>
              <w:rPr>
                <w:sz w:val="21"/>
                <w:szCs w:val="21"/>
              </w:rPr>
              <w:t>版本号</w:t>
            </w:r>
          </w:p>
        </w:tc>
        <w:tc>
          <w:tcPr>
            <w:tcW w:w="4709" w:type="dxa"/>
            <w:tcBorders>
              <w:top w:val="single" w:color="auto" w:sz="12" w:space="0"/>
              <w:left w:val="nil"/>
              <w:bottom w:val="nil"/>
              <w:right w:val="nil"/>
            </w:tcBorders>
            <w:tcMar>
              <w:top w:w="-1" w:type="dxa"/>
              <w:left w:w="-1" w:type="dxa"/>
              <w:bottom w:w="-1" w:type="dxa"/>
              <w:right w:w="-1" w:type="dxa"/>
            </w:tcMar>
            <w:vAlign w:val="center"/>
          </w:tcPr>
          <w:p w14:paraId="31819DA3">
            <w:pPr>
              <w:keepNext/>
              <w:snapToGrid w:val="0"/>
              <w:spacing w:line="360" w:lineRule="auto"/>
              <w:ind w:firstLine="0" w:firstLineChars="0"/>
              <w:jc w:val="center"/>
              <w:rPr>
                <w:sz w:val="21"/>
                <w:szCs w:val="21"/>
              </w:rPr>
            </w:pPr>
            <w:r>
              <w:rPr>
                <w:sz w:val="21"/>
                <w:szCs w:val="21"/>
              </w:rPr>
              <w:t>用途</w:t>
            </w:r>
          </w:p>
        </w:tc>
      </w:tr>
      <w:tr w14:paraId="12DC124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952" w:type="dxa"/>
            <w:tcBorders>
              <w:top w:val="single" w:color="auto" w:sz="4" w:space="0"/>
              <w:left w:val="nil"/>
              <w:bottom w:val="nil"/>
              <w:right w:val="nil"/>
            </w:tcBorders>
            <w:tcMar>
              <w:top w:w="-1" w:type="dxa"/>
              <w:left w:w="-1" w:type="dxa"/>
              <w:bottom w:w="-1" w:type="dxa"/>
              <w:right w:w="-1" w:type="dxa"/>
            </w:tcMar>
            <w:vAlign w:val="center"/>
          </w:tcPr>
          <w:p w14:paraId="3024D98A">
            <w:pPr>
              <w:keepNext/>
              <w:snapToGrid w:val="0"/>
              <w:spacing w:line="360" w:lineRule="auto"/>
              <w:ind w:firstLine="0" w:firstLineChars="0"/>
              <w:jc w:val="center"/>
              <w:rPr>
                <w:sz w:val="21"/>
                <w:szCs w:val="21"/>
              </w:rPr>
            </w:pPr>
            <w:r>
              <w:rPr>
                <w:sz w:val="21"/>
                <w:szCs w:val="21"/>
              </w:rPr>
              <w:t>Python</w:t>
            </w:r>
          </w:p>
        </w:tc>
        <w:tc>
          <w:tcPr>
            <w:tcW w:w="1867" w:type="dxa"/>
            <w:tcBorders>
              <w:top w:val="single" w:color="auto" w:sz="4" w:space="0"/>
              <w:left w:val="nil"/>
              <w:bottom w:val="nil"/>
              <w:right w:val="nil"/>
            </w:tcBorders>
            <w:tcMar>
              <w:top w:w="-1" w:type="dxa"/>
              <w:left w:w="-1" w:type="dxa"/>
              <w:bottom w:w="-1" w:type="dxa"/>
              <w:right w:w="-1" w:type="dxa"/>
            </w:tcMar>
            <w:vAlign w:val="center"/>
          </w:tcPr>
          <w:p w14:paraId="10BA4BE4">
            <w:pPr>
              <w:keepNext/>
              <w:snapToGrid w:val="0"/>
              <w:spacing w:line="360" w:lineRule="auto"/>
              <w:ind w:firstLine="0" w:firstLineChars="0"/>
              <w:jc w:val="center"/>
              <w:rPr>
                <w:sz w:val="21"/>
                <w:szCs w:val="21"/>
              </w:rPr>
            </w:pPr>
            <w:r>
              <w:rPr>
                <w:sz w:val="21"/>
                <w:szCs w:val="21"/>
              </w:rPr>
              <w:t>3.9.18</w:t>
            </w:r>
          </w:p>
        </w:tc>
        <w:tc>
          <w:tcPr>
            <w:tcW w:w="4709" w:type="dxa"/>
            <w:tcBorders>
              <w:top w:val="single" w:color="auto" w:sz="4" w:space="0"/>
              <w:left w:val="nil"/>
              <w:bottom w:val="nil"/>
              <w:right w:val="nil"/>
            </w:tcBorders>
            <w:tcMar>
              <w:top w:w="-1" w:type="dxa"/>
              <w:left w:w="-1" w:type="dxa"/>
              <w:bottom w:w="-1" w:type="dxa"/>
              <w:right w:w="-1" w:type="dxa"/>
            </w:tcMar>
            <w:vAlign w:val="center"/>
          </w:tcPr>
          <w:p w14:paraId="55FE2B9D">
            <w:pPr>
              <w:keepNext/>
              <w:snapToGrid w:val="0"/>
              <w:spacing w:line="360" w:lineRule="auto"/>
              <w:ind w:firstLine="0" w:firstLineChars="0"/>
              <w:jc w:val="center"/>
              <w:rPr>
                <w:sz w:val="21"/>
                <w:szCs w:val="21"/>
              </w:rPr>
            </w:pPr>
            <w:r>
              <w:rPr>
                <w:sz w:val="21"/>
                <w:szCs w:val="21"/>
              </w:rPr>
              <w:t>基础编程环境</w:t>
            </w:r>
          </w:p>
        </w:tc>
      </w:tr>
      <w:tr w14:paraId="5472495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952" w:type="dxa"/>
            <w:tcBorders>
              <w:top w:val="nil"/>
              <w:left w:val="nil"/>
              <w:bottom w:val="nil"/>
              <w:right w:val="nil"/>
            </w:tcBorders>
            <w:tcMar>
              <w:top w:w="-1" w:type="dxa"/>
              <w:left w:w="-1" w:type="dxa"/>
              <w:bottom w:w="-1" w:type="dxa"/>
              <w:right w:w="-1" w:type="dxa"/>
            </w:tcMar>
            <w:vAlign w:val="center"/>
          </w:tcPr>
          <w:p w14:paraId="1FB7263C">
            <w:pPr>
              <w:keepNext/>
              <w:snapToGrid w:val="0"/>
              <w:spacing w:line="360" w:lineRule="auto"/>
              <w:ind w:firstLine="0" w:firstLineChars="0"/>
              <w:jc w:val="center"/>
              <w:rPr>
                <w:sz w:val="21"/>
                <w:szCs w:val="21"/>
              </w:rPr>
            </w:pPr>
            <w:r>
              <w:rPr>
                <w:sz w:val="21"/>
                <w:szCs w:val="21"/>
              </w:rPr>
              <w:t>PyTorch</w:t>
            </w:r>
          </w:p>
        </w:tc>
        <w:tc>
          <w:tcPr>
            <w:tcW w:w="1867" w:type="dxa"/>
            <w:tcBorders>
              <w:top w:val="nil"/>
              <w:left w:val="nil"/>
              <w:bottom w:val="nil"/>
              <w:right w:val="nil"/>
            </w:tcBorders>
            <w:tcMar>
              <w:top w:w="-1" w:type="dxa"/>
              <w:left w:w="-1" w:type="dxa"/>
              <w:bottom w:w="-1" w:type="dxa"/>
              <w:right w:w="-1" w:type="dxa"/>
            </w:tcMar>
            <w:vAlign w:val="center"/>
          </w:tcPr>
          <w:p w14:paraId="504294DA">
            <w:pPr>
              <w:keepNext/>
              <w:snapToGrid w:val="0"/>
              <w:spacing w:line="360" w:lineRule="auto"/>
              <w:ind w:firstLine="0" w:firstLineChars="0"/>
              <w:jc w:val="center"/>
              <w:rPr>
                <w:sz w:val="21"/>
                <w:szCs w:val="21"/>
              </w:rPr>
            </w:pPr>
            <w:r>
              <w:rPr>
                <w:sz w:val="21"/>
                <w:szCs w:val="21"/>
              </w:rPr>
              <w:t>2.0.1+cu118</w:t>
            </w:r>
          </w:p>
        </w:tc>
        <w:tc>
          <w:tcPr>
            <w:tcW w:w="4709" w:type="dxa"/>
            <w:tcBorders>
              <w:top w:val="nil"/>
              <w:left w:val="nil"/>
              <w:bottom w:val="nil"/>
              <w:right w:val="nil"/>
            </w:tcBorders>
            <w:tcMar>
              <w:top w:w="-1" w:type="dxa"/>
              <w:left w:w="-1" w:type="dxa"/>
              <w:bottom w:w="-1" w:type="dxa"/>
              <w:right w:w="-1" w:type="dxa"/>
            </w:tcMar>
            <w:vAlign w:val="center"/>
          </w:tcPr>
          <w:p w14:paraId="25554CDC">
            <w:pPr>
              <w:keepNext/>
              <w:snapToGrid w:val="0"/>
              <w:spacing w:line="360" w:lineRule="auto"/>
              <w:ind w:firstLine="0" w:firstLineChars="0"/>
              <w:jc w:val="center"/>
              <w:rPr>
                <w:sz w:val="21"/>
                <w:szCs w:val="21"/>
              </w:rPr>
            </w:pPr>
            <w:r>
              <w:rPr>
                <w:sz w:val="21"/>
                <w:szCs w:val="21"/>
              </w:rPr>
              <w:t>深度学习模型训练（GPU加速）</w:t>
            </w:r>
          </w:p>
        </w:tc>
      </w:tr>
      <w:tr w14:paraId="687082B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952" w:type="dxa"/>
            <w:tcBorders>
              <w:top w:val="nil"/>
              <w:left w:val="nil"/>
              <w:bottom w:val="nil"/>
              <w:right w:val="nil"/>
            </w:tcBorders>
            <w:tcMar>
              <w:top w:w="-1" w:type="dxa"/>
              <w:left w:w="-1" w:type="dxa"/>
              <w:bottom w:w="-1" w:type="dxa"/>
              <w:right w:w="-1" w:type="dxa"/>
            </w:tcMar>
            <w:vAlign w:val="center"/>
          </w:tcPr>
          <w:p w14:paraId="3F74A25D">
            <w:pPr>
              <w:keepNext/>
              <w:snapToGrid w:val="0"/>
              <w:spacing w:line="360" w:lineRule="auto"/>
              <w:ind w:firstLine="0" w:firstLineChars="0"/>
              <w:jc w:val="center"/>
              <w:rPr>
                <w:sz w:val="21"/>
                <w:szCs w:val="21"/>
              </w:rPr>
            </w:pPr>
            <w:r>
              <w:rPr>
                <w:sz w:val="21"/>
                <w:szCs w:val="21"/>
              </w:rPr>
              <w:t>NumPy</w:t>
            </w:r>
          </w:p>
        </w:tc>
        <w:tc>
          <w:tcPr>
            <w:tcW w:w="1867" w:type="dxa"/>
            <w:tcBorders>
              <w:top w:val="nil"/>
              <w:left w:val="nil"/>
              <w:bottom w:val="nil"/>
              <w:right w:val="nil"/>
            </w:tcBorders>
            <w:tcMar>
              <w:top w:w="-1" w:type="dxa"/>
              <w:left w:w="-1" w:type="dxa"/>
              <w:bottom w:w="-1" w:type="dxa"/>
              <w:right w:w="-1" w:type="dxa"/>
            </w:tcMar>
            <w:vAlign w:val="center"/>
          </w:tcPr>
          <w:p w14:paraId="7885AB1D">
            <w:pPr>
              <w:keepNext/>
              <w:snapToGrid w:val="0"/>
              <w:spacing w:line="360" w:lineRule="auto"/>
              <w:ind w:firstLine="0" w:firstLineChars="0"/>
              <w:jc w:val="center"/>
              <w:rPr>
                <w:sz w:val="21"/>
                <w:szCs w:val="21"/>
              </w:rPr>
            </w:pPr>
            <w:r>
              <w:rPr>
                <w:sz w:val="21"/>
                <w:szCs w:val="21"/>
              </w:rPr>
              <w:t>1.24.3</w:t>
            </w:r>
          </w:p>
        </w:tc>
        <w:tc>
          <w:tcPr>
            <w:tcW w:w="4709" w:type="dxa"/>
            <w:tcBorders>
              <w:top w:val="nil"/>
              <w:left w:val="nil"/>
              <w:bottom w:val="nil"/>
              <w:right w:val="nil"/>
            </w:tcBorders>
            <w:tcMar>
              <w:top w:w="-1" w:type="dxa"/>
              <w:left w:w="-1" w:type="dxa"/>
              <w:bottom w:w="-1" w:type="dxa"/>
              <w:right w:w="-1" w:type="dxa"/>
            </w:tcMar>
            <w:vAlign w:val="center"/>
          </w:tcPr>
          <w:p w14:paraId="3B0275DD">
            <w:pPr>
              <w:keepNext/>
              <w:snapToGrid w:val="0"/>
              <w:spacing w:line="360" w:lineRule="auto"/>
              <w:ind w:firstLine="0" w:firstLineChars="0"/>
              <w:jc w:val="center"/>
              <w:rPr>
                <w:sz w:val="21"/>
                <w:szCs w:val="21"/>
              </w:rPr>
            </w:pPr>
            <w:r>
              <w:rPr>
                <w:sz w:val="21"/>
                <w:szCs w:val="21"/>
              </w:rPr>
              <w:t>数值计算（FFT、归一化）</w:t>
            </w:r>
          </w:p>
        </w:tc>
      </w:tr>
      <w:tr w14:paraId="294EC10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952" w:type="dxa"/>
            <w:tcBorders>
              <w:top w:val="nil"/>
              <w:left w:val="nil"/>
              <w:bottom w:val="nil"/>
              <w:right w:val="nil"/>
            </w:tcBorders>
            <w:tcMar>
              <w:top w:w="-1" w:type="dxa"/>
              <w:left w:w="-1" w:type="dxa"/>
              <w:bottom w:w="-1" w:type="dxa"/>
              <w:right w:w="-1" w:type="dxa"/>
            </w:tcMar>
            <w:vAlign w:val="center"/>
          </w:tcPr>
          <w:p w14:paraId="3F5381BE">
            <w:pPr>
              <w:keepNext/>
              <w:snapToGrid w:val="0"/>
              <w:spacing w:line="360" w:lineRule="auto"/>
              <w:ind w:firstLine="0" w:firstLineChars="0"/>
              <w:jc w:val="center"/>
              <w:rPr>
                <w:sz w:val="21"/>
                <w:szCs w:val="21"/>
              </w:rPr>
            </w:pPr>
            <w:r>
              <w:rPr>
                <w:sz w:val="21"/>
                <w:szCs w:val="21"/>
              </w:rPr>
              <w:t>Pandas</w:t>
            </w:r>
          </w:p>
        </w:tc>
        <w:tc>
          <w:tcPr>
            <w:tcW w:w="1867" w:type="dxa"/>
            <w:tcBorders>
              <w:top w:val="nil"/>
              <w:left w:val="nil"/>
              <w:bottom w:val="nil"/>
              <w:right w:val="nil"/>
            </w:tcBorders>
            <w:tcMar>
              <w:top w:w="-1" w:type="dxa"/>
              <w:left w:w="-1" w:type="dxa"/>
              <w:bottom w:w="-1" w:type="dxa"/>
              <w:right w:w="-1" w:type="dxa"/>
            </w:tcMar>
            <w:vAlign w:val="center"/>
          </w:tcPr>
          <w:p w14:paraId="01A53902">
            <w:pPr>
              <w:keepNext/>
              <w:snapToGrid w:val="0"/>
              <w:spacing w:line="360" w:lineRule="auto"/>
              <w:ind w:firstLine="0" w:firstLineChars="0"/>
              <w:jc w:val="center"/>
              <w:rPr>
                <w:sz w:val="21"/>
                <w:szCs w:val="21"/>
              </w:rPr>
            </w:pPr>
            <w:r>
              <w:rPr>
                <w:sz w:val="21"/>
                <w:szCs w:val="21"/>
              </w:rPr>
              <w:t>2.0.3</w:t>
            </w:r>
          </w:p>
        </w:tc>
        <w:tc>
          <w:tcPr>
            <w:tcW w:w="4709" w:type="dxa"/>
            <w:tcBorders>
              <w:top w:val="nil"/>
              <w:left w:val="nil"/>
              <w:bottom w:val="nil"/>
              <w:right w:val="nil"/>
            </w:tcBorders>
            <w:tcMar>
              <w:top w:w="-1" w:type="dxa"/>
              <w:left w:w="-1" w:type="dxa"/>
              <w:bottom w:w="-1" w:type="dxa"/>
              <w:right w:w="-1" w:type="dxa"/>
            </w:tcMar>
            <w:vAlign w:val="center"/>
          </w:tcPr>
          <w:p w14:paraId="3A88B32E">
            <w:pPr>
              <w:keepNext/>
              <w:snapToGrid w:val="0"/>
              <w:spacing w:line="360" w:lineRule="auto"/>
              <w:ind w:firstLine="0" w:firstLineChars="0"/>
              <w:jc w:val="center"/>
              <w:rPr>
                <w:sz w:val="21"/>
                <w:szCs w:val="21"/>
              </w:rPr>
            </w:pPr>
            <w:r>
              <w:rPr>
                <w:sz w:val="21"/>
                <w:szCs w:val="21"/>
              </w:rPr>
              <w:t>XJTU-SY数据集管理与划分</w:t>
            </w:r>
          </w:p>
        </w:tc>
      </w:tr>
      <w:tr w14:paraId="2628C6B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952" w:type="dxa"/>
            <w:tcBorders>
              <w:top w:val="nil"/>
              <w:left w:val="nil"/>
              <w:bottom w:val="nil"/>
              <w:right w:val="nil"/>
            </w:tcBorders>
            <w:tcMar>
              <w:top w:w="-1" w:type="dxa"/>
              <w:left w:w="-1" w:type="dxa"/>
              <w:bottom w:w="-1" w:type="dxa"/>
              <w:right w:w="-1" w:type="dxa"/>
            </w:tcMar>
            <w:vAlign w:val="center"/>
          </w:tcPr>
          <w:p w14:paraId="4D51171E">
            <w:pPr>
              <w:keepNext/>
              <w:snapToGrid w:val="0"/>
              <w:spacing w:line="360" w:lineRule="auto"/>
              <w:ind w:firstLine="0" w:firstLineChars="0"/>
              <w:jc w:val="center"/>
              <w:rPr>
                <w:sz w:val="21"/>
                <w:szCs w:val="21"/>
              </w:rPr>
            </w:pPr>
            <w:r>
              <w:rPr>
                <w:sz w:val="21"/>
                <w:szCs w:val="21"/>
              </w:rPr>
              <w:t>Scikit-learn</w:t>
            </w:r>
          </w:p>
        </w:tc>
        <w:tc>
          <w:tcPr>
            <w:tcW w:w="1867" w:type="dxa"/>
            <w:tcBorders>
              <w:top w:val="nil"/>
              <w:left w:val="nil"/>
              <w:bottom w:val="nil"/>
              <w:right w:val="nil"/>
            </w:tcBorders>
            <w:tcMar>
              <w:top w:w="-1" w:type="dxa"/>
              <w:left w:w="-1" w:type="dxa"/>
              <w:bottom w:w="-1" w:type="dxa"/>
              <w:right w:w="-1" w:type="dxa"/>
            </w:tcMar>
            <w:vAlign w:val="center"/>
          </w:tcPr>
          <w:p w14:paraId="3AF0BC5B">
            <w:pPr>
              <w:keepNext/>
              <w:snapToGrid w:val="0"/>
              <w:spacing w:line="360" w:lineRule="auto"/>
              <w:ind w:firstLine="0" w:firstLineChars="0"/>
              <w:jc w:val="center"/>
              <w:rPr>
                <w:sz w:val="21"/>
                <w:szCs w:val="21"/>
              </w:rPr>
            </w:pPr>
            <w:r>
              <w:rPr>
                <w:sz w:val="21"/>
                <w:szCs w:val="21"/>
              </w:rPr>
              <w:t>1.2.2</w:t>
            </w:r>
          </w:p>
        </w:tc>
        <w:tc>
          <w:tcPr>
            <w:tcW w:w="4709" w:type="dxa"/>
            <w:tcBorders>
              <w:top w:val="nil"/>
              <w:left w:val="nil"/>
              <w:bottom w:val="nil"/>
              <w:right w:val="nil"/>
            </w:tcBorders>
            <w:tcMar>
              <w:top w:w="-1" w:type="dxa"/>
              <w:left w:w="-1" w:type="dxa"/>
              <w:bottom w:w="-1" w:type="dxa"/>
              <w:right w:w="-1" w:type="dxa"/>
            </w:tcMar>
            <w:vAlign w:val="center"/>
          </w:tcPr>
          <w:p w14:paraId="4076BC76">
            <w:pPr>
              <w:keepNext/>
              <w:snapToGrid w:val="0"/>
              <w:spacing w:line="360" w:lineRule="auto"/>
              <w:ind w:firstLine="0" w:firstLineChars="0"/>
              <w:jc w:val="center"/>
              <w:rPr>
                <w:sz w:val="21"/>
                <w:szCs w:val="21"/>
              </w:rPr>
            </w:pPr>
            <w:r>
              <w:rPr>
                <w:sz w:val="21"/>
                <w:szCs w:val="21"/>
              </w:rPr>
              <w:t>PCA降维、评估指标计算</w:t>
            </w:r>
          </w:p>
        </w:tc>
      </w:tr>
      <w:tr w14:paraId="46E1777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952" w:type="dxa"/>
            <w:tcBorders>
              <w:top w:val="nil"/>
              <w:left w:val="nil"/>
              <w:bottom w:val="nil"/>
              <w:right w:val="nil"/>
            </w:tcBorders>
            <w:tcMar>
              <w:top w:w="-1" w:type="dxa"/>
              <w:left w:w="-1" w:type="dxa"/>
              <w:bottom w:w="-1" w:type="dxa"/>
              <w:right w:w="-1" w:type="dxa"/>
            </w:tcMar>
            <w:vAlign w:val="center"/>
          </w:tcPr>
          <w:p w14:paraId="055B6D9D">
            <w:pPr>
              <w:keepNext/>
              <w:snapToGrid w:val="0"/>
              <w:spacing w:line="360" w:lineRule="auto"/>
              <w:ind w:firstLine="0" w:firstLineChars="0"/>
              <w:jc w:val="center"/>
              <w:rPr>
                <w:sz w:val="21"/>
                <w:szCs w:val="21"/>
              </w:rPr>
            </w:pPr>
            <w:r>
              <w:rPr>
                <w:sz w:val="21"/>
                <w:szCs w:val="21"/>
              </w:rPr>
              <w:t>Matplotlib</w:t>
            </w:r>
          </w:p>
        </w:tc>
        <w:tc>
          <w:tcPr>
            <w:tcW w:w="1867" w:type="dxa"/>
            <w:tcBorders>
              <w:top w:val="nil"/>
              <w:left w:val="nil"/>
              <w:bottom w:val="nil"/>
              <w:right w:val="nil"/>
            </w:tcBorders>
            <w:tcMar>
              <w:top w:w="-1" w:type="dxa"/>
              <w:left w:w="-1" w:type="dxa"/>
              <w:bottom w:w="-1" w:type="dxa"/>
              <w:right w:w="-1" w:type="dxa"/>
            </w:tcMar>
            <w:vAlign w:val="center"/>
          </w:tcPr>
          <w:p w14:paraId="1F88D66F">
            <w:pPr>
              <w:keepNext/>
              <w:snapToGrid w:val="0"/>
              <w:spacing w:line="360" w:lineRule="auto"/>
              <w:ind w:firstLine="0" w:firstLineChars="0"/>
              <w:jc w:val="center"/>
              <w:rPr>
                <w:sz w:val="21"/>
                <w:szCs w:val="21"/>
              </w:rPr>
            </w:pPr>
            <w:r>
              <w:rPr>
                <w:sz w:val="21"/>
                <w:szCs w:val="21"/>
              </w:rPr>
              <w:t>3.7.1</w:t>
            </w:r>
          </w:p>
        </w:tc>
        <w:tc>
          <w:tcPr>
            <w:tcW w:w="4709" w:type="dxa"/>
            <w:tcBorders>
              <w:top w:val="nil"/>
              <w:left w:val="nil"/>
              <w:bottom w:val="nil"/>
              <w:right w:val="nil"/>
            </w:tcBorders>
            <w:tcMar>
              <w:top w:w="-1" w:type="dxa"/>
              <w:left w:w="-1" w:type="dxa"/>
              <w:bottom w:w="-1" w:type="dxa"/>
              <w:right w:w="-1" w:type="dxa"/>
            </w:tcMar>
            <w:vAlign w:val="center"/>
          </w:tcPr>
          <w:p w14:paraId="5F973537">
            <w:pPr>
              <w:keepNext/>
              <w:snapToGrid w:val="0"/>
              <w:spacing w:line="360" w:lineRule="auto"/>
              <w:ind w:firstLine="0" w:firstLineChars="0"/>
              <w:jc w:val="center"/>
              <w:rPr>
                <w:sz w:val="21"/>
                <w:szCs w:val="21"/>
              </w:rPr>
            </w:pPr>
            <w:r>
              <w:rPr>
                <w:sz w:val="21"/>
                <w:szCs w:val="21"/>
              </w:rPr>
              <w:t>实验结果可视化（曲线、图表）</w:t>
            </w:r>
          </w:p>
        </w:tc>
      </w:tr>
      <w:tr w14:paraId="7342660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952" w:type="dxa"/>
            <w:tcBorders>
              <w:top w:val="nil"/>
              <w:left w:val="nil"/>
              <w:bottom w:val="nil"/>
              <w:right w:val="nil"/>
            </w:tcBorders>
            <w:tcMar>
              <w:top w:w="-1" w:type="dxa"/>
              <w:left w:w="-1" w:type="dxa"/>
              <w:bottom w:w="-1" w:type="dxa"/>
              <w:right w:w="-1" w:type="dxa"/>
            </w:tcMar>
            <w:vAlign w:val="center"/>
          </w:tcPr>
          <w:p w14:paraId="52B0ED11">
            <w:pPr>
              <w:keepNext/>
              <w:snapToGrid w:val="0"/>
              <w:spacing w:line="360" w:lineRule="auto"/>
              <w:ind w:firstLine="0" w:firstLineChars="0"/>
              <w:jc w:val="center"/>
              <w:rPr>
                <w:sz w:val="21"/>
                <w:szCs w:val="21"/>
              </w:rPr>
            </w:pPr>
            <w:r>
              <w:rPr>
                <w:sz w:val="21"/>
                <w:szCs w:val="21"/>
              </w:rPr>
              <w:t>SciPy</w:t>
            </w:r>
          </w:p>
        </w:tc>
        <w:tc>
          <w:tcPr>
            <w:tcW w:w="1867" w:type="dxa"/>
            <w:tcBorders>
              <w:top w:val="nil"/>
              <w:left w:val="nil"/>
              <w:bottom w:val="nil"/>
              <w:right w:val="nil"/>
            </w:tcBorders>
            <w:tcMar>
              <w:top w:w="-1" w:type="dxa"/>
              <w:left w:w="-1" w:type="dxa"/>
              <w:bottom w:w="-1" w:type="dxa"/>
              <w:right w:w="-1" w:type="dxa"/>
            </w:tcMar>
            <w:vAlign w:val="center"/>
          </w:tcPr>
          <w:p w14:paraId="68838109">
            <w:pPr>
              <w:keepNext/>
              <w:snapToGrid w:val="0"/>
              <w:spacing w:line="360" w:lineRule="auto"/>
              <w:ind w:firstLine="0" w:firstLineChars="0"/>
              <w:jc w:val="center"/>
              <w:rPr>
                <w:sz w:val="21"/>
                <w:szCs w:val="21"/>
              </w:rPr>
            </w:pPr>
            <w:r>
              <w:rPr>
                <w:sz w:val="21"/>
                <w:szCs w:val="21"/>
              </w:rPr>
              <w:t>1.10.1</w:t>
            </w:r>
          </w:p>
        </w:tc>
        <w:tc>
          <w:tcPr>
            <w:tcW w:w="4709" w:type="dxa"/>
            <w:tcBorders>
              <w:top w:val="nil"/>
              <w:left w:val="nil"/>
              <w:bottom w:val="nil"/>
              <w:right w:val="nil"/>
            </w:tcBorders>
            <w:tcMar>
              <w:top w:w="-1" w:type="dxa"/>
              <w:left w:w="-1" w:type="dxa"/>
              <w:bottom w:w="-1" w:type="dxa"/>
              <w:right w:w="-1" w:type="dxa"/>
            </w:tcMar>
            <w:vAlign w:val="center"/>
          </w:tcPr>
          <w:p w14:paraId="17FA2AA3">
            <w:pPr>
              <w:keepNext/>
              <w:snapToGrid w:val="0"/>
              <w:spacing w:line="360" w:lineRule="auto"/>
              <w:ind w:firstLine="0" w:firstLineChars="0"/>
              <w:jc w:val="center"/>
              <w:rPr>
                <w:sz w:val="21"/>
                <w:szCs w:val="21"/>
              </w:rPr>
            </w:pPr>
            <w:r>
              <w:rPr>
                <w:sz w:val="21"/>
                <w:szCs w:val="21"/>
              </w:rPr>
              <w:t>信号处理（FFT实现）</w:t>
            </w:r>
          </w:p>
        </w:tc>
      </w:tr>
      <w:tr w14:paraId="4E685DB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952" w:type="dxa"/>
            <w:tcBorders>
              <w:top w:val="nil"/>
              <w:left w:val="nil"/>
              <w:bottom w:val="single" w:color="auto" w:sz="12" w:space="0"/>
              <w:right w:val="nil"/>
            </w:tcBorders>
            <w:tcMar>
              <w:top w:w="-1" w:type="dxa"/>
              <w:left w:w="-1" w:type="dxa"/>
              <w:bottom w:w="-1" w:type="dxa"/>
              <w:right w:w="-1" w:type="dxa"/>
            </w:tcMar>
            <w:vAlign w:val="center"/>
          </w:tcPr>
          <w:p w14:paraId="55524C27">
            <w:pPr>
              <w:keepNext/>
              <w:snapToGrid w:val="0"/>
              <w:spacing w:line="360" w:lineRule="auto"/>
              <w:ind w:firstLine="0" w:firstLineChars="0"/>
              <w:jc w:val="center"/>
              <w:rPr>
                <w:sz w:val="21"/>
                <w:szCs w:val="21"/>
              </w:rPr>
            </w:pPr>
            <w:r>
              <w:rPr>
                <w:sz w:val="21"/>
                <w:szCs w:val="21"/>
              </w:rPr>
              <w:t>Torchinfo</w:t>
            </w:r>
          </w:p>
        </w:tc>
        <w:tc>
          <w:tcPr>
            <w:tcW w:w="1867" w:type="dxa"/>
            <w:tcBorders>
              <w:top w:val="nil"/>
              <w:left w:val="nil"/>
              <w:bottom w:val="single" w:color="auto" w:sz="12" w:space="0"/>
              <w:right w:val="nil"/>
            </w:tcBorders>
            <w:tcMar>
              <w:top w:w="-1" w:type="dxa"/>
              <w:left w:w="-1" w:type="dxa"/>
              <w:bottom w:w="-1" w:type="dxa"/>
              <w:right w:w="-1" w:type="dxa"/>
            </w:tcMar>
            <w:vAlign w:val="center"/>
          </w:tcPr>
          <w:p w14:paraId="51405400">
            <w:pPr>
              <w:keepNext/>
              <w:snapToGrid w:val="0"/>
              <w:spacing w:line="360" w:lineRule="auto"/>
              <w:ind w:firstLine="0" w:firstLineChars="0"/>
              <w:jc w:val="center"/>
              <w:rPr>
                <w:sz w:val="21"/>
                <w:szCs w:val="21"/>
              </w:rPr>
            </w:pPr>
            <w:r>
              <w:rPr>
                <w:sz w:val="21"/>
                <w:szCs w:val="21"/>
              </w:rPr>
              <w:t>1.8.0</w:t>
            </w:r>
          </w:p>
        </w:tc>
        <w:tc>
          <w:tcPr>
            <w:tcW w:w="4709" w:type="dxa"/>
            <w:tcBorders>
              <w:top w:val="nil"/>
              <w:left w:val="nil"/>
              <w:bottom w:val="single" w:color="auto" w:sz="12" w:space="0"/>
              <w:right w:val="nil"/>
            </w:tcBorders>
            <w:tcMar>
              <w:top w:w="-1" w:type="dxa"/>
              <w:left w:w="-1" w:type="dxa"/>
              <w:bottom w:w="-1" w:type="dxa"/>
              <w:right w:w="-1" w:type="dxa"/>
            </w:tcMar>
            <w:vAlign w:val="center"/>
          </w:tcPr>
          <w:p w14:paraId="2BE36A0E">
            <w:pPr>
              <w:keepNext/>
              <w:snapToGrid w:val="0"/>
              <w:spacing w:line="360" w:lineRule="auto"/>
              <w:ind w:firstLine="0" w:firstLineChars="0"/>
              <w:jc w:val="center"/>
              <w:rPr>
                <w:sz w:val="21"/>
                <w:szCs w:val="21"/>
              </w:rPr>
            </w:pPr>
            <w:r>
              <w:rPr>
                <w:sz w:val="21"/>
                <w:szCs w:val="21"/>
              </w:rPr>
              <w:t>模型结构与参数量分析</w:t>
            </w:r>
          </w:p>
        </w:tc>
      </w:tr>
    </w:tbl>
    <w:p w14:paraId="58BA19D9">
      <w:pPr>
        <w:pStyle w:val="3"/>
        <w:spacing w:before="120" w:after="120"/>
      </w:pPr>
      <w:bookmarkStart w:id="99" w:name="_Toc20528"/>
      <w:bookmarkStart w:id="100" w:name="_Toc21181"/>
      <w:r>
        <w:t>4.2 多工况实验方案设计</w:t>
      </w:r>
      <w:bookmarkEnd w:id="99"/>
      <w:bookmarkEnd w:id="100"/>
    </w:p>
    <w:p w14:paraId="767E8D5E">
      <w:pPr>
        <w:pStyle w:val="4"/>
        <w:spacing w:before="120" w:after="120"/>
      </w:pPr>
      <w:bookmarkStart w:id="101" w:name="_Toc305"/>
      <w:bookmarkStart w:id="102" w:name="_Toc30716"/>
      <w:r>
        <w:t>4.2.1 XJTU-SY数据集多工况分层划分策略</w:t>
      </w:r>
      <w:bookmarkEnd w:id="101"/>
      <w:bookmarkEnd w:id="102"/>
    </w:p>
    <w:p w14:paraId="71D56EA1">
      <w:pPr>
        <w:ind w:firstLine="480"/>
        <w:rPr>
          <w:rFonts w:hint="eastAsia"/>
        </w:rPr>
      </w:pPr>
      <w:r>
        <w:rPr>
          <w:rFonts w:hint="eastAsia"/>
        </w:rPr>
        <w:t>XJTU-SY数据集三种工况，每种工况5个轴承（编号1~5）。评估分单工况和跨工况两套协议。</w:t>
      </w:r>
    </w:p>
    <w:p w14:paraId="08B07557">
      <w:pPr>
        <w:ind w:firstLine="480"/>
        <w:rPr>
          <w:rFonts w:hint="eastAsia"/>
        </w:rPr>
      </w:pPr>
      <w:r>
        <w:rPr>
          <w:rFonts w:hint="eastAsia"/>
        </w:rPr>
        <w:t>（1）单工况实验</w:t>
      </w:r>
    </w:p>
    <w:p w14:paraId="78C4C54A">
      <w:pPr>
        <w:ind w:firstLine="480"/>
        <w:rPr>
          <w:rFonts w:hint="eastAsia"/>
        </w:rPr>
      </w:pPr>
      <w:r>
        <w:rPr>
          <w:rFonts w:hint="eastAsia"/>
        </w:rPr>
        <w:t>每种工况独立跑。训练集用轴承1~3，验证集用轴承4（早停和超参选择），测试集用轴承5。每个工况训5个不同随机种子的模型，评估时5种子预测值取平均做集成。</w:t>
      </w:r>
    </w:p>
    <w:p w14:paraId="75A6B9C7">
      <w:pPr>
        <w:ind w:firstLine="480"/>
        <w:rPr>
          <w:rFonts w:hint="eastAsia"/>
        </w:rPr>
      </w:pPr>
      <w:r>
        <w:rPr>
          <w:rFonts w:hint="eastAsia"/>
        </w:rPr>
        <w:t>（2）跨工况实验</w:t>
      </w:r>
    </w:p>
    <w:p w14:paraId="2ADDBA3E">
      <w:pPr>
        <w:ind w:firstLine="480"/>
      </w:pPr>
      <w:r>
        <w:rPr>
          <w:rFonts w:hint="eastAsia"/>
        </w:rPr>
        <w:t>设了两类任务。第一类单源域→单目标域（6组），一个工况的全部轴承当源域，另一个工况的全部轴承当目标域——比如1→2就是源域工况1、目标域工况2。第二类双源域→单目标域（3组），两个工况的轴承联合当源域，第三个工况当目标域——比如1+2→3。源域内部轴承1~4做训练集、轴承5做验证集，目标域全部5个轴承都拿来做测试。所有跨工况任务同样训5个种子，评估时集成。</w:t>
      </w:r>
    </w:p>
    <w:p w14:paraId="173EB0AC">
      <w:pPr>
        <w:pStyle w:val="4"/>
        <w:spacing w:before="120" w:after="120"/>
      </w:pPr>
      <w:bookmarkStart w:id="103" w:name="_Toc6205"/>
      <w:bookmarkStart w:id="104" w:name="_Toc19532"/>
      <w:r>
        <w:t>4.2.2 对比模型选取与参数设置</w:t>
      </w:r>
      <w:bookmarkEnd w:id="103"/>
      <w:bookmarkEnd w:id="104"/>
    </w:p>
    <w:p w14:paraId="5B0C6949">
      <w:pPr>
        <w:ind w:firstLine="480"/>
      </w:pPr>
      <w:r>
        <w:t>为验证所提SE-ResNet+BiGRU模型的有效性，选取以下7种模型作为对比基准：</w:t>
      </w:r>
    </w:p>
    <w:p w14:paraId="062FF535">
      <w:pPr>
        <w:ind w:firstLine="480"/>
      </w:pPr>
      <w:r>
        <w:t>CNN：双卷积层（64/128通道）+全局平均池化+全连接层；</w:t>
      </w:r>
    </w:p>
    <w:p w14:paraId="78DEA401">
      <w:pPr>
        <w:ind w:firstLine="480"/>
      </w:pPr>
      <w:r>
        <w:t>LSTM：两层单向LSTM，隐藏层维度64；</w:t>
      </w:r>
    </w:p>
    <w:p w14:paraId="1046AB95">
      <w:pPr>
        <w:ind w:firstLine="480"/>
      </w:pPr>
      <w:r>
        <w:t>GRU：两层单向GRU，隐藏层维度64；</w:t>
      </w:r>
    </w:p>
    <w:p w14:paraId="0231384B">
      <w:pPr>
        <w:ind w:firstLine="480"/>
      </w:pPr>
      <w:r>
        <w:t>InformerSEnet：简化版Informer编码器+SE注意力模块，d_model=128；</w:t>
      </w:r>
    </w:p>
    <w:p w14:paraId="35493B76">
      <w:pPr>
        <w:ind w:firstLine="480"/>
      </w:pPr>
      <w:r>
        <w:t>ResNetBiGRU：去除SE模块的残差网络+BiGRU；</w:t>
      </w:r>
    </w:p>
    <w:p w14:paraId="557AE9C5">
      <w:pPr>
        <w:ind w:firstLine="480"/>
      </w:pPr>
      <w:r>
        <w:t>SE-ResNet+GRU：保留SE模块，将BiGRU替换为单向GRU；</w:t>
      </w:r>
    </w:p>
    <w:p w14:paraId="67671B7B">
      <w:pPr>
        <w:ind w:firstLine="480"/>
      </w:pPr>
      <w:r>
        <w:t>SE-ResNet+LSTM：保留SE模块，将BiGRU替换为单向LSTM；</w:t>
      </w:r>
    </w:p>
    <w:p w14:paraId="7996339E">
      <w:pPr>
        <w:ind w:firstLine="480"/>
      </w:pPr>
      <w:r>
        <w:t>所有对比模型的输入维度均为140，其余超参数与所提模型保持一致，以确保对比公平性。</w:t>
      </w:r>
    </w:p>
    <w:p w14:paraId="124730DC">
      <w:pPr>
        <w:pStyle w:val="4"/>
        <w:spacing w:before="120" w:after="120"/>
      </w:pPr>
      <w:bookmarkStart w:id="105" w:name="_Toc7564"/>
      <w:bookmarkStart w:id="106" w:name="_Toc12160"/>
      <w:r>
        <w:t>4.2.3 模型评估指标定义</w:t>
      </w:r>
      <w:bookmarkEnd w:id="105"/>
      <w:bookmarkEnd w:id="106"/>
    </w:p>
    <w:p w14:paraId="502A1028">
      <w:pPr>
        <w:ind w:firstLine="480"/>
        <w:rPr>
          <w:vanish/>
        </w:rPr>
      </w:pPr>
      <w:r>
        <w:rPr>
          <w:rFonts w:hint="eastAsia"/>
        </w:rPr>
        <w:t>为了全面衡量模型在单工况和跨工况下的表现，本文选了六项指标，都是轴承RUL预测领域的标准配置</w:t>
      </w:r>
      <w:r>
        <w:rPr>
          <w:vertAlign w:val="superscript"/>
        </w:rPr>
        <w:fldChar w:fldCharType="begin"/>
      </w:r>
      <w:r>
        <w:instrText xml:space="preserve"> REF _Ref3500 \r \h  \* MERGEFORMAT</w:instrText>
      </w:r>
      <w:r>
        <w:rPr>
          <w:vertAlign w:val="superscript"/>
        </w:rPr>
        <w:fldChar w:fldCharType="separate"/>
      </w:r>
      <w:r>
        <w:rPr>
          <w:vertAlign w:val="superscript"/>
        </w:rPr>
        <w:t>[1]</w:t>
      </w:r>
      <w:r>
        <w:rPr>
          <w:vertAlign w:val="superscript"/>
        </w:rPr>
        <w:fldChar w:fldCharType="end"/>
      </w:r>
      <w:r>
        <w:t>：</w:t>
      </w:r>
      <w:r>
        <w:rPr>
          <w:b/>
          <w:vanish/>
          <w:sz w:val="18"/>
          <w:szCs w:val="21"/>
        </w:rPr>
        <w:fldChar w:fldCharType="begin"/>
      </w:r>
      <w:r>
        <w:rPr>
          <w:b/>
          <w:vanish/>
          <w:sz w:val="18"/>
          <w:szCs w:val="21"/>
        </w:rPr>
        <w:instrText xml:space="preserve"> MACROBUTTON MTEditEquationSection2 </w:instrText>
      </w:r>
      <w:r>
        <w:rPr>
          <w:rStyle w:val="34"/>
          <w:b/>
          <w:vanish/>
          <w:sz w:val="18"/>
          <w:szCs w:val="21"/>
        </w:rPr>
        <w:instrText xml:space="preserve">公式章 4 节 1</w:instrText>
      </w:r>
      <w:r>
        <w:rPr>
          <w:b/>
          <w:vanish/>
          <w:sz w:val="18"/>
          <w:szCs w:val="21"/>
        </w:rPr>
        <w:fldChar w:fldCharType="begin"/>
      </w:r>
      <w:r>
        <w:rPr>
          <w:b/>
          <w:vanish/>
          <w:sz w:val="18"/>
          <w:szCs w:val="21"/>
        </w:rPr>
        <w:instrText xml:space="preserve"> SEQ MTEqn \r \h \* MERGEFORMAT </w:instrText>
      </w:r>
      <w:r>
        <w:rPr>
          <w:b/>
          <w:vanish/>
          <w:sz w:val="18"/>
          <w:szCs w:val="21"/>
        </w:rPr>
        <w:fldChar w:fldCharType="separate"/>
      </w:r>
      <w:r>
        <w:rPr>
          <w:b/>
          <w:vanish/>
          <w:sz w:val="18"/>
          <w:szCs w:val="21"/>
        </w:rPr>
        <w:fldChar w:fldCharType="end"/>
      </w:r>
      <w:r>
        <w:rPr>
          <w:b/>
          <w:vanish/>
          <w:sz w:val="18"/>
          <w:szCs w:val="21"/>
        </w:rPr>
        <w:fldChar w:fldCharType="begin"/>
      </w:r>
      <w:r>
        <w:rPr>
          <w:b/>
          <w:vanish/>
          <w:sz w:val="18"/>
          <w:szCs w:val="21"/>
        </w:rPr>
        <w:instrText xml:space="preserve"> SEQ MTSec \r 1 \h \* MERGEFORMAT </w:instrText>
      </w:r>
      <w:r>
        <w:rPr>
          <w:b/>
          <w:vanish/>
          <w:sz w:val="18"/>
          <w:szCs w:val="21"/>
        </w:rPr>
        <w:fldChar w:fldCharType="separate"/>
      </w:r>
      <w:r>
        <w:rPr>
          <w:b/>
          <w:vanish/>
          <w:sz w:val="18"/>
          <w:szCs w:val="21"/>
        </w:rPr>
        <w:fldChar w:fldCharType="end"/>
      </w:r>
      <w:r>
        <w:rPr>
          <w:b/>
          <w:vanish/>
          <w:sz w:val="18"/>
          <w:szCs w:val="21"/>
        </w:rPr>
        <w:fldChar w:fldCharType="begin"/>
      </w:r>
      <w:r>
        <w:rPr>
          <w:b/>
          <w:vanish/>
          <w:sz w:val="18"/>
          <w:szCs w:val="21"/>
        </w:rPr>
        <w:instrText xml:space="preserve"> SEQ MTChap \r 4 \h \* MERGEFORMAT </w:instrText>
      </w:r>
      <w:r>
        <w:rPr>
          <w:b/>
          <w:vanish/>
          <w:sz w:val="18"/>
          <w:szCs w:val="21"/>
        </w:rPr>
        <w:fldChar w:fldCharType="separate"/>
      </w:r>
      <w:r>
        <w:rPr>
          <w:b/>
          <w:vanish/>
          <w:sz w:val="18"/>
          <w:szCs w:val="21"/>
        </w:rPr>
        <w:fldChar w:fldCharType="end"/>
      </w:r>
      <w:r>
        <w:rPr>
          <w:b/>
          <w:vanish/>
          <w:sz w:val="18"/>
          <w:szCs w:val="21"/>
        </w:rPr>
        <w:fldChar w:fldCharType="separate"/>
      </w:r>
      <w:r>
        <w:rPr>
          <w:b/>
          <w:vanish/>
          <w:sz w:val="18"/>
          <w:szCs w:val="21"/>
        </w:rPr>
        <w:fldChar w:fldCharType="end"/>
      </w:r>
    </w:p>
    <w:p w14:paraId="78BABD1F">
      <w:pPr>
        <w:ind w:firstLine="480"/>
      </w:pPr>
      <w:r>
        <w:t>（1）均方根误差（RMSE）与平均绝对误差（MAE）</w:t>
      </w:r>
    </w:p>
    <w:p w14:paraId="2EF6525D">
      <w:pPr>
        <w:ind w:firstLine="480"/>
      </w:pPr>
      <w:r>
        <w:t>RMSE与MAE是衡量预测值与真实值偏差的最常用指标，单位为分钟，数值越低表示预测精度越高。RMSE对大误差更敏感，MAE反映平均偏差水平，两者互补可全面评估误差分布特征。定义为：</w:t>
      </w:r>
    </w:p>
    <w:p w14:paraId="3AC27641">
      <w:pPr>
        <w:pStyle w:val="30"/>
        <w:spacing w:before="180" w:beforeLines="75" w:after="240"/>
      </w:pPr>
      <w:r>
        <w:tab/>
      </w:r>
      <w:r>
        <w:rPr>
          <w:position w:val="-30"/>
        </w:rPr>
        <w:object>
          <v:shape id="_x0000_i1099" o:spt="75" type="#_x0000_t75" style="height:38pt;width:128pt;" o:ole="t" filled="f" o:preferrelative="t" stroked="f" coordsize="21600,21600">
            <v:path/>
            <v:fill on="f" focussize="0,0"/>
            <v:stroke on="f" joinstyle="miter"/>
            <v:imagedata r:id="rId175" o:title=""/>
            <o:lock v:ext="edit" aspectratio="t"/>
            <w10:wrap type="none"/>
            <w10:anchorlock/>
          </v:shape>
          <o:OLEObject Type="Embed" ProgID="Equation.DSMT4" ShapeID="_x0000_i1099" DrawAspect="Content" ObjectID="_1468075799" r:id="rId174">
            <o:LockedField>false</o:LockedField>
          </o:OLEObject>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separate"/>
      </w:r>
      <w:r>
        <w:fldChar w:fldCharType="end"/>
      </w:r>
      <w:r>
        <w:rPr>
          <w:rFonts w:hint="eastAsia"/>
          <w:lang w:eastAsia="zh-CN"/>
        </w:rPr>
        <w:instrText xml:space="preserve">(</w:instrText>
      </w:r>
      <w:r>
        <w:rPr>
          <w:rFonts w:hint="eastAsia"/>
          <w:lang w:eastAsia="zh-CN"/>
        </w:rPr>
        <w:fldChar w:fldCharType="begin"/>
      </w:r>
      <w:r>
        <w:rPr>
          <w:rFonts w:hint="eastAsia"/>
          <w:lang w:eastAsia="zh-CN"/>
        </w:rPr>
        <w:instrText xml:space="preserve"> SEQ MTChap \c \* Arabic \* MERGEFORMAT </w:instrText>
      </w:r>
      <w:r>
        <w:rPr>
          <w:rFonts w:hint="eastAsia"/>
          <w:lang w:eastAsia="zh-CN"/>
        </w:rPr>
        <w:fldChar w:fldCharType="separate"/>
      </w:r>
      <w:r>
        <w:instrText xml:space="preserve">4</w:instrText>
      </w:r>
      <w:r>
        <w:rPr>
          <w:rFonts w:hint="eastAsia"/>
          <w:lang w:eastAsia="zh-CN"/>
        </w:rPr>
        <w:fldChar w:fldCharType="end"/>
      </w:r>
      <w:r>
        <w:rPr>
          <w:rFonts w:hint="eastAsia"/>
          <w:lang w:eastAsia="zh-CN"/>
        </w:rPr>
        <w:instrText xml:space="preserve">-</w:instrText>
      </w:r>
      <w:r>
        <w:rPr>
          <w:rFonts w:hint="eastAsia"/>
          <w:lang w:eastAsia="zh-CN"/>
        </w:rPr>
        <w:fldChar w:fldCharType="begin"/>
      </w:r>
      <w:r>
        <w:rPr>
          <w:rFonts w:hint="eastAsia"/>
          <w:lang w:eastAsia="zh-CN"/>
        </w:rPr>
        <w:instrText xml:space="preserve"> SEQ MTEqn \c \* Arabic \* MERGEFORMAT </w:instrText>
      </w:r>
      <w:r>
        <w:rPr>
          <w:rFonts w:hint="eastAsia"/>
          <w:lang w:eastAsia="zh-CN"/>
        </w:rPr>
        <w:fldChar w:fldCharType="separate"/>
      </w:r>
      <w:r>
        <w:instrText xml:space="preserve">1</w:instrText>
      </w:r>
      <w:r>
        <w:rPr>
          <w:rFonts w:hint="eastAsia"/>
          <w:lang w:eastAsia="zh-CN"/>
        </w:rPr>
        <w:fldChar w:fldCharType="end"/>
      </w:r>
      <w:r>
        <w:rPr>
          <w:rFonts w:hint="eastAsia"/>
          <w:lang w:eastAsia="zh-CN"/>
        </w:rPr>
        <w:instrText xml:space="preserve">)</w:instrText>
      </w:r>
      <w:r>
        <w:fldChar w:fldCharType="separate"/>
      </w:r>
      <w:r>
        <w:fldChar w:fldCharType="end"/>
      </w:r>
    </w:p>
    <w:p w14:paraId="513F657E">
      <w:pPr>
        <w:pStyle w:val="30"/>
        <w:spacing w:before="240" w:after="180" w:afterLines="75"/>
      </w:pPr>
      <w:r>
        <w:tab/>
      </w:r>
      <w:r>
        <w:rPr>
          <w:position w:val="-28"/>
        </w:rPr>
        <w:object>
          <v:shape id="_x0000_i1100" o:spt="75" type="#_x0000_t75" style="height:34pt;width:103.95pt;" o:ole="t" filled="f" o:preferrelative="t" stroked="f" coordsize="21600,21600">
            <v:path/>
            <v:fill on="f" focussize="0,0"/>
            <v:stroke on="f" joinstyle="miter"/>
            <v:imagedata r:id="rId177" o:title=""/>
            <o:lock v:ext="edit" aspectratio="t"/>
            <w10:wrap type="none"/>
            <w10:anchorlock/>
          </v:shape>
          <o:OLEObject Type="Embed" ProgID="Equation.DSMT4" ShapeID="_x0000_i1100" DrawAspect="Content" ObjectID="_1468075800" r:id="rId176">
            <o:LockedField>false</o:LockedField>
          </o:OLEObject>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separate"/>
      </w:r>
      <w:r>
        <w:fldChar w:fldCharType="end"/>
      </w:r>
      <w:r>
        <w:rPr>
          <w:rFonts w:hint="eastAsia"/>
          <w:lang w:eastAsia="zh-CN"/>
        </w:rPr>
        <w:instrText xml:space="preserve">(</w:instrText>
      </w:r>
      <w:r>
        <w:rPr>
          <w:rFonts w:hint="eastAsia"/>
          <w:lang w:eastAsia="zh-CN"/>
        </w:rPr>
        <w:fldChar w:fldCharType="begin"/>
      </w:r>
      <w:r>
        <w:rPr>
          <w:rFonts w:hint="eastAsia"/>
          <w:lang w:eastAsia="zh-CN"/>
        </w:rPr>
        <w:instrText xml:space="preserve"> SEQ MTChap \c \* Arabic \* MERGEFORMAT </w:instrText>
      </w:r>
      <w:r>
        <w:rPr>
          <w:rFonts w:hint="eastAsia"/>
          <w:lang w:eastAsia="zh-CN"/>
        </w:rPr>
        <w:fldChar w:fldCharType="separate"/>
      </w:r>
      <w:r>
        <w:instrText xml:space="preserve">4</w:instrText>
      </w:r>
      <w:r>
        <w:rPr>
          <w:rFonts w:hint="eastAsia"/>
          <w:lang w:eastAsia="zh-CN"/>
        </w:rPr>
        <w:fldChar w:fldCharType="end"/>
      </w:r>
      <w:r>
        <w:rPr>
          <w:rFonts w:hint="eastAsia"/>
          <w:lang w:eastAsia="zh-CN"/>
        </w:rPr>
        <w:instrText xml:space="preserve">-</w:instrText>
      </w:r>
      <w:r>
        <w:rPr>
          <w:rFonts w:hint="eastAsia"/>
          <w:lang w:eastAsia="zh-CN"/>
        </w:rPr>
        <w:fldChar w:fldCharType="begin"/>
      </w:r>
      <w:r>
        <w:rPr>
          <w:rFonts w:hint="eastAsia"/>
          <w:lang w:eastAsia="zh-CN"/>
        </w:rPr>
        <w:instrText xml:space="preserve"> SEQ MTEqn \c \* Arabic \* MERGEFORMAT </w:instrText>
      </w:r>
      <w:r>
        <w:rPr>
          <w:rFonts w:hint="eastAsia"/>
          <w:lang w:eastAsia="zh-CN"/>
        </w:rPr>
        <w:fldChar w:fldCharType="separate"/>
      </w:r>
      <w:r>
        <w:instrText xml:space="preserve">2</w:instrText>
      </w:r>
      <w:r>
        <w:rPr>
          <w:rFonts w:hint="eastAsia"/>
          <w:lang w:eastAsia="zh-CN"/>
        </w:rPr>
        <w:fldChar w:fldCharType="end"/>
      </w:r>
      <w:r>
        <w:rPr>
          <w:rFonts w:hint="eastAsia"/>
          <w:lang w:eastAsia="zh-CN"/>
        </w:rPr>
        <w:instrText xml:space="preserve">)</w:instrText>
      </w:r>
      <w:r>
        <w:fldChar w:fldCharType="separate"/>
      </w:r>
      <w:r>
        <w:fldChar w:fldCharType="end"/>
      </w:r>
    </w:p>
    <w:p w14:paraId="0825705D">
      <w:pPr>
        <w:ind w:firstLine="480"/>
      </w:pPr>
      <w:r>
        <w:t>式中，</w:t>
      </w:r>
      <w:r>
        <w:rPr>
          <w:position w:val="-6"/>
        </w:rPr>
        <w:object>
          <v:shape id="_x0000_i1101" o:spt="75" type="#_x0000_t75" style="height:13.95pt;width:13.95pt;" o:ole="t" filled="f" o:preferrelative="t" stroked="f" coordsize="21600,21600">
            <v:path/>
            <v:fill on="f" focussize="0,0"/>
            <v:stroke on="f" joinstyle="miter"/>
            <v:imagedata r:id="rId179" o:title=""/>
            <o:lock v:ext="edit" aspectratio="t"/>
            <w10:wrap type="none"/>
            <w10:anchorlock/>
          </v:shape>
          <o:OLEObject Type="Embed" ProgID="Equation.DSMT4" ShapeID="_x0000_i1101" DrawAspect="Content" ObjectID="_1468075801" r:id="rId178">
            <o:LockedField>false</o:LockedField>
          </o:OLEObject>
        </w:object>
      </w:r>
      <w:r>
        <w:t>为测试样本总数，</w:t>
      </w:r>
      <w:r>
        <w:rPr>
          <w:position w:val="-10"/>
        </w:rPr>
        <w:object>
          <v:shape id="_x0000_i1102" o:spt="75" type="#_x0000_t75" style="height:13pt;width:12pt;" o:ole="t" filled="f" o:preferrelative="t" stroked="f" coordsize="21600,21600">
            <v:path/>
            <v:fill on="f" focussize="0,0"/>
            <v:stroke on="f" joinstyle="miter"/>
            <v:imagedata r:id="rId181" o:title=""/>
            <o:lock v:ext="edit" aspectratio="t"/>
            <w10:wrap type="none"/>
            <w10:anchorlock/>
          </v:shape>
          <o:OLEObject Type="Embed" ProgID="Equation.DSMT4" ShapeID="_x0000_i1102" DrawAspect="Content" ObjectID="_1468075802" r:id="rId180">
            <o:LockedField>false</o:LockedField>
          </o:OLEObject>
        </w:object>
      </w:r>
      <w:r>
        <w:t>为第</w:t>
      </w:r>
      <w:r>
        <w:rPr>
          <w:position w:val="-4"/>
        </w:rPr>
        <w:object>
          <v:shape id="_x0000_i1103" o:spt="75" type="#_x0000_t75" style="height:13pt;width:6.95pt;" o:ole="t" filled="f" o:preferrelative="t" stroked="f" coordsize="21600,21600">
            <v:path/>
            <v:fill on="f" focussize="0,0"/>
            <v:stroke on="f" joinstyle="miter"/>
            <v:imagedata r:id="rId183" o:title=""/>
            <o:lock v:ext="edit" aspectratio="t"/>
            <w10:wrap type="none"/>
            <w10:anchorlock/>
          </v:shape>
          <o:OLEObject Type="Embed" ProgID="Equation.DSMT4" ShapeID="_x0000_i1103" DrawAspect="Content" ObjectID="_1468075803" r:id="rId182">
            <o:LockedField>false</o:LockedField>
          </o:OLEObject>
        </w:object>
      </w:r>
      <w:r>
        <w:t>个样本的真实</w:t>
      </w:r>
      <w:r>
        <w:rPr>
          <w:position w:val="-6"/>
        </w:rPr>
        <w:object>
          <v:shape id="_x0000_i1104" o:spt="75" type="#_x0000_t75" style="height:13.95pt;width:27pt;" o:ole="t" filled="f" o:preferrelative="t" stroked="f" coordsize="21600,21600">
            <v:path/>
            <v:fill on="f" focussize="0,0"/>
            <v:stroke on="f" joinstyle="miter"/>
            <v:imagedata r:id="rId185" o:title=""/>
            <o:lock v:ext="edit" aspectratio="t"/>
            <w10:wrap type="none"/>
            <w10:anchorlock/>
          </v:shape>
          <o:OLEObject Type="Embed" ProgID="Equation.DSMT4" ShapeID="_x0000_i1104" DrawAspect="Content" ObjectID="_1468075804" r:id="rId184">
            <o:LockedField>false</o:LockedField>
          </o:OLEObject>
        </w:object>
      </w:r>
      <w:r>
        <w:t>值（分钟），</w:t>
      </w:r>
      <w:r>
        <w:rPr>
          <w:position w:val="-12"/>
        </w:rPr>
        <w:object>
          <v:shape id="_x0000_i1105" o:spt="75" type="#_x0000_t75" style="height:18pt;width:12pt;" o:ole="t" filled="f" o:preferrelative="t" stroked="f" coordsize="21600,21600">
            <v:path/>
            <v:fill on="f" focussize="0,0"/>
            <v:stroke on="f" joinstyle="miter"/>
            <v:imagedata r:id="rId187" o:title=""/>
            <o:lock v:ext="edit" aspectratio="t"/>
            <w10:wrap type="none"/>
            <w10:anchorlock/>
          </v:shape>
          <o:OLEObject Type="Embed" ProgID="Equation.DSMT4" ShapeID="_x0000_i1105" DrawAspect="Content" ObjectID="_1468075805" r:id="rId186">
            <o:LockedField>false</o:LockedField>
          </o:OLEObject>
        </w:object>
      </w:r>
      <w:r>
        <w:t>为模型预测</w:t>
      </w:r>
      <w:r>
        <w:rPr>
          <w:position w:val="-6"/>
        </w:rPr>
        <w:object>
          <v:shape id="_x0000_i1106" o:spt="75" type="#_x0000_t75" style="height:13.95pt;width:27pt;" o:ole="t" filled="f" o:preferrelative="t" stroked="f" coordsize="21600,21600">
            <v:path/>
            <v:fill on="f" focussize="0,0"/>
            <v:stroke on="f" joinstyle="miter"/>
            <v:imagedata r:id="rId189" o:title=""/>
            <o:lock v:ext="edit" aspectratio="f"/>
            <w10:wrap type="none"/>
            <w10:anchorlock/>
          </v:shape>
          <o:OLEObject Type="Embed" ProgID="Equation.DSMT4" ShapeID="_x0000_i1106" DrawAspect="Content" ObjectID="_1468075806" r:id="rId188">
            <o:LockedField>false</o:LockedField>
          </o:OLEObject>
        </w:object>
      </w:r>
      <w:r>
        <w:t>值（分钟）。</w:t>
      </w:r>
    </w:p>
    <w:p w14:paraId="1F544E3E">
      <w:pPr>
        <w:ind w:firstLine="480"/>
      </w:pPr>
      <w:r>
        <w:t>（2）相对均方根误差（</w:t>
      </w:r>
      <w:r>
        <w:rPr>
          <w:position w:val="-6"/>
        </w:rPr>
        <w:object>
          <v:shape id="_x0000_i1107" o:spt="75" type="#_x0000_t75" style="height:13.95pt;width:44pt;" o:ole="t" filled="f" o:preferrelative="t" stroked="f" coordsize="21600,21600">
            <v:path/>
            <v:fill on="f" focussize="0,0"/>
            <v:stroke on="f" joinstyle="miter"/>
            <v:imagedata r:id="rId191" o:title=""/>
            <o:lock v:ext="edit" aspectratio="f"/>
            <w10:wrap type="none"/>
            <w10:anchorlock/>
          </v:shape>
          <o:OLEObject Type="Embed" ProgID="Equation.DSMT4" ShapeID="_x0000_i1107" DrawAspect="Content" ObjectID="_1468075807" r:id="rId190">
            <o:LockedField>false</o:LockedField>
          </o:OLEObject>
        </w:object>
      </w:r>
      <w:r>
        <w:t>）</w:t>
      </w:r>
    </w:p>
    <w:p w14:paraId="004A6BAE">
      <w:pPr>
        <w:ind w:firstLine="480"/>
      </w:pPr>
      <w:r>
        <w:rPr>
          <w:rFonts w:hint="eastAsia"/>
        </w:rPr>
        <w:t>跨工况时，目标域各轴承的寿命尺度差得太远</w:t>
      </w:r>
      <w:r>
        <w:rPr>
          <w:rFonts w:hint="eastAsia"/>
          <w:lang w:eastAsia="zh-CN"/>
        </w:rPr>
        <w:t>。</w:t>
      </w:r>
      <w:r>
        <w:rPr>
          <w:rFonts w:hint="eastAsia"/>
        </w:rPr>
        <w:t>最短的才161分钟，最长的能到2538分钟</w:t>
      </w:r>
      <w:r>
        <w:rPr>
          <w:rFonts w:hint="eastAsia"/>
          <w:lang w:eastAsia="zh-CN"/>
        </w:rPr>
        <w:t>。</w:t>
      </w:r>
      <w:r>
        <w:rPr>
          <w:rFonts w:hint="eastAsia"/>
          <w:lang w:val="en-US" w:eastAsia="zh-CN"/>
        </w:rPr>
        <w:t>所以</w:t>
      </w:r>
      <w:r>
        <w:rPr>
          <w:rFonts w:hint="eastAsia"/>
        </w:rPr>
        <w:t>用绝对RMSE直接比不公平</w:t>
      </w:r>
      <w:r>
        <w:rPr>
          <w:rFonts w:hint="eastAsia"/>
          <w:lang w:eastAsia="zh-CN"/>
        </w:rPr>
        <w:t>，</w:t>
      </w:r>
      <w:r>
        <w:rPr>
          <w:rFonts w:hint="eastAsia"/>
          <w:lang w:val="en-US" w:eastAsia="zh-CN"/>
        </w:rPr>
        <w:t>而</w:t>
      </w:r>
      <w:r>
        <w:rPr>
          <w:rFonts w:hint="eastAsia"/>
        </w:rPr>
        <w:t>NRMSE把RMSE除以目标域真实RUL的极差，消掉了寿命尺度的影响，</w:t>
      </w:r>
      <w:r>
        <w:rPr>
          <w:rFonts w:hint="eastAsia"/>
          <w:lang w:val="en-US" w:eastAsia="zh-CN"/>
        </w:rPr>
        <w:t>相对公平些。</w:t>
      </w:r>
      <w:r>
        <w:t>定义为：</w:t>
      </w:r>
    </w:p>
    <w:p w14:paraId="4211ACCE">
      <w:pPr>
        <w:pStyle w:val="30"/>
        <w:spacing w:before="60" w:beforeLines="25" w:after="180" w:afterLines="75"/>
      </w:pPr>
      <w:r>
        <w:tab/>
      </w:r>
      <w:r>
        <w:rPr>
          <w:position w:val="-28"/>
        </w:rPr>
        <w:object>
          <v:shape id="_x0000_i1108" o:spt="75" type="#_x0000_t75" style="height:33pt;width:174pt;" o:ole="t" filled="f" o:preferrelative="t" stroked="f" coordsize="21600,21600">
            <v:path/>
            <v:fill on="f" focussize="0,0"/>
            <v:stroke on="f" joinstyle="miter"/>
            <v:imagedata r:id="rId193" o:title=""/>
            <o:lock v:ext="edit" aspectratio="t"/>
            <w10:wrap type="none"/>
            <w10:anchorlock/>
          </v:shape>
          <o:OLEObject Type="Embed" ProgID="Equation.DSMT4" ShapeID="_x0000_i1108" DrawAspect="Content" ObjectID="_1468075808" r:id="rId192">
            <o:LockedField>false</o:LockedField>
          </o:OLEObject>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separate"/>
      </w:r>
      <w:r>
        <w:fldChar w:fldCharType="end"/>
      </w:r>
      <w:r>
        <w:rPr>
          <w:rFonts w:hint="eastAsia"/>
          <w:lang w:eastAsia="zh-CN"/>
        </w:rPr>
        <w:instrText xml:space="preserve">(</w:instrText>
      </w:r>
      <w:r>
        <w:rPr>
          <w:rFonts w:hint="eastAsia"/>
          <w:lang w:eastAsia="zh-CN"/>
        </w:rPr>
        <w:fldChar w:fldCharType="begin"/>
      </w:r>
      <w:r>
        <w:rPr>
          <w:rFonts w:hint="eastAsia"/>
          <w:lang w:eastAsia="zh-CN"/>
        </w:rPr>
        <w:instrText xml:space="preserve"> SEQ MTChap \c \* Arabic \* MERGEFORMAT </w:instrText>
      </w:r>
      <w:r>
        <w:rPr>
          <w:rFonts w:hint="eastAsia"/>
          <w:lang w:eastAsia="zh-CN"/>
        </w:rPr>
        <w:fldChar w:fldCharType="separate"/>
      </w:r>
      <w:r>
        <w:instrText xml:space="preserve">4</w:instrText>
      </w:r>
      <w:r>
        <w:rPr>
          <w:rFonts w:hint="eastAsia"/>
          <w:lang w:eastAsia="zh-CN"/>
        </w:rPr>
        <w:fldChar w:fldCharType="end"/>
      </w:r>
      <w:r>
        <w:rPr>
          <w:rFonts w:hint="eastAsia"/>
          <w:lang w:eastAsia="zh-CN"/>
        </w:rPr>
        <w:instrText xml:space="preserve">-</w:instrText>
      </w:r>
      <w:r>
        <w:rPr>
          <w:rFonts w:hint="eastAsia"/>
          <w:lang w:eastAsia="zh-CN"/>
        </w:rPr>
        <w:fldChar w:fldCharType="begin"/>
      </w:r>
      <w:r>
        <w:rPr>
          <w:rFonts w:hint="eastAsia"/>
          <w:lang w:eastAsia="zh-CN"/>
        </w:rPr>
        <w:instrText xml:space="preserve"> SEQ MTEqn \c \* Arabic \* MERGEFORMAT </w:instrText>
      </w:r>
      <w:r>
        <w:rPr>
          <w:rFonts w:hint="eastAsia"/>
          <w:lang w:eastAsia="zh-CN"/>
        </w:rPr>
        <w:fldChar w:fldCharType="separate"/>
      </w:r>
      <w:r>
        <w:instrText xml:space="preserve">3</w:instrText>
      </w:r>
      <w:r>
        <w:rPr>
          <w:rFonts w:hint="eastAsia"/>
          <w:lang w:eastAsia="zh-CN"/>
        </w:rPr>
        <w:fldChar w:fldCharType="end"/>
      </w:r>
      <w:r>
        <w:rPr>
          <w:rFonts w:hint="eastAsia"/>
          <w:lang w:eastAsia="zh-CN"/>
        </w:rPr>
        <w:instrText xml:space="preserve">)</w:instrText>
      </w:r>
      <w:r>
        <w:fldChar w:fldCharType="separate"/>
      </w:r>
      <w:r>
        <w:fldChar w:fldCharType="end"/>
      </w:r>
    </w:p>
    <w:p w14:paraId="3B1F3653">
      <w:pPr>
        <w:ind w:firstLine="480"/>
      </w:pPr>
      <w:r>
        <w:t>式中，</w:t>
      </w:r>
      <w:r>
        <w:rPr>
          <w:position w:val="-10"/>
        </w:rPr>
        <w:object>
          <v:shape id="_x0000_i1109" o:spt="75" type="#_x0000_t75" style="height:16pt;width:40pt;" o:ole="t" filled="f" o:preferrelative="t" stroked="f" coordsize="21600,21600">
            <v:path/>
            <v:fill on="f" focussize="0,0"/>
            <v:stroke on="f" joinstyle="miter"/>
            <v:imagedata r:id="rId195" o:title=""/>
            <o:lock v:ext="edit" aspectratio="f"/>
            <w10:wrap type="none"/>
            <w10:anchorlock/>
          </v:shape>
          <o:OLEObject Type="Embed" ProgID="Equation.DSMT4" ShapeID="_x0000_i1109" DrawAspect="Content" ObjectID="_1468075809" r:id="rId194">
            <o:LockedField>false</o:LockedField>
          </o:OLEObject>
        </w:object>
      </w:r>
      <w:r>
        <w:t>与</w:t>
      </w:r>
      <w:r>
        <w:rPr>
          <w:position w:val="-10"/>
        </w:rPr>
        <w:object>
          <v:shape id="_x0000_i1110" o:spt="75" type="#_x0000_t75" style="height:16pt;width:38pt;" o:ole="t" filled="f" o:preferrelative="t" stroked="f" coordsize="21600,21600">
            <v:path/>
            <v:fill on="f" focussize="0,0"/>
            <v:stroke on="f" joinstyle="miter"/>
            <v:imagedata r:id="rId197" o:title=""/>
            <o:lock v:ext="edit" aspectratio="f"/>
            <w10:wrap type="none"/>
            <w10:anchorlock/>
          </v:shape>
          <o:OLEObject Type="Embed" ProgID="Equation.DSMT4" ShapeID="_x0000_i1110" DrawAspect="Content" ObjectID="_1468075810" r:id="rId196">
            <o:LockedField>false</o:LockedField>
          </o:OLEObject>
        </w:object>
      </w:r>
      <w:r>
        <w:t>分别为目标域测试集中真实RUL的最大值与最小值（分钟）。</w:t>
      </w:r>
    </w:p>
    <w:p w14:paraId="3773EE10">
      <w:pPr>
        <w:ind w:firstLine="480"/>
      </w:pPr>
      <w:r>
        <w:t>（3）</w:t>
      </w:r>
      <w:r>
        <w:rPr>
          <w:position w:val="-4"/>
        </w:rPr>
        <w:object>
          <v:shape id="_x0000_i1111" o:spt="75" type="#_x0000_t75" style="height:13pt;width:31.95pt;" o:ole="t" filled="f" o:preferrelative="t" stroked="f" coordsize="21600,21600">
            <v:path/>
            <v:fill on="f" focussize="0,0"/>
            <v:stroke on="f" joinstyle="miter"/>
            <v:imagedata r:id="rId199" o:title=""/>
            <o:lock v:ext="edit" aspectratio="f"/>
            <w10:wrap type="none"/>
            <w10:anchorlock/>
          </v:shape>
          <o:OLEObject Type="Embed" ProgID="Equation.DSMT4" ShapeID="_x0000_i1111" DrawAspect="Content" ObjectID="_1468075811" r:id="rId198">
            <o:LockedField>false</o:LockedField>
          </o:OLEObject>
        </w:object>
      </w:r>
      <w:r>
        <w:t xml:space="preserve"> 2012评分函数（</w:t>
      </w:r>
      <w:r>
        <w:rPr>
          <w:position w:val="-4"/>
        </w:rPr>
        <w:object>
          <v:shape id="_x0000_i1112" o:spt="75" type="#_x0000_t75" style="height:13pt;width:31.95pt;" o:ole="t" filled="f" o:preferrelative="t" stroked="f" coordsize="21600,21600">
            <v:path/>
            <v:fill on="f" focussize="0,0"/>
            <v:stroke on="f" joinstyle="miter"/>
            <v:imagedata r:id="rId201" o:title=""/>
            <o:lock v:ext="edit" aspectratio="f"/>
            <w10:wrap type="none"/>
            <w10:anchorlock/>
          </v:shape>
          <o:OLEObject Type="Embed" ProgID="Equation.DSMT4" ShapeID="_x0000_i1112" DrawAspect="Content" ObjectID="_1468075812" r:id="rId200">
            <o:LockedField>false</o:LockedField>
          </o:OLEObject>
        </w:object>
      </w:r>
      <w:r>
        <w:t xml:space="preserve"> Score）</w:t>
      </w:r>
    </w:p>
    <w:p w14:paraId="7580A278">
      <w:pPr>
        <w:ind w:firstLine="480"/>
      </w:pPr>
      <w:r>
        <w:rPr>
          <w:rFonts w:hint="eastAsia"/>
          <w:position w:val="-4"/>
        </w:rPr>
        <w:t>PHM Score是IEEE PHM 2012数据挑战赛的官方评分指标，它的非对称惩罚设计</w:t>
      </w:r>
      <w:r>
        <w:rPr>
          <w:rFonts w:hint="eastAsia"/>
          <w:position w:val="-4"/>
          <w:lang w:eastAsia="zh-CN"/>
        </w:rPr>
        <w:t>使</w:t>
      </w:r>
      <w:r>
        <w:rPr>
          <w:rFonts w:hint="eastAsia"/>
          <w:position w:val="-4"/>
        </w:rPr>
        <w:t>高估（预测剩余寿命比真实值长，也就是滞后报警）扣分远重于低估（提前预警），完全贴着工业安全优先的原则走</w:t>
      </w:r>
      <w:r>
        <w:rPr>
          <w:vertAlign w:val="superscript"/>
        </w:rPr>
        <w:fldChar w:fldCharType="begin"/>
      </w:r>
      <w:r>
        <w:instrText xml:space="preserve"> REF _Ref4924 \r \h  \* MERGEFORMAT</w:instrText>
      </w:r>
      <w:r>
        <w:rPr>
          <w:vertAlign w:val="superscript"/>
        </w:rPr>
        <w:fldChar w:fldCharType="separate"/>
      </w:r>
      <w:r>
        <w:rPr>
          <w:vertAlign w:val="superscript"/>
        </w:rPr>
        <w:t>[9]</w:t>
      </w:r>
      <w:r>
        <w:rPr>
          <w:vertAlign w:val="superscript"/>
        </w:rPr>
        <w:fldChar w:fldCharType="end"/>
      </w:r>
      <w:r>
        <w:rPr>
          <w:vertAlign w:val="superscript"/>
        </w:rPr>
        <w:fldChar w:fldCharType="begin"/>
      </w:r>
      <w:r>
        <w:instrText xml:space="preserve"> REF _Ref5411 \r \h  \* MERGEFORMAT</w:instrText>
      </w:r>
      <w:r>
        <w:rPr>
          <w:vertAlign w:val="superscript"/>
        </w:rPr>
        <w:fldChar w:fldCharType="separate"/>
      </w:r>
      <w:r>
        <w:rPr>
          <w:vertAlign w:val="superscript"/>
        </w:rPr>
        <w:t>[17]</w:t>
      </w:r>
      <w:r>
        <w:rPr>
          <w:vertAlign w:val="superscript"/>
        </w:rPr>
        <w:fldChar w:fldCharType="end"/>
      </w:r>
      <w:r>
        <w:t>。</w:t>
      </w:r>
      <w:r>
        <w:rPr>
          <w:rFonts w:hint="eastAsia"/>
        </w:rPr>
        <w:t>评分范围(0,1]，越靠近1越准</w:t>
      </w:r>
      <w:r>
        <w:t>。定义为：</w:t>
      </w:r>
    </w:p>
    <w:p w14:paraId="62E5BA72">
      <w:pPr>
        <w:pStyle w:val="30"/>
        <w:spacing w:before="120" w:beforeLines="50" w:after="180" w:afterLines="75"/>
      </w:pPr>
      <w:r>
        <w:tab/>
      </w:r>
      <w:r>
        <w:rPr>
          <w:position w:val="-28"/>
        </w:rPr>
        <w:object>
          <v:shape id="_x0000_i1113" o:spt="75" type="#_x0000_t75" style="height:34pt;width:84pt;" o:ole="t" filled="f" o:preferrelative="t" stroked="f" coordsize="21600,21600">
            <v:path/>
            <v:fill on="f" focussize="0,0"/>
            <v:stroke on="f" joinstyle="miter"/>
            <v:imagedata r:id="rId203" o:title=""/>
            <o:lock v:ext="edit" aspectratio="t"/>
            <w10:wrap type="none"/>
            <w10:anchorlock/>
          </v:shape>
          <o:OLEObject Type="Embed" ProgID="Equation.DSMT4" ShapeID="_x0000_i1113" DrawAspect="Content" ObjectID="_1468075813" r:id="rId202">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separate"/>
      </w:r>
      <w:r>
        <w:fldChar w:fldCharType="end"/>
      </w:r>
      <w:r>
        <w:rPr>
          <w:rFonts w:hint="eastAsia"/>
          <w:lang w:eastAsia="zh-CN"/>
        </w:rPr>
        <w:instrText xml:space="preserve">(</w:instrText>
      </w:r>
      <w:r>
        <w:rPr>
          <w:rFonts w:hint="eastAsia"/>
          <w:lang w:eastAsia="zh-CN"/>
        </w:rPr>
        <w:fldChar w:fldCharType="begin"/>
      </w:r>
      <w:r>
        <w:rPr>
          <w:rFonts w:hint="eastAsia"/>
          <w:lang w:eastAsia="zh-CN"/>
        </w:rPr>
        <w:instrText xml:space="preserve"> SEQ MTChap \c \* Arabic \* MERGEFORMAT </w:instrText>
      </w:r>
      <w:r>
        <w:rPr>
          <w:rFonts w:hint="eastAsia"/>
          <w:lang w:eastAsia="zh-CN"/>
        </w:rPr>
        <w:fldChar w:fldCharType="separate"/>
      </w:r>
      <w:r>
        <w:instrText xml:space="preserve">4</w:instrText>
      </w:r>
      <w:r>
        <w:rPr>
          <w:rFonts w:hint="eastAsia"/>
          <w:lang w:eastAsia="zh-CN"/>
        </w:rPr>
        <w:fldChar w:fldCharType="end"/>
      </w:r>
      <w:r>
        <w:rPr>
          <w:rFonts w:hint="eastAsia"/>
          <w:lang w:eastAsia="zh-CN"/>
        </w:rPr>
        <w:instrText xml:space="preserve">-</w:instrText>
      </w:r>
      <w:r>
        <w:rPr>
          <w:rFonts w:hint="eastAsia"/>
          <w:lang w:eastAsia="zh-CN"/>
        </w:rPr>
        <w:fldChar w:fldCharType="begin"/>
      </w:r>
      <w:r>
        <w:rPr>
          <w:rFonts w:hint="eastAsia"/>
          <w:lang w:eastAsia="zh-CN"/>
        </w:rPr>
        <w:instrText xml:space="preserve"> SEQ MTEqn \c \* Arabic \* MERGEFORMAT </w:instrText>
      </w:r>
      <w:r>
        <w:rPr>
          <w:rFonts w:hint="eastAsia"/>
          <w:lang w:eastAsia="zh-CN"/>
        </w:rPr>
        <w:fldChar w:fldCharType="separate"/>
      </w:r>
      <w:r>
        <w:instrText xml:space="preserve">4</w:instrText>
      </w:r>
      <w:r>
        <w:rPr>
          <w:rFonts w:hint="eastAsia"/>
          <w:lang w:eastAsia="zh-CN"/>
        </w:rPr>
        <w:fldChar w:fldCharType="end"/>
      </w:r>
      <w:r>
        <w:rPr>
          <w:rFonts w:hint="eastAsia"/>
          <w:lang w:eastAsia="zh-CN"/>
        </w:rPr>
        <w:instrText xml:space="preserve">)</w:instrText>
      </w:r>
      <w:r>
        <w:fldChar w:fldCharType="separate"/>
      </w:r>
      <w:r>
        <w:fldChar w:fldCharType="end"/>
      </w:r>
    </w:p>
    <w:p w14:paraId="222E9423">
      <w:pPr>
        <w:pStyle w:val="30"/>
        <w:spacing w:before="612" w:beforeLines="255" w:after="480" w:afterLines="200"/>
      </w:pPr>
      <w:r>
        <w:tab/>
      </w:r>
      <w:r>
        <w:rPr>
          <w:position w:val="-66"/>
        </w:rPr>
        <w:object>
          <v:shape id="_x0000_i1114" o:spt="75" type="#_x0000_t75" style="height:72pt;width:202pt;" o:ole="t" filled="f" o:preferrelative="t" stroked="f" coordsize="21600,21600">
            <v:path/>
            <v:fill on="f" focussize="0,0"/>
            <v:stroke on="f"/>
            <v:imagedata r:id="rId205" o:title=""/>
            <o:lock v:ext="edit" aspectratio="t"/>
            <w10:wrap type="none"/>
            <w10:anchorlock/>
          </v:shape>
          <o:OLEObject Type="Embed" ProgID="Equation.DSMT4" ShapeID="_x0000_i1114" DrawAspect="Content" ObjectID="_1468075814" r:id="rId204">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separate"/>
      </w:r>
      <w:r>
        <w:fldChar w:fldCharType="end"/>
      </w:r>
      <w:r>
        <w:rPr>
          <w:rFonts w:hint="eastAsia"/>
          <w:lang w:eastAsia="zh-CN"/>
        </w:rPr>
        <w:instrText xml:space="preserve">(</w:instrText>
      </w:r>
      <w:r>
        <w:rPr>
          <w:rFonts w:hint="eastAsia"/>
          <w:lang w:eastAsia="zh-CN"/>
        </w:rPr>
        <w:fldChar w:fldCharType="begin"/>
      </w:r>
      <w:r>
        <w:rPr>
          <w:rFonts w:hint="eastAsia"/>
          <w:lang w:eastAsia="zh-CN"/>
        </w:rPr>
        <w:instrText xml:space="preserve"> SEQ MTChap \c \* Arabic \* MERGEFORMAT </w:instrText>
      </w:r>
      <w:r>
        <w:rPr>
          <w:rFonts w:hint="eastAsia"/>
          <w:lang w:eastAsia="zh-CN"/>
        </w:rPr>
        <w:fldChar w:fldCharType="separate"/>
      </w:r>
      <w:r>
        <w:instrText xml:space="preserve">4</w:instrText>
      </w:r>
      <w:r>
        <w:rPr>
          <w:rFonts w:hint="eastAsia"/>
          <w:lang w:eastAsia="zh-CN"/>
        </w:rPr>
        <w:fldChar w:fldCharType="end"/>
      </w:r>
      <w:r>
        <w:rPr>
          <w:rFonts w:hint="eastAsia"/>
          <w:lang w:eastAsia="zh-CN"/>
        </w:rPr>
        <w:instrText xml:space="preserve">-</w:instrText>
      </w:r>
      <w:r>
        <w:rPr>
          <w:rFonts w:hint="eastAsia"/>
          <w:lang w:eastAsia="zh-CN"/>
        </w:rPr>
        <w:fldChar w:fldCharType="begin"/>
      </w:r>
      <w:r>
        <w:rPr>
          <w:rFonts w:hint="eastAsia"/>
          <w:lang w:eastAsia="zh-CN"/>
        </w:rPr>
        <w:instrText xml:space="preserve"> SEQ MTEqn \c \* Arabic \* MERGEFORMAT </w:instrText>
      </w:r>
      <w:r>
        <w:rPr>
          <w:rFonts w:hint="eastAsia"/>
          <w:lang w:eastAsia="zh-CN"/>
        </w:rPr>
        <w:fldChar w:fldCharType="separate"/>
      </w:r>
      <w:r>
        <w:instrText xml:space="preserve">5</w:instrText>
      </w:r>
      <w:r>
        <w:rPr>
          <w:rFonts w:hint="eastAsia"/>
          <w:lang w:eastAsia="zh-CN"/>
        </w:rPr>
        <w:fldChar w:fldCharType="end"/>
      </w:r>
      <w:r>
        <w:rPr>
          <w:rFonts w:hint="eastAsia"/>
          <w:lang w:eastAsia="zh-CN"/>
        </w:rPr>
        <w:instrText xml:space="preserve">)</w:instrText>
      </w:r>
      <w:r>
        <w:fldChar w:fldCharType="separate"/>
      </w:r>
      <w:r>
        <w:fldChar w:fldCharType="end"/>
      </w:r>
    </w:p>
    <w:p w14:paraId="6FF5CBB1">
      <w:pPr>
        <w:pStyle w:val="30"/>
        <w:spacing w:before="480" w:beforeLines="200" w:after="180" w:afterLines="75"/>
      </w:pPr>
      <w:r>
        <w:tab/>
      </w:r>
      <w:r>
        <w:rPr>
          <w:position w:val="-30"/>
        </w:rPr>
        <w:object>
          <v:shape id="_x0000_i1115" o:spt="75" type="#_x0000_t75" style="height:34pt;width:59pt;" o:ole="t" filled="f" o:preferrelative="t" stroked="f" coordsize="21600,21600">
            <v:path/>
            <v:fill on="f" focussize="0,0"/>
            <v:stroke on="f" joinstyle="miter"/>
            <v:imagedata r:id="rId207" o:title=""/>
            <o:lock v:ext="edit" aspectratio="t"/>
            <w10:wrap type="none"/>
            <w10:anchorlock/>
          </v:shape>
          <o:OLEObject Type="Embed" ProgID="Equation.DSMT4" ShapeID="_x0000_i1115" DrawAspect="Content" ObjectID="_1468075815" r:id="rId206">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separate"/>
      </w:r>
      <w:r>
        <w:fldChar w:fldCharType="end"/>
      </w:r>
      <w:r>
        <w:rPr>
          <w:rFonts w:hint="eastAsia"/>
          <w:lang w:eastAsia="zh-CN"/>
        </w:rPr>
        <w:instrText xml:space="preserve">(</w:instrText>
      </w:r>
      <w:r>
        <w:rPr>
          <w:rFonts w:hint="eastAsia"/>
          <w:lang w:eastAsia="zh-CN"/>
        </w:rPr>
        <w:fldChar w:fldCharType="begin"/>
      </w:r>
      <w:r>
        <w:rPr>
          <w:rFonts w:hint="eastAsia"/>
          <w:lang w:eastAsia="zh-CN"/>
        </w:rPr>
        <w:instrText xml:space="preserve"> SEQ MTChap \c \* Arabic \* MERGEFORMAT </w:instrText>
      </w:r>
      <w:r>
        <w:rPr>
          <w:rFonts w:hint="eastAsia"/>
          <w:lang w:eastAsia="zh-CN"/>
        </w:rPr>
        <w:fldChar w:fldCharType="separate"/>
      </w:r>
      <w:r>
        <w:instrText xml:space="preserve">4</w:instrText>
      </w:r>
      <w:r>
        <w:rPr>
          <w:rFonts w:hint="eastAsia"/>
          <w:lang w:eastAsia="zh-CN"/>
        </w:rPr>
        <w:fldChar w:fldCharType="end"/>
      </w:r>
      <w:r>
        <w:rPr>
          <w:rFonts w:hint="eastAsia"/>
          <w:lang w:eastAsia="zh-CN"/>
        </w:rPr>
        <w:instrText xml:space="preserve">-</w:instrText>
      </w:r>
      <w:r>
        <w:rPr>
          <w:rFonts w:hint="eastAsia"/>
          <w:lang w:eastAsia="zh-CN"/>
        </w:rPr>
        <w:fldChar w:fldCharType="begin"/>
      </w:r>
      <w:r>
        <w:rPr>
          <w:rFonts w:hint="eastAsia"/>
          <w:lang w:eastAsia="zh-CN"/>
        </w:rPr>
        <w:instrText xml:space="preserve"> SEQ MTEqn \c \* Arabic \* MERGEFORMAT </w:instrText>
      </w:r>
      <w:r>
        <w:rPr>
          <w:rFonts w:hint="eastAsia"/>
          <w:lang w:eastAsia="zh-CN"/>
        </w:rPr>
        <w:fldChar w:fldCharType="separate"/>
      </w:r>
      <w:r>
        <w:instrText xml:space="preserve">6</w:instrText>
      </w:r>
      <w:r>
        <w:rPr>
          <w:rFonts w:hint="eastAsia"/>
          <w:lang w:eastAsia="zh-CN"/>
        </w:rPr>
        <w:fldChar w:fldCharType="end"/>
      </w:r>
      <w:r>
        <w:rPr>
          <w:rFonts w:hint="eastAsia"/>
          <w:lang w:eastAsia="zh-CN"/>
        </w:rPr>
        <w:instrText xml:space="preserve">)</w:instrText>
      </w:r>
      <w:r>
        <w:fldChar w:fldCharType="separate"/>
      </w:r>
      <w:r>
        <w:fldChar w:fldCharType="end"/>
      </w:r>
    </w:p>
    <w:p w14:paraId="4394425B">
      <w:pPr>
        <w:ind w:firstLine="480"/>
      </w:pPr>
      <w:r>
        <w:t>式中，</w:t>
      </w:r>
      <w:r>
        <w:rPr>
          <w:position w:val="-4"/>
        </w:rPr>
        <w:object>
          <v:shape id="_x0000_i1116" o:spt="75" type="#_x0000_t75" style="height:13pt;width:16pt;" o:ole="t" filled="f" o:preferrelative="t" stroked="f" coordsize="21600,21600">
            <v:path/>
            <v:fill on="f" focussize="0,0"/>
            <v:stroke on="f" joinstyle="miter"/>
            <v:imagedata r:id="rId209" o:title=""/>
            <o:lock v:ext="edit" aspectratio="t"/>
            <w10:wrap type="none"/>
            <w10:anchorlock/>
          </v:shape>
          <o:OLEObject Type="Embed" ProgID="Equation.DSMT4" ShapeID="_x0000_i1116" DrawAspect="Content" ObjectID="_1468075816" r:id="rId208">
            <o:LockedField>false</o:LockedField>
          </o:OLEObject>
        </w:object>
      </w:r>
      <w:r>
        <w:t>为高估或低估误差项有效的样本数，</w:t>
      </w:r>
      <w:r>
        <w:rPr>
          <w:position w:val="-6"/>
        </w:rPr>
        <w:object>
          <v:shape id="_x0000_i1117" o:spt="75" type="#_x0000_t75" style="height:13.95pt;width:13.95pt;" o:ole="t" filled="f" o:preferrelative="t" stroked="f" coordsize="21600,21600">
            <v:path/>
            <v:fill on="f" focussize="0,0"/>
            <v:stroke on="f"/>
            <v:imagedata r:id="rId211" o:title=""/>
            <o:lock v:ext="edit" aspectratio="t"/>
            <w10:wrap type="none"/>
            <w10:anchorlock/>
          </v:shape>
          <o:OLEObject Type="Embed" ProgID="Equation.DSMT4" ShapeID="_x0000_i1117" DrawAspect="Content" ObjectID="_1468075817" r:id="rId210">
            <o:LockedField>false</o:LockedField>
          </o:OLEObject>
        </w:object>
      </w:r>
      <w:r>
        <w:t>为第</w:t>
      </w:r>
      <w:r>
        <w:rPr>
          <w:position w:val="-6"/>
        </w:rPr>
        <w:object>
          <v:shape id="_x0000_i1118" o:spt="75" type="#_x0000_t75" style="height:13pt;width:6.95pt;" o:ole="t" filled="f" o:preferrelative="t" stroked="f" coordsize="21600,21600">
            <v:path/>
            <v:fill on="f" focussize="0,0"/>
            <v:stroke on="f" joinstyle="miter"/>
            <v:imagedata r:id="rId213" o:title=""/>
            <o:lock v:ext="edit" aspectratio="t"/>
            <w10:wrap type="none"/>
            <w10:anchorlock/>
          </v:shape>
          <o:OLEObject Type="Embed" ProgID="Equation.DSMT4" ShapeID="_x0000_i1118" DrawAspect="Content" ObjectID="_1468075818" r:id="rId212">
            <o:LockedField>false</o:LockedField>
          </o:OLEObject>
        </w:object>
      </w:r>
      <w:r>
        <w:t>个样本的相对误差。</w:t>
      </w:r>
      <w:r>
        <w:rPr>
          <w:rFonts w:hint="eastAsia"/>
          <w:lang w:val="en-US" w:eastAsia="zh-CN"/>
        </w:rPr>
        <w:t>低</w:t>
      </w:r>
      <w:r>
        <w:rPr>
          <w:rFonts w:hint="eastAsia"/>
        </w:rPr>
        <w:t>估时惩罚相对温和</w:t>
      </w:r>
      <w:r>
        <w:rPr>
          <w:rFonts w:hint="eastAsia"/>
          <w:lang w:eastAsia="zh-CN"/>
        </w:rPr>
        <w:t>，</w:t>
      </w:r>
      <w:r>
        <w:rPr>
          <w:rFonts w:hint="eastAsia"/>
        </w:rPr>
        <w:t>误差</w:t>
      </w:r>
      <w:r>
        <w:rPr>
          <w:rFonts w:hint="eastAsia"/>
          <w:lang w:val="en-US" w:eastAsia="zh-CN"/>
        </w:rPr>
        <w:t>是</w:t>
      </w:r>
      <w:r>
        <w:rPr>
          <w:rFonts w:hint="eastAsia"/>
        </w:rPr>
        <w:t>除以20；</w:t>
      </w:r>
      <w:r>
        <w:rPr>
          <w:rFonts w:hint="eastAsia"/>
          <w:lang w:val="en-US" w:eastAsia="zh-CN"/>
        </w:rPr>
        <w:t>高</w:t>
      </w:r>
      <w:r>
        <w:rPr>
          <w:rFonts w:hint="eastAsia"/>
        </w:rPr>
        <w:t>估时惩罚严厉得多</w:t>
      </w:r>
      <w:r>
        <w:rPr>
          <w:rFonts w:hint="eastAsia"/>
          <w:lang w:eastAsia="zh-CN"/>
        </w:rPr>
        <w:t>，</w:t>
      </w:r>
      <w:r>
        <w:rPr>
          <w:rFonts w:hint="eastAsia"/>
        </w:rPr>
        <w:t>误差</w:t>
      </w:r>
      <w:r>
        <w:rPr>
          <w:rFonts w:hint="eastAsia"/>
          <w:lang w:val="en-US" w:eastAsia="zh-CN"/>
        </w:rPr>
        <w:t>是</w:t>
      </w:r>
      <w:r>
        <w:rPr>
          <w:rFonts w:hint="eastAsia"/>
        </w:rPr>
        <w:t>除以5。这</w:t>
      </w:r>
      <w:r>
        <w:rPr>
          <w:rFonts w:hint="eastAsia"/>
          <w:position w:val="-4"/>
        </w:rPr>
        <w:t>套</w:t>
      </w:r>
      <w:r>
        <w:rPr>
          <w:rFonts w:hint="eastAsia"/>
        </w:rPr>
        <w:t>加权方式鼓励提前预警、惩罚滞后报警，跟工业现场的安全准则是一致的。</w:t>
      </w:r>
    </w:p>
    <w:p w14:paraId="29C27D0B">
      <w:pPr>
        <w:ind w:firstLine="480"/>
      </w:pPr>
      <w:r>
        <w:t>（4）预测区间覆盖概率（</w:t>
      </w:r>
      <w:r>
        <w:rPr>
          <w:position w:val="-6"/>
        </w:rPr>
        <w:object>
          <v:shape id="_x0000_i1119" o:spt="75" type="#_x0000_t75" style="height:13.95pt;width:31pt;" o:ole="t" filled="f" o:preferrelative="t" stroked="f" coordsize="21600,21600">
            <v:path/>
            <v:fill on="f" focussize="0,0"/>
            <v:stroke on="f" joinstyle="miter"/>
            <v:imagedata r:id="rId215" o:title=""/>
            <o:lock v:ext="edit" aspectratio="t"/>
            <w10:wrap type="none"/>
            <w10:anchorlock/>
          </v:shape>
          <o:OLEObject Type="Embed" ProgID="Equation.DSMT4" ShapeID="_x0000_i1119" DrawAspect="Content" ObjectID="_1468075819" r:id="rId214">
            <o:LockedField>false</o:LockedField>
          </o:OLEObject>
        </w:object>
      </w:r>
      <w:r>
        <w:t>）与平均预测区间宽度（</w:t>
      </w:r>
      <w:r>
        <w:rPr>
          <w:position w:val="-6"/>
        </w:rPr>
        <w:object>
          <v:shape id="_x0000_i1120" o:spt="75" type="#_x0000_t75" style="height:13.95pt;width:37pt;" o:ole="t" filled="f" o:preferrelative="t" stroked="f" coordsize="21600,21600">
            <v:path/>
            <v:fill on="f" focussize="0,0"/>
            <v:stroke on="f" joinstyle="miter"/>
            <v:imagedata r:id="rId217" o:title=""/>
            <o:lock v:ext="edit" aspectratio="t"/>
            <w10:wrap type="none"/>
            <w10:anchorlock/>
          </v:shape>
          <o:OLEObject Type="Embed" ProgID="Equation.DSMT4" ShapeID="_x0000_i1120" DrawAspect="Content" ObjectID="_1468075820" r:id="rId216">
            <o:LockedField>false</o:LockedField>
          </o:OLEObject>
        </w:object>
      </w:r>
      <w:r>
        <w:t>）</w:t>
      </w:r>
    </w:p>
    <w:p w14:paraId="2543DCA0">
      <w:pPr>
        <w:ind w:firstLine="480"/>
      </w:pPr>
      <w:r>
        <w:t>通过MC Dropout</w:t>
      </w:r>
      <w:r>
        <w:rPr>
          <w:rFonts w:hint="eastAsia"/>
          <w:lang w:val="en-US" w:eastAsia="zh-CN"/>
        </w:rPr>
        <w:t>拿到</w:t>
      </w:r>
      <w:r>
        <w:t>预测均值</w:t>
      </w:r>
      <w:r>
        <w:rPr>
          <w:position w:val="-12"/>
        </w:rPr>
        <w:object>
          <v:shape id="_x0000_i1121" o:spt="75" type="#_x0000_t75" style="height:18pt;width:12pt;" o:ole="t" filled="f" o:preferrelative="t" stroked="f" coordsize="21600,21600">
            <v:path/>
            <v:fill on="f" focussize="0,0"/>
            <v:stroke on="f" joinstyle="miter"/>
            <v:imagedata r:id="rId219" o:title=""/>
            <o:lock v:ext="edit" aspectratio="t"/>
            <w10:wrap type="none"/>
            <w10:anchorlock/>
          </v:shape>
          <o:OLEObject Type="Embed" ProgID="Equation.DSMT4" ShapeID="_x0000_i1121" DrawAspect="Content" ObjectID="_1468075821" r:id="rId218">
            <o:LockedField>false</o:LockedField>
          </o:OLEObject>
        </w:object>
      </w:r>
      <w:r>
        <w:t>与标准差</w:t>
      </w:r>
      <w:r>
        <w:rPr>
          <w:position w:val="-12"/>
        </w:rPr>
        <w:object>
          <v:shape id="_x0000_i1122" o:spt="75" type="#_x0000_t75" style="height:18pt;width:13.95pt;" o:ole="t" filled="f" o:preferrelative="t" stroked="f" coordsize="21600,21600">
            <v:path/>
            <v:fill on="f" focussize="0,0"/>
            <v:stroke on="f" joinstyle="miter"/>
            <v:imagedata r:id="rId221" o:title=""/>
            <o:lock v:ext="edit" aspectratio="t"/>
            <w10:wrap type="none"/>
            <w10:anchorlock/>
          </v:shape>
          <o:OLEObject Type="Embed" ProgID="Equation.DSMT4" ShapeID="_x0000_i1122" DrawAspect="Content" ObjectID="_1468075822" r:id="rId220">
            <o:LockedField>false</o:LockedField>
          </o:OLEObject>
        </w:object>
      </w:r>
      <w:r>
        <w:t>，构建95%置信区间</w:t>
      </w:r>
      <w:r>
        <w:rPr>
          <w:position w:val="-12"/>
        </w:rPr>
        <w:object>
          <v:shape id="_x0000_i1123" o:spt="75" type="#_x0000_t75" style="height:18pt;width:117pt;" o:ole="t" filled="f" o:preferrelative="t" stroked="f" coordsize="21600,21600">
            <v:path/>
            <v:fill on="f" focussize="0,0"/>
            <v:stroke on="f" joinstyle="miter"/>
            <v:imagedata r:id="rId223" o:title=""/>
            <o:lock v:ext="edit" aspectratio="t"/>
            <w10:wrap type="none"/>
            <w10:anchorlock/>
          </v:shape>
          <o:OLEObject Type="Embed" ProgID="Equation.DSMT4" ShapeID="_x0000_i1123" DrawAspect="Content" ObjectID="_1468075823" r:id="rId222">
            <o:LockedField>false</o:LockedField>
          </o:OLEObject>
        </w:object>
      </w:r>
      <w:r>
        <w:t>。</w:t>
      </w:r>
      <w:r>
        <w:rPr>
          <w:position w:val="-6"/>
        </w:rPr>
        <w:object>
          <v:shape id="_x0000_i1124" o:spt="75" type="#_x0000_t75" style="height:13.95pt;width:31pt;" o:ole="t" filled="f" o:preferrelative="t" stroked="f" coordsize="21600,21600">
            <v:path/>
            <v:fill on="f" focussize="0,0"/>
            <v:stroke on="f" joinstyle="miter"/>
            <v:imagedata r:id="rId215" o:title=""/>
            <o:lock v:ext="edit" aspectratio="t"/>
            <w10:wrap type="none"/>
            <w10:anchorlock/>
          </v:shape>
          <o:OLEObject Type="Embed" ProgID="Equation.DSMT4" ShapeID="_x0000_i1124" DrawAspect="Content" ObjectID="_1468075824" r:id="rId224">
            <o:LockedField>false</o:LockedField>
          </o:OLEObject>
        </w:object>
      </w:r>
      <w:r>
        <w:rPr>
          <w:rFonts w:hint="eastAsia"/>
        </w:rPr>
        <w:t>衡量真实RUL掉进这个区间的比例，反映不确定性量化的准头</w:t>
      </w:r>
      <w:r>
        <w:t>；</w:t>
      </w:r>
      <w:r>
        <w:rPr>
          <w:position w:val="-6"/>
        </w:rPr>
        <w:object>
          <v:shape id="_x0000_i1125" o:spt="75" type="#_x0000_t75" style="height:13.95pt;width:37pt;" o:ole="t" filled="f" o:preferrelative="t" stroked="f" coordsize="21600,21600">
            <v:path/>
            <v:fill on="f" focussize="0,0"/>
            <v:stroke on="f" joinstyle="miter"/>
            <v:imagedata r:id="rId226" o:title=""/>
            <o:lock v:ext="edit" aspectratio="t"/>
            <w10:wrap type="none"/>
            <w10:anchorlock/>
          </v:shape>
          <o:OLEObject Type="Embed" ProgID="Equation.DSMT4" ShapeID="_x0000_i1125" DrawAspect="Content" ObjectID="_1468075825" r:id="rId225">
            <o:LockedField>false</o:LockedField>
          </o:OLEObject>
        </w:object>
      </w:r>
      <w:r>
        <w:t>衡量区间的平均宽度，反映预测的确定性程度。两者联合使用可综合评价不确定性量化质量，理想情况下</w:t>
      </w:r>
      <w:r>
        <w:rPr>
          <w:position w:val="-6"/>
        </w:rPr>
        <w:object>
          <v:shape id="_x0000_i1126" o:spt="75" type="#_x0000_t75" style="height:13.95pt;width:31pt;" o:ole="t" filled="f" o:preferrelative="t" stroked="f" coordsize="21600,21600">
            <v:path/>
            <v:fill on="f" focussize="0,0"/>
            <v:stroke on="f" joinstyle="miter"/>
            <v:imagedata r:id="rId228" o:title=""/>
            <o:lock v:ext="edit" aspectratio="t"/>
            <w10:wrap type="none"/>
            <w10:anchorlock/>
          </v:shape>
          <o:OLEObject Type="Embed" ProgID="Equation.DSMT4" ShapeID="_x0000_i1126" DrawAspect="Content" ObjectID="_1468075826" r:id="rId227">
            <o:LockedField>false</o:LockedField>
          </o:OLEObject>
        </w:object>
      </w:r>
      <w:r>
        <w:rPr>
          <w:rFonts w:hint="eastAsia"/>
        </w:rPr>
        <w:t>尽量靠近</w:t>
      </w:r>
      <w:r>
        <w:t>95%，同时</w:t>
      </w:r>
      <w:r>
        <w:rPr>
          <w:position w:val="-6"/>
        </w:rPr>
        <w:object>
          <v:shape id="_x0000_i1127" o:spt="75" type="#_x0000_t75" style="height:13.95pt;width:37pt;" o:ole="t" filled="f" o:preferrelative="t" stroked="f" coordsize="21600,21600">
            <v:path/>
            <v:fill on="f" focussize="0,0"/>
            <v:stroke on="f" joinstyle="miter"/>
            <v:imagedata r:id="rId230" o:title=""/>
            <o:lock v:ext="edit" aspectratio="t"/>
            <w10:wrap type="none"/>
            <w10:anchorlock/>
          </v:shape>
          <o:OLEObject Type="Embed" ProgID="Equation.DSMT4" ShapeID="_x0000_i1127" DrawAspect="Content" ObjectID="_1468075827" r:id="rId229">
            <o:LockedField>false</o:LockedField>
          </o:OLEObject>
        </w:object>
      </w:r>
      <w:r>
        <w:t>应尽可能窄。定义为：</w:t>
      </w:r>
    </w:p>
    <w:p w14:paraId="3773A07F">
      <w:pPr>
        <w:pStyle w:val="30"/>
        <w:spacing w:before="120" w:beforeLines="50" w:after="180" w:afterLines="75"/>
      </w:pPr>
      <w:r>
        <w:tab/>
      </w:r>
      <w:r>
        <w:rPr>
          <w:position w:val="-28"/>
        </w:rPr>
        <w:object>
          <v:shape id="_x0000_i1128" o:spt="75" type="#_x0000_t75" style="height:34pt;width:220pt;" o:ole="t" filled="f" o:preferrelative="t" stroked="f" coordsize="21600,21600">
            <v:path/>
            <v:fill on="f" focussize="0,0"/>
            <v:stroke on="f" joinstyle="miter"/>
            <v:imagedata r:id="rId232" o:title=""/>
            <o:lock v:ext="edit" aspectratio="t"/>
            <w10:wrap type="none"/>
            <w10:anchorlock/>
          </v:shape>
          <o:OLEObject Type="Embed" ProgID="Equation.DSMT4" ShapeID="_x0000_i1128" DrawAspect="Content" ObjectID="_1468075828" r:id="rId231">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separate"/>
      </w:r>
      <w:r>
        <w:fldChar w:fldCharType="end"/>
      </w:r>
      <w:r>
        <w:rPr>
          <w:rFonts w:hint="eastAsia"/>
          <w:lang w:eastAsia="zh-CN"/>
        </w:rPr>
        <w:instrText xml:space="preserve">(</w:instrText>
      </w:r>
      <w:r>
        <w:rPr>
          <w:rFonts w:hint="eastAsia"/>
          <w:lang w:eastAsia="zh-CN"/>
        </w:rPr>
        <w:fldChar w:fldCharType="begin"/>
      </w:r>
      <w:r>
        <w:rPr>
          <w:rFonts w:hint="eastAsia"/>
          <w:lang w:eastAsia="zh-CN"/>
        </w:rPr>
        <w:instrText xml:space="preserve"> SEQ MTChap \c \* Arabic \* MERGEFORMAT </w:instrText>
      </w:r>
      <w:r>
        <w:rPr>
          <w:rFonts w:hint="eastAsia"/>
          <w:lang w:eastAsia="zh-CN"/>
        </w:rPr>
        <w:fldChar w:fldCharType="separate"/>
      </w:r>
      <w:r>
        <w:instrText xml:space="preserve">4</w:instrText>
      </w:r>
      <w:r>
        <w:rPr>
          <w:rFonts w:hint="eastAsia"/>
          <w:lang w:eastAsia="zh-CN"/>
        </w:rPr>
        <w:fldChar w:fldCharType="end"/>
      </w:r>
      <w:r>
        <w:rPr>
          <w:rFonts w:hint="eastAsia"/>
          <w:lang w:eastAsia="zh-CN"/>
        </w:rPr>
        <w:instrText xml:space="preserve">-</w:instrText>
      </w:r>
      <w:r>
        <w:rPr>
          <w:rFonts w:hint="eastAsia"/>
          <w:lang w:eastAsia="zh-CN"/>
        </w:rPr>
        <w:fldChar w:fldCharType="begin"/>
      </w:r>
      <w:r>
        <w:rPr>
          <w:rFonts w:hint="eastAsia"/>
          <w:lang w:eastAsia="zh-CN"/>
        </w:rPr>
        <w:instrText xml:space="preserve"> SEQ MTEqn \c \* Arabic \* MERGEFORMAT </w:instrText>
      </w:r>
      <w:r>
        <w:rPr>
          <w:rFonts w:hint="eastAsia"/>
          <w:lang w:eastAsia="zh-CN"/>
        </w:rPr>
        <w:fldChar w:fldCharType="separate"/>
      </w:r>
      <w:r>
        <w:instrText xml:space="preserve">7</w:instrText>
      </w:r>
      <w:r>
        <w:rPr>
          <w:rFonts w:hint="eastAsia"/>
          <w:lang w:eastAsia="zh-CN"/>
        </w:rPr>
        <w:fldChar w:fldCharType="end"/>
      </w:r>
      <w:r>
        <w:rPr>
          <w:rFonts w:hint="eastAsia"/>
          <w:lang w:eastAsia="zh-CN"/>
        </w:rPr>
        <w:instrText xml:space="preserve">)</w:instrText>
      </w:r>
      <w:r>
        <w:fldChar w:fldCharType="separate"/>
      </w:r>
      <w:r>
        <w:fldChar w:fldCharType="end"/>
      </w:r>
    </w:p>
    <w:p w14:paraId="69E0EEB8">
      <w:pPr>
        <w:pStyle w:val="30"/>
        <w:spacing w:before="240" w:after="180" w:afterLines="75"/>
      </w:pPr>
      <w:r>
        <w:tab/>
      </w:r>
      <w:r>
        <w:rPr>
          <w:position w:val="-28"/>
        </w:rPr>
        <w:object>
          <v:shape id="_x0000_i1129" o:spt="75" type="#_x0000_t75" style="height:34pt;width:283pt;" o:ole="t" filled="f" o:preferrelative="t" stroked="f" coordsize="21600,21600">
            <v:path/>
            <v:fill on="f" focussize="0,0"/>
            <v:stroke on="f" joinstyle="miter"/>
            <v:imagedata r:id="rId234" o:title=""/>
            <o:lock v:ext="edit" aspectratio="t"/>
            <w10:wrap type="none"/>
            <w10:anchorlock/>
          </v:shape>
          <o:OLEObject Type="Embed" ProgID="Equation.DSMT4" ShapeID="_x0000_i1129" DrawAspect="Content" ObjectID="_1468075829" r:id="rId233">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separate"/>
      </w:r>
      <w:r>
        <w:fldChar w:fldCharType="end"/>
      </w:r>
      <w:r>
        <w:rPr>
          <w:rFonts w:hint="eastAsia"/>
          <w:lang w:eastAsia="zh-CN"/>
        </w:rPr>
        <w:instrText xml:space="preserve">(</w:instrText>
      </w:r>
      <w:r>
        <w:rPr>
          <w:rFonts w:hint="eastAsia"/>
          <w:lang w:eastAsia="zh-CN"/>
        </w:rPr>
        <w:fldChar w:fldCharType="begin"/>
      </w:r>
      <w:r>
        <w:rPr>
          <w:rFonts w:hint="eastAsia"/>
          <w:lang w:eastAsia="zh-CN"/>
        </w:rPr>
        <w:instrText xml:space="preserve"> SEQ MTChap \c \* Arabic \* MERGEFORMAT </w:instrText>
      </w:r>
      <w:r>
        <w:rPr>
          <w:rFonts w:hint="eastAsia"/>
          <w:lang w:eastAsia="zh-CN"/>
        </w:rPr>
        <w:fldChar w:fldCharType="separate"/>
      </w:r>
      <w:r>
        <w:instrText xml:space="preserve">4</w:instrText>
      </w:r>
      <w:r>
        <w:rPr>
          <w:rFonts w:hint="eastAsia"/>
          <w:lang w:eastAsia="zh-CN"/>
        </w:rPr>
        <w:fldChar w:fldCharType="end"/>
      </w:r>
      <w:r>
        <w:rPr>
          <w:rFonts w:hint="eastAsia"/>
          <w:lang w:eastAsia="zh-CN"/>
        </w:rPr>
        <w:instrText xml:space="preserve">-</w:instrText>
      </w:r>
      <w:r>
        <w:rPr>
          <w:rFonts w:hint="eastAsia"/>
          <w:lang w:eastAsia="zh-CN"/>
        </w:rPr>
        <w:fldChar w:fldCharType="begin"/>
      </w:r>
      <w:r>
        <w:rPr>
          <w:rFonts w:hint="eastAsia"/>
          <w:lang w:eastAsia="zh-CN"/>
        </w:rPr>
        <w:instrText xml:space="preserve"> SEQ MTEqn \c \* Arabic \* MERGEFORMAT </w:instrText>
      </w:r>
      <w:r>
        <w:rPr>
          <w:rFonts w:hint="eastAsia"/>
          <w:lang w:eastAsia="zh-CN"/>
        </w:rPr>
        <w:fldChar w:fldCharType="separate"/>
      </w:r>
      <w:r>
        <w:instrText xml:space="preserve">8</w:instrText>
      </w:r>
      <w:r>
        <w:rPr>
          <w:rFonts w:hint="eastAsia"/>
          <w:lang w:eastAsia="zh-CN"/>
        </w:rPr>
        <w:fldChar w:fldCharType="end"/>
      </w:r>
      <w:r>
        <w:rPr>
          <w:rFonts w:hint="eastAsia"/>
          <w:lang w:eastAsia="zh-CN"/>
        </w:rPr>
        <w:instrText xml:space="preserve">)</w:instrText>
      </w:r>
      <w:r>
        <w:fldChar w:fldCharType="separate"/>
      </w:r>
      <w:r>
        <w:fldChar w:fldCharType="end"/>
      </w:r>
    </w:p>
    <w:p w14:paraId="7532E6BA">
      <w:pPr>
        <w:ind w:firstLine="480"/>
      </w:pPr>
      <w:r>
        <w:t>式中，</w:t>
      </w:r>
      <w:r>
        <w:rPr>
          <w:position w:val="-10"/>
        </w:rPr>
        <w:object>
          <v:shape id="_x0000_i1130" o:spt="75" type="#_x0000_t75" style="height:16pt;width:19pt;" o:ole="t" filled="f" o:preferrelative="t" stroked="f" coordsize="21600,21600">
            <v:path/>
            <v:fill on="f" focussize="0,0"/>
            <v:stroke on="f" joinstyle="miter"/>
            <v:imagedata r:id="rId236" o:title=""/>
            <o:lock v:ext="edit" aspectratio="t"/>
            <w10:wrap type="none"/>
            <w10:anchorlock/>
          </v:shape>
          <o:OLEObject Type="Embed" ProgID="Equation.DSMT4" ShapeID="_x0000_i1130" DrawAspect="Content" ObjectID="_1468075830" r:id="rId235">
            <o:LockedField>false</o:LockedField>
          </o:OLEObject>
        </w:object>
      </w:r>
      <w:r>
        <w:t>为指示函数，条件成立时取1否则取0；</w:t>
      </w:r>
      <w:r>
        <w:rPr>
          <w:position w:val="-12"/>
        </w:rPr>
        <w:object>
          <v:shape id="_x0000_i1131" o:spt="75" type="#_x0000_t75" style="height:18pt;width:13.95pt;" o:ole="t" filled="f" o:preferrelative="t" stroked="f" coordsize="21600,21600">
            <v:path/>
            <v:fill on="f" focussize="0,0"/>
            <v:stroke on="f" joinstyle="miter"/>
            <v:imagedata r:id="rId238" o:title=""/>
            <o:lock v:ext="edit" aspectratio="t"/>
            <w10:wrap type="none"/>
            <w10:anchorlock/>
          </v:shape>
          <o:OLEObject Type="Embed" ProgID="Equation.DSMT4" ShapeID="_x0000_i1131" DrawAspect="Content" ObjectID="_1468075831" r:id="rId237">
            <o:LockedField>false</o:LockedField>
          </o:OLEObject>
        </w:object>
      </w:r>
      <w:r>
        <w:t>为MCDropout多次采样的标准差。</w:t>
      </w:r>
    </w:p>
    <w:p w14:paraId="3CCA5E43">
      <w:pPr>
        <w:pStyle w:val="4"/>
        <w:spacing w:before="120" w:after="120"/>
      </w:pPr>
      <w:bookmarkStart w:id="107" w:name="_Toc12357"/>
      <w:bookmarkStart w:id="108" w:name="_Toc1234"/>
      <w:r>
        <w:t>4.2.4 训练超参数设置与优化策略</w:t>
      </w:r>
      <w:bookmarkEnd w:id="107"/>
      <w:bookmarkEnd w:id="108"/>
    </w:p>
    <w:p w14:paraId="3A8F115F">
      <w:pPr>
        <w:ind w:firstLine="480"/>
      </w:pPr>
      <w:r>
        <w:t>表4-3汇总了本文模型训练的关键超参数配置。</w:t>
      </w:r>
    </w:p>
    <w:p w14:paraId="1D9A4BF8">
      <w:pPr>
        <w:pStyle w:val="8"/>
        <w:rPr>
          <w:rFonts w:ascii="Times New Roman" w:hAnsi="Times New Roman"/>
        </w:rPr>
      </w:pPr>
      <w:r>
        <w:rPr>
          <w:rFonts w:ascii="Times New Roman" w:hAnsi="Times New Roman"/>
        </w:rPr>
        <w:t>表4-3训练超参数配置</w:t>
      </w:r>
    </w:p>
    <w:tbl>
      <w:tblPr>
        <w:tblStyle w:val="21"/>
        <w:tblW w:w="4999" w:type="pct"/>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80" w:type="dxa"/>
          <w:left w:w="120" w:type="dxa"/>
          <w:bottom w:w="80" w:type="dxa"/>
          <w:right w:w="120" w:type="dxa"/>
        </w:tblCellMar>
      </w:tblPr>
      <w:tblGrid>
        <w:gridCol w:w="3102"/>
        <w:gridCol w:w="5448"/>
      </w:tblGrid>
      <w:tr w14:paraId="2544E3A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80" w:type="dxa"/>
            <w:left w:w="120" w:type="dxa"/>
            <w:bottom w:w="80" w:type="dxa"/>
            <w:right w:w="120" w:type="dxa"/>
          </w:tblCellMar>
        </w:tblPrEx>
        <w:trPr>
          <w:tblHeader/>
          <w:jc w:val="center"/>
        </w:trPr>
        <w:tc>
          <w:tcPr>
            <w:tcW w:w="1814" w:type="pct"/>
            <w:tcBorders>
              <w:top w:val="single" w:color="auto" w:sz="12" w:space="0"/>
              <w:left w:val="nil"/>
              <w:bottom w:val="nil"/>
              <w:right w:val="nil"/>
            </w:tcBorders>
            <w:tcMar>
              <w:top w:w="-1" w:type="dxa"/>
              <w:left w:w="-1" w:type="dxa"/>
              <w:bottom w:w="-1" w:type="dxa"/>
              <w:right w:w="-1" w:type="dxa"/>
            </w:tcMar>
            <w:vAlign w:val="center"/>
          </w:tcPr>
          <w:p w14:paraId="4361367F">
            <w:pPr>
              <w:keepNext/>
              <w:snapToGrid w:val="0"/>
              <w:spacing w:line="360" w:lineRule="auto"/>
              <w:ind w:firstLine="0" w:firstLineChars="0"/>
              <w:jc w:val="center"/>
              <w:rPr>
                <w:sz w:val="21"/>
                <w:szCs w:val="21"/>
              </w:rPr>
            </w:pPr>
            <w:r>
              <w:rPr>
                <w:sz w:val="21"/>
                <w:szCs w:val="21"/>
              </w:rPr>
              <w:t>参数名称</w:t>
            </w:r>
          </w:p>
        </w:tc>
        <w:tc>
          <w:tcPr>
            <w:tcW w:w="3185" w:type="pct"/>
            <w:tcBorders>
              <w:top w:val="single" w:color="auto" w:sz="12" w:space="0"/>
              <w:left w:val="nil"/>
              <w:bottom w:val="nil"/>
              <w:right w:val="nil"/>
            </w:tcBorders>
            <w:tcMar>
              <w:top w:w="-1" w:type="dxa"/>
              <w:left w:w="-1" w:type="dxa"/>
              <w:bottom w:w="-1" w:type="dxa"/>
              <w:right w:w="-1" w:type="dxa"/>
            </w:tcMar>
            <w:vAlign w:val="center"/>
          </w:tcPr>
          <w:p w14:paraId="037471F8">
            <w:pPr>
              <w:keepNext/>
              <w:snapToGrid w:val="0"/>
              <w:spacing w:line="360" w:lineRule="auto"/>
              <w:ind w:firstLine="0" w:firstLineChars="0"/>
              <w:jc w:val="center"/>
              <w:rPr>
                <w:sz w:val="21"/>
                <w:szCs w:val="21"/>
              </w:rPr>
            </w:pPr>
            <w:r>
              <w:rPr>
                <w:sz w:val="21"/>
                <w:szCs w:val="21"/>
              </w:rPr>
              <w:t>取值/设置</w:t>
            </w:r>
          </w:p>
        </w:tc>
      </w:tr>
      <w:tr w14:paraId="66B10DC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80" w:type="dxa"/>
            <w:left w:w="120" w:type="dxa"/>
            <w:bottom w:w="80" w:type="dxa"/>
            <w:right w:w="120" w:type="dxa"/>
          </w:tblCellMar>
        </w:tblPrEx>
        <w:trPr>
          <w:jc w:val="center"/>
        </w:trPr>
        <w:tc>
          <w:tcPr>
            <w:tcW w:w="1814" w:type="pct"/>
            <w:tcBorders>
              <w:top w:val="single" w:color="auto" w:sz="4" w:space="0"/>
              <w:left w:val="nil"/>
              <w:bottom w:val="nil"/>
              <w:right w:val="nil"/>
            </w:tcBorders>
            <w:tcMar>
              <w:top w:w="-1" w:type="dxa"/>
              <w:left w:w="-1" w:type="dxa"/>
              <w:bottom w:w="-1" w:type="dxa"/>
              <w:right w:w="-1" w:type="dxa"/>
            </w:tcMar>
            <w:vAlign w:val="center"/>
          </w:tcPr>
          <w:p w14:paraId="5EDF409B">
            <w:pPr>
              <w:keepNext/>
              <w:snapToGrid w:val="0"/>
              <w:spacing w:line="360" w:lineRule="auto"/>
              <w:ind w:firstLine="0" w:firstLineChars="0"/>
              <w:jc w:val="center"/>
              <w:rPr>
                <w:sz w:val="21"/>
                <w:szCs w:val="21"/>
              </w:rPr>
            </w:pPr>
            <w:r>
              <w:rPr>
                <w:sz w:val="21"/>
                <w:szCs w:val="21"/>
              </w:rPr>
              <w:t>批次大小（BatchSize）</w:t>
            </w:r>
          </w:p>
        </w:tc>
        <w:tc>
          <w:tcPr>
            <w:tcW w:w="3185" w:type="pct"/>
            <w:tcBorders>
              <w:top w:val="single" w:color="auto" w:sz="4" w:space="0"/>
              <w:left w:val="nil"/>
              <w:bottom w:val="nil"/>
              <w:right w:val="nil"/>
            </w:tcBorders>
            <w:tcMar>
              <w:top w:w="-1" w:type="dxa"/>
              <w:left w:w="-1" w:type="dxa"/>
              <w:bottom w:w="-1" w:type="dxa"/>
              <w:right w:w="-1" w:type="dxa"/>
            </w:tcMar>
            <w:vAlign w:val="center"/>
          </w:tcPr>
          <w:p w14:paraId="35BE7591">
            <w:pPr>
              <w:keepNext/>
              <w:snapToGrid w:val="0"/>
              <w:spacing w:line="360" w:lineRule="auto"/>
              <w:ind w:firstLine="0" w:firstLineChars="0"/>
              <w:jc w:val="center"/>
              <w:rPr>
                <w:sz w:val="21"/>
                <w:szCs w:val="21"/>
              </w:rPr>
            </w:pPr>
            <w:r>
              <w:rPr>
                <w:sz w:val="21"/>
                <w:szCs w:val="21"/>
              </w:rPr>
              <w:t>64</w:t>
            </w:r>
          </w:p>
        </w:tc>
      </w:tr>
      <w:tr w14:paraId="4889824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80" w:type="dxa"/>
            <w:left w:w="120" w:type="dxa"/>
            <w:bottom w:w="80" w:type="dxa"/>
            <w:right w:w="120" w:type="dxa"/>
          </w:tblCellMar>
        </w:tblPrEx>
        <w:trPr>
          <w:jc w:val="center"/>
        </w:trPr>
        <w:tc>
          <w:tcPr>
            <w:tcW w:w="1814" w:type="pct"/>
            <w:tcBorders>
              <w:top w:val="nil"/>
              <w:left w:val="nil"/>
              <w:bottom w:val="nil"/>
              <w:right w:val="nil"/>
            </w:tcBorders>
            <w:tcMar>
              <w:top w:w="-1" w:type="dxa"/>
              <w:left w:w="-1" w:type="dxa"/>
              <w:bottom w:w="-1" w:type="dxa"/>
              <w:right w:w="-1" w:type="dxa"/>
            </w:tcMar>
            <w:vAlign w:val="center"/>
          </w:tcPr>
          <w:p w14:paraId="316B27F2">
            <w:pPr>
              <w:keepNext/>
              <w:snapToGrid w:val="0"/>
              <w:spacing w:line="360" w:lineRule="auto"/>
              <w:ind w:firstLine="0" w:firstLineChars="0"/>
              <w:jc w:val="center"/>
              <w:rPr>
                <w:sz w:val="21"/>
                <w:szCs w:val="21"/>
              </w:rPr>
            </w:pPr>
            <w:r>
              <w:rPr>
                <w:sz w:val="21"/>
                <w:szCs w:val="21"/>
              </w:rPr>
              <w:t>最大训练轮数（Epochs）</w:t>
            </w:r>
          </w:p>
        </w:tc>
        <w:tc>
          <w:tcPr>
            <w:tcW w:w="3185" w:type="pct"/>
            <w:tcBorders>
              <w:top w:val="nil"/>
              <w:left w:val="nil"/>
              <w:bottom w:val="nil"/>
              <w:right w:val="nil"/>
            </w:tcBorders>
            <w:tcMar>
              <w:top w:w="-1" w:type="dxa"/>
              <w:left w:w="-1" w:type="dxa"/>
              <w:bottom w:w="-1" w:type="dxa"/>
              <w:right w:w="-1" w:type="dxa"/>
            </w:tcMar>
            <w:vAlign w:val="center"/>
          </w:tcPr>
          <w:p w14:paraId="76E84AC6">
            <w:pPr>
              <w:keepNext/>
              <w:snapToGrid w:val="0"/>
              <w:spacing w:line="360" w:lineRule="auto"/>
              <w:ind w:firstLine="0" w:firstLineChars="0"/>
              <w:jc w:val="center"/>
              <w:rPr>
                <w:sz w:val="21"/>
                <w:szCs w:val="21"/>
              </w:rPr>
            </w:pPr>
            <w:r>
              <w:rPr>
                <w:sz w:val="21"/>
                <w:szCs w:val="21"/>
              </w:rPr>
              <w:t>150</w:t>
            </w:r>
          </w:p>
        </w:tc>
      </w:tr>
      <w:tr w14:paraId="5B1A7C1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80" w:type="dxa"/>
            <w:left w:w="120" w:type="dxa"/>
            <w:bottom w:w="80" w:type="dxa"/>
            <w:right w:w="120" w:type="dxa"/>
          </w:tblCellMar>
        </w:tblPrEx>
        <w:trPr>
          <w:jc w:val="center"/>
        </w:trPr>
        <w:tc>
          <w:tcPr>
            <w:tcW w:w="1814" w:type="pct"/>
            <w:tcBorders>
              <w:top w:val="nil"/>
              <w:left w:val="nil"/>
              <w:bottom w:val="nil"/>
              <w:right w:val="nil"/>
            </w:tcBorders>
            <w:tcMar>
              <w:top w:w="-1" w:type="dxa"/>
              <w:left w:w="-1" w:type="dxa"/>
              <w:bottom w:w="-1" w:type="dxa"/>
              <w:right w:w="-1" w:type="dxa"/>
            </w:tcMar>
            <w:vAlign w:val="center"/>
          </w:tcPr>
          <w:p w14:paraId="5E585488">
            <w:pPr>
              <w:keepNext/>
              <w:snapToGrid w:val="0"/>
              <w:spacing w:line="360" w:lineRule="auto"/>
              <w:ind w:firstLine="0" w:firstLineChars="0"/>
              <w:jc w:val="center"/>
              <w:rPr>
                <w:sz w:val="21"/>
                <w:szCs w:val="21"/>
              </w:rPr>
            </w:pPr>
            <w:r>
              <w:rPr>
                <w:sz w:val="21"/>
                <w:szCs w:val="21"/>
              </w:rPr>
              <w:t>优化器（Optimizer）</w:t>
            </w:r>
          </w:p>
        </w:tc>
        <w:tc>
          <w:tcPr>
            <w:tcW w:w="3185" w:type="pct"/>
            <w:tcBorders>
              <w:top w:val="nil"/>
              <w:left w:val="nil"/>
              <w:bottom w:val="nil"/>
              <w:right w:val="nil"/>
            </w:tcBorders>
            <w:tcMar>
              <w:top w:w="-1" w:type="dxa"/>
              <w:left w:w="-1" w:type="dxa"/>
              <w:bottom w:w="-1" w:type="dxa"/>
              <w:right w:w="-1" w:type="dxa"/>
            </w:tcMar>
            <w:vAlign w:val="center"/>
          </w:tcPr>
          <w:p w14:paraId="7DAFC4B6">
            <w:pPr>
              <w:keepNext/>
              <w:snapToGrid w:val="0"/>
              <w:spacing w:line="360" w:lineRule="auto"/>
              <w:ind w:firstLine="0" w:firstLineChars="0"/>
              <w:jc w:val="center"/>
              <w:rPr>
                <w:sz w:val="21"/>
                <w:szCs w:val="21"/>
              </w:rPr>
            </w:pPr>
            <w:r>
              <w:rPr>
                <w:sz w:val="21"/>
                <w:szCs w:val="21"/>
              </w:rPr>
              <w:t>Adam</w:t>
            </w:r>
            <w:r>
              <w:rPr>
                <w:position w:val="-10"/>
                <w:sz w:val="21"/>
                <w:szCs w:val="21"/>
              </w:rPr>
              <w:object>
                <v:shape id="_x0000_i1132" o:spt="75" type="#_x0000_t75" style="height:17pt;width:113pt;" o:ole="t" filled="f" o:preferrelative="t" stroked="f" coordsize="21600,21600">
                  <v:path/>
                  <v:fill on="f" focussize="0,0"/>
                  <v:stroke on="f" joinstyle="miter"/>
                  <v:imagedata r:id="rId240" o:title=""/>
                  <o:lock v:ext="edit" aspectratio="t"/>
                  <w10:wrap type="none"/>
                  <w10:anchorlock/>
                </v:shape>
                <o:OLEObject Type="Embed" ProgID="Equation.DSMT4" ShapeID="_x0000_i1132" DrawAspect="Content" ObjectID="_1468075832" r:id="rId239">
                  <o:LockedField>false</o:LockedField>
                </o:OLEObject>
              </w:object>
            </w:r>
          </w:p>
        </w:tc>
      </w:tr>
      <w:tr w14:paraId="34459DF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80" w:type="dxa"/>
            <w:left w:w="120" w:type="dxa"/>
            <w:bottom w:w="80" w:type="dxa"/>
            <w:right w:w="120" w:type="dxa"/>
          </w:tblCellMar>
        </w:tblPrEx>
        <w:trPr>
          <w:jc w:val="center"/>
        </w:trPr>
        <w:tc>
          <w:tcPr>
            <w:tcW w:w="1814" w:type="pct"/>
            <w:tcBorders>
              <w:top w:val="nil"/>
              <w:left w:val="nil"/>
              <w:bottom w:val="nil"/>
              <w:right w:val="nil"/>
            </w:tcBorders>
            <w:tcMar>
              <w:top w:w="-1" w:type="dxa"/>
              <w:left w:w="-1" w:type="dxa"/>
              <w:bottom w:w="-1" w:type="dxa"/>
              <w:right w:w="-1" w:type="dxa"/>
            </w:tcMar>
            <w:vAlign w:val="center"/>
          </w:tcPr>
          <w:p w14:paraId="22186A6F">
            <w:pPr>
              <w:keepNext/>
              <w:snapToGrid w:val="0"/>
              <w:spacing w:line="360" w:lineRule="auto"/>
              <w:ind w:firstLine="0" w:firstLineChars="0"/>
              <w:jc w:val="center"/>
              <w:rPr>
                <w:sz w:val="21"/>
                <w:szCs w:val="21"/>
              </w:rPr>
            </w:pPr>
            <w:r>
              <w:rPr>
                <w:sz w:val="21"/>
                <w:szCs w:val="21"/>
              </w:rPr>
              <w:t>初始学习率</w:t>
            </w:r>
          </w:p>
        </w:tc>
        <w:tc>
          <w:tcPr>
            <w:tcW w:w="3185" w:type="pct"/>
            <w:tcBorders>
              <w:top w:val="nil"/>
              <w:left w:val="nil"/>
              <w:bottom w:val="nil"/>
              <w:right w:val="nil"/>
            </w:tcBorders>
            <w:tcMar>
              <w:top w:w="-1" w:type="dxa"/>
              <w:left w:w="-1" w:type="dxa"/>
              <w:bottom w:w="-1" w:type="dxa"/>
              <w:right w:w="-1" w:type="dxa"/>
            </w:tcMar>
            <w:vAlign w:val="center"/>
          </w:tcPr>
          <w:p w14:paraId="1DB7EE81">
            <w:pPr>
              <w:keepNext/>
              <w:snapToGrid w:val="0"/>
              <w:spacing w:line="360" w:lineRule="auto"/>
              <w:ind w:firstLine="0" w:firstLineChars="0"/>
              <w:jc w:val="center"/>
              <w:rPr>
                <w:sz w:val="21"/>
                <w:szCs w:val="21"/>
              </w:rPr>
            </w:pPr>
            <w:r>
              <w:rPr>
                <w:position w:val="-6"/>
                <w:sz w:val="21"/>
                <w:szCs w:val="21"/>
              </w:rPr>
              <w:object>
                <v:shape id="_x0000_i1133" o:spt="75" type="#_x0000_t75" style="height:16pt;width:35pt;" o:ole="t" filled="f" o:preferrelative="t" stroked="f" coordsize="21600,21600">
                  <v:path/>
                  <v:fill on="f" focussize="0,0"/>
                  <v:stroke on="f" joinstyle="miter"/>
                  <v:imagedata r:id="rId242" o:title=""/>
                  <o:lock v:ext="edit" aspectratio="t"/>
                  <w10:wrap type="none"/>
                  <w10:anchorlock/>
                </v:shape>
                <o:OLEObject Type="Embed" ProgID="Equation.DSMT4" ShapeID="_x0000_i1133" DrawAspect="Content" ObjectID="_1468075833" r:id="rId241">
                  <o:LockedField>false</o:LockedField>
                </o:OLEObject>
              </w:object>
            </w:r>
          </w:p>
        </w:tc>
      </w:tr>
      <w:tr w14:paraId="4BBDE0F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80" w:type="dxa"/>
            <w:left w:w="120" w:type="dxa"/>
            <w:bottom w:w="80" w:type="dxa"/>
            <w:right w:w="120" w:type="dxa"/>
          </w:tblCellMar>
        </w:tblPrEx>
        <w:trPr>
          <w:jc w:val="center"/>
        </w:trPr>
        <w:tc>
          <w:tcPr>
            <w:tcW w:w="1814" w:type="pct"/>
            <w:tcBorders>
              <w:top w:val="nil"/>
              <w:left w:val="nil"/>
              <w:bottom w:val="nil"/>
              <w:right w:val="nil"/>
            </w:tcBorders>
            <w:tcMar>
              <w:top w:w="-1" w:type="dxa"/>
              <w:left w:w="-1" w:type="dxa"/>
              <w:bottom w:w="-1" w:type="dxa"/>
              <w:right w:w="-1" w:type="dxa"/>
            </w:tcMar>
            <w:vAlign w:val="center"/>
          </w:tcPr>
          <w:p w14:paraId="6DC9AAB3">
            <w:pPr>
              <w:keepNext/>
              <w:snapToGrid w:val="0"/>
              <w:spacing w:line="360" w:lineRule="auto"/>
              <w:ind w:firstLine="0" w:firstLineChars="0"/>
              <w:jc w:val="center"/>
              <w:rPr>
                <w:sz w:val="21"/>
                <w:szCs w:val="21"/>
              </w:rPr>
            </w:pPr>
            <w:r>
              <w:rPr>
                <w:sz w:val="21"/>
                <w:szCs w:val="21"/>
              </w:rPr>
              <w:t>学习率调度策略</w:t>
            </w:r>
          </w:p>
        </w:tc>
        <w:tc>
          <w:tcPr>
            <w:tcW w:w="3185" w:type="pct"/>
            <w:tcBorders>
              <w:top w:val="nil"/>
              <w:left w:val="nil"/>
              <w:bottom w:val="nil"/>
              <w:right w:val="nil"/>
            </w:tcBorders>
            <w:tcMar>
              <w:top w:w="-1" w:type="dxa"/>
              <w:left w:w="-1" w:type="dxa"/>
              <w:bottom w:w="-1" w:type="dxa"/>
              <w:right w:w="-1" w:type="dxa"/>
            </w:tcMar>
            <w:vAlign w:val="center"/>
          </w:tcPr>
          <w:p w14:paraId="6CA6880A">
            <w:pPr>
              <w:keepNext/>
              <w:snapToGrid w:val="0"/>
              <w:spacing w:line="360" w:lineRule="auto"/>
              <w:ind w:firstLine="0" w:firstLineChars="0"/>
              <w:jc w:val="center"/>
              <w:rPr>
                <w:sz w:val="21"/>
                <w:szCs w:val="21"/>
              </w:rPr>
            </w:pPr>
            <w:r>
              <w:rPr>
                <w:sz w:val="21"/>
                <w:szCs w:val="21"/>
              </w:rPr>
              <w:t>ReduceLROnPlateau</w:t>
            </w:r>
          </w:p>
        </w:tc>
      </w:tr>
      <w:tr w14:paraId="0A3D8A0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80" w:type="dxa"/>
            <w:left w:w="120" w:type="dxa"/>
            <w:bottom w:w="80" w:type="dxa"/>
            <w:right w:w="120" w:type="dxa"/>
          </w:tblCellMar>
        </w:tblPrEx>
        <w:trPr>
          <w:jc w:val="center"/>
        </w:trPr>
        <w:tc>
          <w:tcPr>
            <w:tcW w:w="1814" w:type="pct"/>
            <w:tcBorders>
              <w:top w:val="nil"/>
              <w:left w:val="nil"/>
              <w:bottom w:val="nil"/>
              <w:right w:val="nil"/>
            </w:tcBorders>
            <w:tcMar>
              <w:top w:w="-1" w:type="dxa"/>
              <w:left w:w="-1" w:type="dxa"/>
              <w:bottom w:w="-1" w:type="dxa"/>
              <w:right w:w="-1" w:type="dxa"/>
            </w:tcMar>
            <w:vAlign w:val="center"/>
          </w:tcPr>
          <w:p w14:paraId="4E6B5A63">
            <w:pPr>
              <w:keepNext/>
              <w:snapToGrid w:val="0"/>
              <w:spacing w:line="360" w:lineRule="auto"/>
              <w:ind w:firstLine="0" w:firstLineChars="0"/>
              <w:jc w:val="center"/>
              <w:rPr>
                <w:sz w:val="21"/>
                <w:szCs w:val="21"/>
              </w:rPr>
            </w:pPr>
            <w:r>
              <w:rPr>
                <w:sz w:val="21"/>
                <w:szCs w:val="21"/>
              </w:rPr>
              <w:t>调度触发条件</w:t>
            </w:r>
          </w:p>
        </w:tc>
        <w:tc>
          <w:tcPr>
            <w:tcW w:w="3185" w:type="pct"/>
            <w:tcBorders>
              <w:top w:val="nil"/>
              <w:left w:val="nil"/>
              <w:bottom w:val="nil"/>
              <w:right w:val="nil"/>
            </w:tcBorders>
            <w:tcMar>
              <w:top w:w="-1" w:type="dxa"/>
              <w:left w:w="-1" w:type="dxa"/>
              <w:bottom w:w="-1" w:type="dxa"/>
              <w:right w:w="-1" w:type="dxa"/>
            </w:tcMar>
            <w:vAlign w:val="center"/>
          </w:tcPr>
          <w:p w14:paraId="077763D5">
            <w:pPr>
              <w:keepNext/>
              <w:snapToGrid w:val="0"/>
              <w:spacing w:line="360" w:lineRule="auto"/>
              <w:ind w:firstLine="0" w:firstLineChars="0"/>
              <w:jc w:val="center"/>
              <w:rPr>
                <w:sz w:val="21"/>
                <w:szCs w:val="21"/>
              </w:rPr>
            </w:pPr>
            <w:r>
              <w:rPr>
                <w:sz w:val="21"/>
                <w:szCs w:val="21"/>
              </w:rPr>
              <w:t>验证损失连续5轮不降</w:t>
            </w:r>
          </w:p>
        </w:tc>
      </w:tr>
      <w:tr w14:paraId="64DBC0E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80" w:type="dxa"/>
            <w:left w:w="120" w:type="dxa"/>
            <w:bottom w:w="80" w:type="dxa"/>
            <w:right w:w="120" w:type="dxa"/>
          </w:tblCellMar>
        </w:tblPrEx>
        <w:trPr>
          <w:jc w:val="center"/>
        </w:trPr>
        <w:tc>
          <w:tcPr>
            <w:tcW w:w="1814" w:type="pct"/>
            <w:tcBorders>
              <w:top w:val="nil"/>
              <w:left w:val="nil"/>
              <w:bottom w:val="nil"/>
              <w:right w:val="nil"/>
            </w:tcBorders>
            <w:tcMar>
              <w:top w:w="-1" w:type="dxa"/>
              <w:left w:w="-1" w:type="dxa"/>
              <w:bottom w:w="-1" w:type="dxa"/>
              <w:right w:w="-1" w:type="dxa"/>
            </w:tcMar>
            <w:vAlign w:val="center"/>
          </w:tcPr>
          <w:p w14:paraId="75E498A9">
            <w:pPr>
              <w:keepNext/>
              <w:snapToGrid w:val="0"/>
              <w:spacing w:line="360" w:lineRule="auto"/>
              <w:ind w:firstLine="0" w:firstLineChars="0"/>
              <w:jc w:val="center"/>
              <w:rPr>
                <w:sz w:val="21"/>
                <w:szCs w:val="21"/>
              </w:rPr>
            </w:pPr>
            <w:r>
              <w:rPr>
                <w:sz w:val="21"/>
                <w:szCs w:val="21"/>
              </w:rPr>
              <w:t>学习率衰减因子</w:t>
            </w:r>
          </w:p>
        </w:tc>
        <w:tc>
          <w:tcPr>
            <w:tcW w:w="3185" w:type="pct"/>
            <w:tcBorders>
              <w:top w:val="nil"/>
              <w:left w:val="nil"/>
              <w:bottom w:val="nil"/>
              <w:right w:val="nil"/>
            </w:tcBorders>
            <w:tcMar>
              <w:top w:w="-1" w:type="dxa"/>
              <w:left w:w="-1" w:type="dxa"/>
              <w:bottom w:w="-1" w:type="dxa"/>
              <w:right w:w="-1" w:type="dxa"/>
            </w:tcMar>
            <w:vAlign w:val="center"/>
          </w:tcPr>
          <w:p w14:paraId="5DC18A19">
            <w:pPr>
              <w:keepNext/>
              <w:snapToGrid w:val="0"/>
              <w:spacing w:line="360" w:lineRule="auto"/>
              <w:ind w:firstLine="0" w:firstLineChars="0"/>
              <w:jc w:val="center"/>
              <w:rPr>
                <w:sz w:val="21"/>
                <w:szCs w:val="21"/>
              </w:rPr>
            </w:pPr>
            <w:r>
              <w:rPr>
                <w:sz w:val="21"/>
                <w:szCs w:val="21"/>
              </w:rPr>
              <w:t>0.5</w:t>
            </w:r>
          </w:p>
        </w:tc>
      </w:tr>
      <w:tr w14:paraId="20DD526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80" w:type="dxa"/>
            <w:left w:w="120" w:type="dxa"/>
            <w:bottom w:w="80" w:type="dxa"/>
            <w:right w:w="120" w:type="dxa"/>
          </w:tblCellMar>
        </w:tblPrEx>
        <w:trPr>
          <w:jc w:val="center"/>
        </w:trPr>
        <w:tc>
          <w:tcPr>
            <w:tcW w:w="1814" w:type="pct"/>
            <w:tcBorders>
              <w:top w:val="nil"/>
              <w:left w:val="nil"/>
              <w:bottom w:val="nil"/>
              <w:right w:val="nil"/>
            </w:tcBorders>
            <w:tcMar>
              <w:top w:w="-1" w:type="dxa"/>
              <w:left w:w="-1" w:type="dxa"/>
              <w:bottom w:w="-1" w:type="dxa"/>
              <w:right w:w="-1" w:type="dxa"/>
            </w:tcMar>
            <w:vAlign w:val="center"/>
          </w:tcPr>
          <w:p w14:paraId="5D84B70F">
            <w:pPr>
              <w:keepNext/>
              <w:snapToGrid w:val="0"/>
              <w:spacing w:line="360" w:lineRule="auto"/>
              <w:ind w:firstLine="0" w:firstLineChars="0"/>
              <w:jc w:val="center"/>
              <w:rPr>
                <w:sz w:val="21"/>
                <w:szCs w:val="21"/>
              </w:rPr>
            </w:pPr>
            <w:r>
              <w:rPr>
                <w:sz w:val="21"/>
                <w:szCs w:val="21"/>
              </w:rPr>
              <w:t>最小学习率</w:t>
            </w:r>
          </w:p>
        </w:tc>
        <w:tc>
          <w:tcPr>
            <w:tcW w:w="3185" w:type="pct"/>
            <w:tcBorders>
              <w:top w:val="nil"/>
              <w:left w:val="nil"/>
              <w:bottom w:val="nil"/>
              <w:right w:val="nil"/>
            </w:tcBorders>
            <w:tcMar>
              <w:top w:w="-1" w:type="dxa"/>
              <w:left w:w="-1" w:type="dxa"/>
              <w:bottom w:w="-1" w:type="dxa"/>
              <w:right w:w="-1" w:type="dxa"/>
            </w:tcMar>
            <w:vAlign w:val="center"/>
          </w:tcPr>
          <w:p w14:paraId="476FA36C">
            <w:pPr>
              <w:keepNext/>
              <w:snapToGrid w:val="0"/>
              <w:spacing w:line="360" w:lineRule="auto"/>
              <w:ind w:firstLine="0" w:firstLineChars="0"/>
              <w:jc w:val="center"/>
              <w:rPr>
                <w:sz w:val="21"/>
                <w:szCs w:val="21"/>
              </w:rPr>
            </w:pPr>
            <w:r>
              <w:rPr>
                <w:position w:val="-6"/>
                <w:sz w:val="21"/>
                <w:szCs w:val="21"/>
              </w:rPr>
              <w:object>
                <v:shape id="_x0000_i1134" o:spt="75" type="#_x0000_t75" style="height:16pt;width:35pt;" o:ole="t" filled="f" o:preferrelative="t" stroked="f" coordsize="21600,21600">
                  <v:path/>
                  <v:fill on="f" focussize="0,0"/>
                  <v:stroke on="f" joinstyle="miter"/>
                  <v:imagedata r:id="rId244" o:title=""/>
                  <o:lock v:ext="edit" aspectratio="t"/>
                  <w10:wrap type="none"/>
                  <w10:anchorlock/>
                </v:shape>
                <o:OLEObject Type="Embed" ProgID="Equation.DSMT4" ShapeID="_x0000_i1134" DrawAspect="Content" ObjectID="_1468075834" r:id="rId243">
                  <o:LockedField>false</o:LockedField>
                </o:OLEObject>
              </w:object>
            </w:r>
          </w:p>
        </w:tc>
      </w:tr>
      <w:tr w14:paraId="304015A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80" w:type="dxa"/>
            <w:left w:w="120" w:type="dxa"/>
            <w:bottom w:w="80" w:type="dxa"/>
            <w:right w:w="120" w:type="dxa"/>
          </w:tblCellMar>
        </w:tblPrEx>
        <w:trPr>
          <w:jc w:val="center"/>
        </w:trPr>
        <w:tc>
          <w:tcPr>
            <w:tcW w:w="1814" w:type="pct"/>
            <w:tcBorders>
              <w:top w:val="nil"/>
              <w:left w:val="nil"/>
              <w:bottom w:val="nil"/>
              <w:right w:val="nil"/>
            </w:tcBorders>
            <w:tcMar>
              <w:top w:w="-1" w:type="dxa"/>
              <w:left w:w="-1" w:type="dxa"/>
              <w:bottom w:w="-1" w:type="dxa"/>
              <w:right w:w="-1" w:type="dxa"/>
            </w:tcMar>
            <w:vAlign w:val="center"/>
          </w:tcPr>
          <w:p w14:paraId="65B02AE3">
            <w:pPr>
              <w:keepNext/>
              <w:snapToGrid w:val="0"/>
              <w:spacing w:line="360" w:lineRule="auto"/>
              <w:ind w:firstLine="0" w:firstLineChars="0"/>
              <w:jc w:val="center"/>
              <w:rPr>
                <w:sz w:val="21"/>
                <w:szCs w:val="21"/>
              </w:rPr>
            </w:pPr>
            <w:r>
              <w:rPr>
                <w:sz w:val="21"/>
                <w:szCs w:val="21"/>
              </w:rPr>
              <w:t>早停耐心值</w:t>
            </w:r>
          </w:p>
        </w:tc>
        <w:tc>
          <w:tcPr>
            <w:tcW w:w="3185" w:type="pct"/>
            <w:tcBorders>
              <w:top w:val="nil"/>
              <w:left w:val="nil"/>
              <w:bottom w:val="nil"/>
              <w:right w:val="nil"/>
            </w:tcBorders>
            <w:tcMar>
              <w:top w:w="-1" w:type="dxa"/>
              <w:left w:w="-1" w:type="dxa"/>
              <w:bottom w:w="-1" w:type="dxa"/>
              <w:right w:w="-1" w:type="dxa"/>
            </w:tcMar>
            <w:vAlign w:val="center"/>
          </w:tcPr>
          <w:p w14:paraId="326A3A01">
            <w:pPr>
              <w:keepNext/>
              <w:snapToGrid w:val="0"/>
              <w:spacing w:line="360" w:lineRule="auto"/>
              <w:ind w:firstLine="0" w:firstLineChars="0"/>
              <w:jc w:val="center"/>
              <w:rPr>
                <w:sz w:val="21"/>
                <w:szCs w:val="21"/>
              </w:rPr>
            </w:pPr>
            <w:r>
              <w:rPr>
                <w:sz w:val="21"/>
                <w:szCs w:val="21"/>
              </w:rPr>
              <w:t>15轮</w:t>
            </w:r>
          </w:p>
        </w:tc>
      </w:tr>
      <w:tr w14:paraId="5E389FF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80" w:type="dxa"/>
            <w:left w:w="120" w:type="dxa"/>
            <w:bottom w:w="80" w:type="dxa"/>
            <w:right w:w="120" w:type="dxa"/>
          </w:tblCellMar>
        </w:tblPrEx>
        <w:trPr>
          <w:jc w:val="center"/>
        </w:trPr>
        <w:tc>
          <w:tcPr>
            <w:tcW w:w="1814" w:type="pct"/>
            <w:tcBorders>
              <w:top w:val="nil"/>
              <w:left w:val="nil"/>
              <w:bottom w:val="nil"/>
              <w:right w:val="nil"/>
            </w:tcBorders>
            <w:tcMar>
              <w:top w:w="-1" w:type="dxa"/>
              <w:left w:w="-1" w:type="dxa"/>
              <w:bottom w:w="-1" w:type="dxa"/>
              <w:right w:w="-1" w:type="dxa"/>
            </w:tcMar>
            <w:vAlign w:val="center"/>
          </w:tcPr>
          <w:p w14:paraId="258B609E">
            <w:pPr>
              <w:keepNext/>
              <w:snapToGrid w:val="0"/>
              <w:spacing w:line="360" w:lineRule="auto"/>
              <w:ind w:firstLine="0" w:firstLineChars="0"/>
              <w:jc w:val="center"/>
              <w:rPr>
                <w:sz w:val="21"/>
                <w:szCs w:val="21"/>
              </w:rPr>
            </w:pPr>
            <w:r>
              <w:rPr>
                <w:sz w:val="21"/>
                <w:szCs w:val="21"/>
              </w:rPr>
              <w:t>加权MSE阈值</w:t>
            </w:r>
          </w:p>
        </w:tc>
        <w:tc>
          <w:tcPr>
            <w:tcW w:w="3185" w:type="pct"/>
            <w:tcBorders>
              <w:top w:val="nil"/>
              <w:left w:val="nil"/>
              <w:bottom w:val="nil"/>
              <w:right w:val="nil"/>
            </w:tcBorders>
            <w:tcMar>
              <w:top w:w="-1" w:type="dxa"/>
              <w:left w:w="-1" w:type="dxa"/>
              <w:bottom w:w="-1" w:type="dxa"/>
              <w:right w:w="-1" w:type="dxa"/>
            </w:tcMar>
            <w:vAlign w:val="center"/>
          </w:tcPr>
          <w:p w14:paraId="6F0642AB">
            <w:pPr>
              <w:keepNext/>
              <w:snapToGrid w:val="0"/>
              <w:spacing w:line="360" w:lineRule="auto"/>
              <w:ind w:firstLine="0" w:firstLineChars="0"/>
              <w:jc w:val="center"/>
              <w:rPr>
                <w:sz w:val="21"/>
                <w:szCs w:val="21"/>
              </w:rPr>
            </w:pPr>
            <w:r>
              <w:rPr>
                <w:sz w:val="21"/>
                <w:szCs w:val="21"/>
              </w:rPr>
              <w:t>HI&gt;0.7时权重为2</w:t>
            </w:r>
          </w:p>
        </w:tc>
      </w:tr>
      <w:tr w14:paraId="502A6A3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80" w:type="dxa"/>
            <w:left w:w="120" w:type="dxa"/>
            <w:bottom w:w="80" w:type="dxa"/>
            <w:right w:w="120" w:type="dxa"/>
          </w:tblCellMar>
        </w:tblPrEx>
        <w:trPr>
          <w:jc w:val="center"/>
        </w:trPr>
        <w:tc>
          <w:tcPr>
            <w:tcW w:w="1814" w:type="pct"/>
            <w:tcBorders>
              <w:top w:val="nil"/>
              <w:left w:val="nil"/>
              <w:bottom w:val="nil"/>
              <w:right w:val="nil"/>
            </w:tcBorders>
            <w:tcMar>
              <w:top w:w="-1" w:type="dxa"/>
              <w:left w:w="-1" w:type="dxa"/>
              <w:bottom w:w="-1" w:type="dxa"/>
              <w:right w:w="-1" w:type="dxa"/>
            </w:tcMar>
            <w:vAlign w:val="center"/>
          </w:tcPr>
          <w:p w14:paraId="3D5CCA46">
            <w:pPr>
              <w:keepNext/>
              <w:snapToGrid w:val="0"/>
              <w:spacing w:line="360" w:lineRule="auto"/>
              <w:ind w:firstLine="0" w:firstLineChars="0"/>
              <w:jc w:val="center"/>
              <w:rPr>
                <w:sz w:val="21"/>
                <w:szCs w:val="21"/>
              </w:rPr>
            </w:pPr>
            <w:r>
              <w:rPr>
                <w:sz w:val="21"/>
                <w:szCs w:val="21"/>
              </w:rPr>
              <w:t>MMD平衡系数</w:t>
            </w:r>
            <m:oMath>
              <m:r>
                <m:rPr>
                  <m:nor/>
                  <m:sty m:val="p"/>
                </m:rPr>
                <w:rPr>
                  <w:b w:val="0"/>
                  <w:i w:val="0"/>
                  <w:sz w:val="21"/>
                  <w:szCs w:val="21"/>
                </w:rPr>
                <m:t>λ</m:t>
              </m:r>
            </m:oMath>
          </w:p>
        </w:tc>
        <w:tc>
          <w:tcPr>
            <w:tcW w:w="3185" w:type="pct"/>
            <w:tcBorders>
              <w:top w:val="nil"/>
              <w:left w:val="nil"/>
              <w:bottom w:val="nil"/>
              <w:right w:val="nil"/>
            </w:tcBorders>
            <w:tcMar>
              <w:top w:w="-1" w:type="dxa"/>
              <w:left w:w="-1" w:type="dxa"/>
              <w:bottom w:w="-1" w:type="dxa"/>
              <w:right w:w="-1" w:type="dxa"/>
            </w:tcMar>
            <w:vAlign w:val="center"/>
          </w:tcPr>
          <w:p w14:paraId="2BC8C496">
            <w:pPr>
              <w:keepNext/>
              <w:snapToGrid w:val="0"/>
              <w:spacing w:line="360" w:lineRule="auto"/>
              <w:ind w:firstLine="0" w:firstLineChars="0"/>
              <w:jc w:val="center"/>
              <w:rPr>
                <w:sz w:val="21"/>
                <w:szCs w:val="21"/>
              </w:rPr>
            </w:pPr>
            <w:r>
              <w:rPr>
                <w:sz w:val="21"/>
                <w:szCs w:val="21"/>
              </w:rPr>
              <w:t>0.1（跨工况训练时启用）</w:t>
            </w:r>
          </w:p>
        </w:tc>
      </w:tr>
      <w:tr w14:paraId="4DBD5BB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80" w:type="dxa"/>
            <w:left w:w="120" w:type="dxa"/>
            <w:bottom w:w="80" w:type="dxa"/>
            <w:right w:w="120" w:type="dxa"/>
          </w:tblCellMar>
        </w:tblPrEx>
        <w:trPr>
          <w:jc w:val="center"/>
        </w:trPr>
        <w:tc>
          <w:tcPr>
            <w:tcW w:w="1814" w:type="pct"/>
            <w:tcBorders>
              <w:top w:val="nil"/>
              <w:left w:val="nil"/>
              <w:bottom w:val="single" w:color="auto" w:sz="12" w:space="0"/>
              <w:right w:val="nil"/>
            </w:tcBorders>
            <w:tcMar>
              <w:top w:w="-1" w:type="dxa"/>
              <w:left w:w="-1" w:type="dxa"/>
              <w:bottom w:w="-1" w:type="dxa"/>
              <w:right w:w="-1" w:type="dxa"/>
            </w:tcMar>
            <w:vAlign w:val="center"/>
          </w:tcPr>
          <w:p w14:paraId="06396A8B">
            <w:pPr>
              <w:keepNext/>
              <w:snapToGrid w:val="0"/>
              <w:spacing w:line="360" w:lineRule="auto"/>
              <w:ind w:firstLine="0" w:firstLineChars="0"/>
              <w:jc w:val="center"/>
              <w:rPr>
                <w:sz w:val="21"/>
                <w:szCs w:val="21"/>
              </w:rPr>
            </w:pPr>
            <w:r>
              <w:rPr>
                <w:sz w:val="21"/>
                <w:szCs w:val="21"/>
              </w:rPr>
              <w:t>随机种子</w:t>
            </w:r>
          </w:p>
        </w:tc>
        <w:tc>
          <w:tcPr>
            <w:tcW w:w="3185" w:type="pct"/>
            <w:tcBorders>
              <w:top w:val="nil"/>
              <w:left w:val="nil"/>
              <w:bottom w:val="single" w:color="auto" w:sz="12" w:space="0"/>
              <w:right w:val="nil"/>
            </w:tcBorders>
            <w:tcMar>
              <w:top w:w="-1" w:type="dxa"/>
              <w:left w:w="-1" w:type="dxa"/>
              <w:bottom w:w="-1" w:type="dxa"/>
              <w:right w:w="-1" w:type="dxa"/>
            </w:tcMar>
            <w:vAlign w:val="center"/>
          </w:tcPr>
          <w:p w14:paraId="63B91090">
            <w:pPr>
              <w:keepNext/>
              <w:snapToGrid w:val="0"/>
              <w:spacing w:line="360" w:lineRule="auto"/>
              <w:ind w:firstLine="0" w:firstLineChars="0"/>
              <w:jc w:val="center"/>
              <w:rPr>
                <w:sz w:val="21"/>
                <w:szCs w:val="21"/>
              </w:rPr>
            </w:pPr>
            <w:r>
              <w:rPr>
                <w:sz w:val="21"/>
                <w:szCs w:val="21"/>
              </w:rPr>
              <w:t>42（单种子）或[42,123,456,789,1011]（5种子）</w:t>
            </w:r>
          </w:p>
        </w:tc>
      </w:tr>
    </w:tbl>
    <w:p w14:paraId="74759CC1">
      <w:pPr>
        <w:ind w:firstLine="480"/>
      </w:pPr>
    </w:p>
    <w:p w14:paraId="5F0B874E">
      <w:pPr>
        <w:ind w:firstLine="480"/>
      </w:pPr>
      <w:r>
        <w:br w:type="page"/>
      </w:r>
    </w:p>
    <w:p w14:paraId="5852AA74">
      <w:pPr>
        <w:pStyle w:val="3"/>
        <w:spacing w:before="120" w:after="120"/>
      </w:pPr>
      <w:bookmarkStart w:id="109" w:name="_Toc27131"/>
      <w:bookmarkStart w:id="110" w:name="_Toc18972"/>
      <w:r>
        <w:t>4.3 模型训练过程与收敛性分析</w:t>
      </w:r>
      <w:bookmarkEnd w:id="109"/>
      <w:bookmarkEnd w:id="110"/>
    </w:p>
    <w:p w14:paraId="76620C4A">
      <w:pPr>
        <w:pStyle w:val="4"/>
        <w:spacing w:before="120" w:after="120"/>
      </w:pPr>
      <w:bookmarkStart w:id="111" w:name="_Toc10193"/>
      <w:bookmarkStart w:id="112" w:name="_Toc5702"/>
      <w:r>
        <w:t>4.3.1 模型训练流程</w:t>
      </w:r>
      <w:bookmarkEnd w:id="111"/>
      <w:bookmarkEnd w:id="112"/>
    </w:p>
    <w:p w14:paraId="46F2BF37">
      <w:pPr>
        <w:ind w:firstLine="480"/>
      </w:pPr>
      <w:r>
        <w:rPr>
          <w:rFonts w:hint="eastAsia"/>
        </w:rPr>
        <w:t>单次训练迭代走的是一个标准的闭环。先从预处理的pkl文件里把训练集、验证集和跨工况时的目标域数据读出来，打包成DataLoader。然后源域样本前向走一遍，拿预测HI的同时顺手把SE-ResNet的扁平特征抽出来备用。损失这块，基础是加权MSE，跨工况训练时再加一项源域和目标域之间的MK-MMD损失，两者加权求和。接下来反向传播更新参数，每轮结束后在验证集上算一把标准MSE，用来做学习率调度和早停判断。验证损失创了新低就存一次权重，</w:t>
      </w:r>
      <w:r>
        <w:rPr>
          <w:rFonts w:hint="eastAsia"/>
          <w:lang w:val="en-US" w:eastAsia="zh-CN"/>
        </w:rPr>
        <w:t>不额外操作</w:t>
      </w:r>
      <w:r>
        <w:rPr>
          <w:rFonts w:hint="eastAsia"/>
        </w:rPr>
        <w:t>。</w:t>
      </w:r>
    </w:p>
    <w:p w14:paraId="699E7AD1">
      <w:pPr>
        <w:pStyle w:val="4"/>
        <w:spacing w:before="120" w:after="120"/>
      </w:pPr>
      <w:bookmarkStart w:id="113" w:name="_Toc4171"/>
      <w:bookmarkStart w:id="114" w:name="_Toc30122"/>
      <w:r>
        <w:t>4.3.2 训练损失曲线与收敛性分析</w:t>
      </w:r>
      <w:bookmarkEnd w:id="113"/>
      <w:bookmarkEnd w:id="114"/>
    </w:p>
    <w:p w14:paraId="4272B696">
      <w:pPr>
        <w:spacing w:line="240" w:lineRule="auto"/>
        <w:ind w:firstLine="480"/>
      </w:pPr>
      <w:r>
        <w:t>图4-1展示了典型跨工况任务（以1→2为例）的训练损失与验证损失随轮数变化曲线。</w:t>
      </w:r>
    </w:p>
    <w:p w14:paraId="4DCB1680">
      <w:pPr>
        <w:spacing w:line="240" w:lineRule="auto"/>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5274310" cy="2601595"/>
            <wp:effectExtent l="0" t="0" r="13970" b="4445"/>
            <wp:docPr id="6" name="图片 6"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片3"/>
                    <pic:cNvPicPr>
                      <a:picLocks noChangeAspect="1"/>
                    </pic:cNvPicPr>
                  </pic:nvPicPr>
                  <pic:blipFill>
                    <a:blip r:embed="rId245"/>
                    <a:stretch>
                      <a:fillRect/>
                    </a:stretch>
                  </pic:blipFill>
                  <pic:spPr>
                    <a:xfrm>
                      <a:off x="0" y="0"/>
                      <a:ext cx="5274310" cy="2601595"/>
                    </a:xfrm>
                    <a:prstGeom prst="rect">
                      <a:avLst/>
                    </a:prstGeom>
                  </pic:spPr>
                </pic:pic>
              </a:graphicData>
            </a:graphic>
          </wp:inline>
        </w:drawing>
      </w:r>
    </w:p>
    <w:p w14:paraId="009E05C3">
      <w:pPr>
        <w:pStyle w:val="8"/>
        <w:rPr>
          <w:rFonts w:ascii="Times New Roman" w:hAnsi="Times New Roman"/>
        </w:rPr>
      </w:pPr>
      <w:r>
        <w:rPr>
          <w:rFonts w:ascii="Times New Roman" w:hAnsi="Times New Roman"/>
        </w:rPr>
        <w:t>图4-</w:t>
      </w:r>
      <w:r>
        <w:rPr>
          <w:rFonts w:ascii="Times New Roman" w:hAnsi="Times New Roman"/>
        </w:rPr>
        <w:fldChar w:fldCharType="begin"/>
      </w:r>
      <w:r>
        <w:rPr>
          <w:rFonts w:ascii="Times New Roman" w:hAnsi="Times New Roman"/>
        </w:rPr>
        <w:instrText xml:space="preserve"> SEQ 图 \* ARABIC \s 1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bookmarkStart w:id="115" w:name="_Toc3269"/>
      <w:r>
        <w:rPr>
          <w:rFonts w:ascii="Times New Roman" w:hAnsi="Times New Roman"/>
        </w:rPr>
        <w:t xml:space="preserve"> 模型训练损失曲线（SE-ResNet+BiGRUvsLSTM)</w:t>
      </w:r>
      <w:bookmarkEnd w:id="115"/>
    </w:p>
    <w:p w14:paraId="494FB1C7">
      <w:pPr>
        <w:ind w:firstLine="480"/>
      </w:pPr>
      <w:r>
        <w:rPr>
          <w:rFonts w:hint="eastAsia"/>
        </w:rPr>
        <w:t>由图4-1可见，SE-ResNet+BiGRU的损失曲线在前10轮快速下降，收敛速度明显优于LSTM。第19轮即达到最优验证损失并触发早停，而LSTM的收敛明显更慢。最低验证损失</w:t>
      </w:r>
      <w:r>
        <w:rPr>
          <w:rFonts w:hint="eastAsia"/>
          <w:lang w:val="en-US" w:eastAsia="zh-CN"/>
        </w:rPr>
        <w:t>方面</w:t>
      </w:r>
      <w:r>
        <w:rPr>
          <w:rFonts w:hint="eastAsia"/>
        </w:rPr>
        <w:t>，SE-ResNet+BiGRU的0.0196和LSTM的0.0094其实在一个量级上。整个训练过程中，训练损失和验证损失同步下降，没有明显的过拟合，也没有梯度乱跳的现象。可以说，这套结构配合当前的训练策略，收敛速度和稳定性都在线。</w:t>
      </w:r>
    </w:p>
    <w:p w14:paraId="1163F205">
      <w:pPr>
        <w:pStyle w:val="3"/>
        <w:spacing w:before="120" w:after="120"/>
      </w:pPr>
      <w:bookmarkStart w:id="116" w:name="_Toc29470"/>
      <w:bookmarkStart w:id="117" w:name="_Toc6407"/>
      <w:r>
        <w:t>4.4 多工况下模型预测性能分析</w:t>
      </w:r>
      <w:bookmarkEnd w:id="116"/>
      <w:bookmarkEnd w:id="117"/>
    </w:p>
    <w:p w14:paraId="424856C6">
      <w:pPr>
        <w:pStyle w:val="4"/>
        <w:spacing w:before="120" w:after="120"/>
      </w:pPr>
      <w:bookmarkStart w:id="118" w:name="_Toc703"/>
      <w:bookmarkStart w:id="119" w:name="_Toc12117"/>
      <w:r>
        <w:t>4.4.1 单一工况下的RUL预测结果与分析</w:t>
      </w:r>
      <w:bookmarkEnd w:id="118"/>
      <w:bookmarkEnd w:id="119"/>
    </w:p>
    <w:p w14:paraId="31F374E8">
      <w:pPr>
        <w:spacing w:line="240" w:lineRule="auto"/>
        <w:ind w:firstLine="480"/>
      </w:pPr>
      <w:r>
        <w:t>为验证所提SE-ResNet-BiGRU模型在单一工况下的RUL预测性能，分别对3个工况下轴承5的预测结果进行可视化分析，其健康指标(HI)与剩余使用寿命(RUL)预测曲线如图4-2所示。</w:t>
      </w:r>
    </w:p>
    <w:p w14:paraId="6690A20C">
      <w:pPr>
        <w:spacing w:line="240" w:lineRule="auto"/>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5276850" cy="4522470"/>
            <wp:effectExtent l="0" t="0" r="11430" b="3810"/>
            <wp:docPr id="7" name="图片 7"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片4"/>
                    <pic:cNvPicPr>
                      <a:picLocks noChangeAspect="1"/>
                    </pic:cNvPicPr>
                  </pic:nvPicPr>
                  <pic:blipFill>
                    <a:blip r:embed="rId246"/>
                    <a:stretch>
                      <a:fillRect/>
                    </a:stretch>
                  </pic:blipFill>
                  <pic:spPr>
                    <a:xfrm>
                      <a:off x="0" y="0"/>
                      <a:ext cx="5276850" cy="4522470"/>
                    </a:xfrm>
                    <a:prstGeom prst="rect">
                      <a:avLst/>
                    </a:prstGeom>
                  </pic:spPr>
                </pic:pic>
              </a:graphicData>
            </a:graphic>
          </wp:inline>
        </w:drawing>
      </w:r>
    </w:p>
    <w:p w14:paraId="712E3490">
      <w:pPr>
        <w:pStyle w:val="8"/>
        <w:rPr>
          <w:rFonts w:ascii="Times New Roman" w:hAnsi="Times New Roman"/>
        </w:rPr>
      </w:pPr>
      <w:r>
        <w:rPr>
          <w:rFonts w:ascii="Times New Roman" w:hAnsi="Times New Roman"/>
        </w:rPr>
        <w:t>图4-</w:t>
      </w:r>
      <w:r>
        <w:rPr>
          <w:rFonts w:ascii="Times New Roman" w:hAnsi="Times New Roman"/>
        </w:rPr>
        <w:fldChar w:fldCharType="begin"/>
      </w:r>
      <w:r>
        <w:rPr>
          <w:rFonts w:ascii="Times New Roman" w:hAnsi="Times New Roman"/>
        </w:rPr>
        <w:instrText xml:space="preserve"> SEQ 图 \* ARABIC \s 1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bookmarkStart w:id="120" w:name="_Toc8045"/>
      <w:r>
        <w:rPr>
          <w:rFonts w:ascii="Times New Roman" w:hAnsi="Times New Roman"/>
        </w:rPr>
        <w:t xml:space="preserve"> 单工况健康指标(HI)与剩余使用寿命(RUL)预测曲线</w:t>
      </w:r>
      <w:bookmarkEnd w:id="120"/>
    </w:p>
    <w:p w14:paraId="5825870C">
      <w:pPr>
        <w:ind w:firstLine="480"/>
      </w:pPr>
      <w:r>
        <w:t>由三组工况的可视化预测曲线整体可以看出：</w:t>
      </w:r>
    </w:p>
    <w:p w14:paraId="130CE30A">
      <w:pPr>
        <w:ind w:firstLine="480"/>
        <w:rPr>
          <w:rFonts w:hint="eastAsia"/>
        </w:rPr>
      </w:pPr>
      <w:r>
        <w:rPr>
          <w:rFonts w:hint="eastAsia"/>
        </w:rPr>
        <w:t>预测HI的走势与真实HI基本吻合，模型成功捕捉了轴承‘长期平稳、缓慢退化、末期急剧恶化’的三阶段退化规律，且关键退化拐点的识别无明显滞后。侧面也说明前面的小波降噪、多域特征融合和mRMR筛选确实压住了工业背景噪声，早期微弱的故障征兆被放大了不少。</w:t>
      </w:r>
    </w:p>
    <w:p w14:paraId="3D50ACD5">
      <w:pPr>
        <w:ind w:firstLine="480"/>
        <w:rPr>
          <w:rFonts w:hint="eastAsia"/>
        </w:rPr>
      </w:pPr>
      <w:r>
        <w:rPr>
          <w:rFonts w:hint="eastAsia"/>
        </w:rPr>
        <w:t>置信区间方面，95%区间全程稳稳包着预测曲线。健康期区间窄、确定性高；到了快速退化阶段，区间自适应地撑开了些，反映出故障演化本身的不确定性在变大，这种动态变化是合理的。</w:t>
      </w:r>
    </w:p>
    <w:p w14:paraId="0EC0F4A8">
      <w:pPr>
        <w:ind w:firstLine="480"/>
        <w:rPr>
          <w:rFonts w:hint="eastAsia"/>
        </w:rPr>
      </w:pPr>
      <w:r>
        <w:rPr>
          <w:rFonts w:hint="eastAsia"/>
        </w:rPr>
        <w:t>RUL预测曲线上，分段线性标签跟轴承的实际服役特性很对路。模型预测值和真实基准的下降趋势全程咬得紧，没出现大幅跑偏的情况。整体看，模型更偏向保守——绝大多数时刻预测的剩余寿命会略低于真实值，高估的那类滞后预警基本没出现，这一点在实际部署里是加分项。</w:t>
      </w:r>
    </w:p>
    <w:p w14:paraId="73C8318F">
      <w:pPr>
        <w:ind w:firstLine="480"/>
        <w:rPr>
          <w:rFonts w:hint="eastAsia"/>
        </w:rPr>
      </w:pPr>
      <w:r>
        <w:rPr>
          <w:rFonts w:hint="eastAsia"/>
        </w:rPr>
        <w:t>分工况看，工况1寿命短、退化紧凑，HI和RUL的贴合度最好，波动最小。工况2运行跨度最长，中途有些小波动，但模型还是稳住了全局走向。工况3退化拐点来得晚、末期失效极快，但模型对该在哪儿拐、该在哪儿断，判断都</w:t>
      </w:r>
      <w:r>
        <w:rPr>
          <w:rFonts w:hint="eastAsia"/>
          <w:lang w:val="en-US" w:eastAsia="zh-CN"/>
        </w:rPr>
        <w:t>比较</w:t>
      </w:r>
      <w:r>
        <w:rPr>
          <w:rFonts w:hint="eastAsia"/>
        </w:rPr>
        <w:t>准。总体而言，三种工况转速和载荷完全不同，模型没表现出对某个工况的偏好，也没有局部过拟合的迹象。</w:t>
      </w:r>
    </w:p>
    <w:p w14:paraId="6E71304A">
      <w:pPr>
        <w:ind w:firstLine="480"/>
      </w:pPr>
      <w:r>
        <w:t>整体而言，本文SE-ResNet-BiGRU模型在三组转速、载荷参数完全不同的独立工况下，均保持了稳定优异的预测输出，不存在单工况偏向与局部过拟合问题，单工况适配能力与鲁棒性表现突出，充分验证了模型架构设计、特征提取与时序建模策略的科学性与有效性。</w:t>
      </w:r>
    </w:p>
    <w:p w14:paraId="07566C31">
      <w:pPr>
        <w:ind w:firstLine="480"/>
      </w:pPr>
      <w:r>
        <w:t>为全面评估所提SE-ResNet-BiGRU模型在单一工况下的RUL预测性能，基于XJTU-SY数据集3种不同寿命尺度的工况（工况1：短寿命、工况2：中寿命、工况3：长寿命），选取RMSE、MAE、NRMSE、PHMScore、PICP5项核心评价指标，对测试集轴承的预测结果进行量化统计，结果如表4-4所示。</w:t>
      </w:r>
    </w:p>
    <w:p w14:paraId="19813718">
      <w:pPr>
        <w:pStyle w:val="8"/>
        <w:rPr>
          <w:rFonts w:ascii="Times New Roman" w:hAnsi="Times New Roman"/>
        </w:rPr>
      </w:pPr>
      <w:r>
        <w:rPr>
          <w:rFonts w:ascii="Times New Roman" w:hAnsi="Times New Roman"/>
        </w:rPr>
        <w:t>表4-4单工况测试集预测性能</w:t>
      </w:r>
    </w:p>
    <w:tbl>
      <w:tblPr>
        <w:tblStyle w:val="21"/>
        <w:tblW w:w="8723"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80" w:type="dxa"/>
          <w:left w:w="120" w:type="dxa"/>
          <w:bottom w:w="80" w:type="dxa"/>
          <w:right w:w="120" w:type="dxa"/>
        </w:tblCellMar>
      </w:tblPr>
      <w:tblGrid>
        <w:gridCol w:w="785"/>
        <w:gridCol w:w="1756"/>
        <w:gridCol w:w="975"/>
        <w:gridCol w:w="873"/>
        <w:gridCol w:w="1521"/>
        <w:gridCol w:w="965"/>
        <w:gridCol w:w="873"/>
        <w:gridCol w:w="975"/>
      </w:tblGrid>
      <w:tr w14:paraId="7768C3A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80" w:type="dxa"/>
            <w:left w:w="120" w:type="dxa"/>
            <w:bottom w:w="80" w:type="dxa"/>
            <w:right w:w="120"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0D2B5C67">
            <w:pPr>
              <w:widowControl/>
              <w:snapToGrid w:val="0"/>
              <w:spacing w:line="360" w:lineRule="auto"/>
              <w:ind w:firstLine="0" w:firstLineChars="0"/>
              <w:jc w:val="center"/>
              <w:textAlignment w:val="center"/>
              <w:rPr>
                <w:sz w:val="22"/>
              </w:rPr>
            </w:pPr>
            <w:r>
              <w:rPr>
                <w:color w:val="000000"/>
                <w:sz w:val="22"/>
                <w:szCs w:val="22"/>
                <w:lang w:bidi="ar"/>
              </w:rPr>
              <w:t>工况</w:t>
            </w:r>
          </w:p>
        </w:tc>
        <w:tc>
          <w:tcPr>
            <w:tcW w:w="1756" w:type="dxa"/>
            <w:tcBorders>
              <w:top w:val="single" w:color="auto" w:sz="12" w:space="0"/>
              <w:left w:val="nil"/>
              <w:bottom w:val="nil"/>
              <w:right w:val="nil"/>
            </w:tcBorders>
            <w:tcMar>
              <w:top w:w="-1" w:type="dxa"/>
              <w:left w:w="-1" w:type="dxa"/>
              <w:bottom w:w="-1" w:type="dxa"/>
              <w:right w:w="-1" w:type="dxa"/>
            </w:tcMar>
            <w:vAlign w:val="center"/>
          </w:tcPr>
          <w:p w14:paraId="5384963C">
            <w:pPr>
              <w:widowControl/>
              <w:snapToGrid w:val="0"/>
              <w:spacing w:line="360" w:lineRule="auto"/>
              <w:ind w:firstLine="0" w:firstLineChars="0"/>
              <w:jc w:val="center"/>
              <w:textAlignment w:val="center"/>
              <w:rPr>
                <w:sz w:val="22"/>
              </w:rPr>
            </w:pPr>
            <w:r>
              <w:rPr>
                <w:color w:val="000000"/>
                <w:sz w:val="22"/>
                <w:szCs w:val="22"/>
                <w:lang w:bidi="ar"/>
              </w:rPr>
              <w:t>平均寿命(min)</w:t>
            </w:r>
          </w:p>
        </w:tc>
        <w:tc>
          <w:tcPr>
            <w:tcW w:w="0" w:type="auto"/>
            <w:tcBorders>
              <w:top w:val="single" w:color="auto" w:sz="12" w:space="0"/>
              <w:left w:val="nil"/>
              <w:bottom w:val="nil"/>
              <w:right w:val="nil"/>
            </w:tcBorders>
            <w:tcMar>
              <w:top w:w="-1" w:type="dxa"/>
              <w:left w:w="-1" w:type="dxa"/>
              <w:bottom w:w="-1" w:type="dxa"/>
              <w:right w:w="-1" w:type="dxa"/>
            </w:tcMar>
            <w:vAlign w:val="center"/>
          </w:tcPr>
          <w:p w14:paraId="20846C31">
            <w:pPr>
              <w:widowControl/>
              <w:snapToGrid w:val="0"/>
              <w:spacing w:line="360" w:lineRule="auto"/>
              <w:ind w:firstLine="0" w:firstLineChars="0"/>
              <w:jc w:val="center"/>
              <w:textAlignment w:val="center"/>
              <w:rPr>
                <w:sz w:val="22"/>
              </w:rPr>
            </w:pPr>
            <w:r>
              <w:rPr>
                <w:color w:val="000000"/>
                <w:sz w:val="22"/>
                <w:lang w:bidi="ar"/>
              </w:rPr>
              <w:t>RMSE</w:t>
            </w:r>
          </w:p>
        </w:tc>
        <w:tc>
          <w:tcPr>
            <w:tcW w:w="873" w:type="dxa"/>
            <w:tcBorders>
              <w:top w:val="single" w:color="auto" w:sz="12" w:space="0"/>
              <w:left w:val="nil"/>
              <w:bottom w:val="nil"/>
              <w:right w:val="nil"/>
            </w:tcBorders>
            <w:tcMar>
              <w:top w:w="-1" w:type="dxa"/>
              <w:left w:w="-1" w:type="dxa"/>
              <w:bottom w:w="-1" w:type="dxa"/>
              <w:right w:w="-1" w:type="dxa"/>
            </w:tcMar>
            <w:vAlign w:val="center"/>
          </w:tcPr>
          <w:p w14:paraId="133758F6">
            <w:pPr>
              <w:widowControl/>
              <w:snapToGrid w:val="0"/>
              <w:spacing w:line="360" w:lineRule="auto"/>
              <w:ind w:firstLine="0" w:firstLineChars="0"/>
              <w:jc w:val="center"/>
              <w:textAlignment w:val="center"/>
              <w:rPr>
                <w:sz w:val="22"/>
              </w:rPr>
            </w:pPr>
            <w:r>
              <w:rPr>
                <w:color w:val="000000"/>
                <w:sz w:val="22"/>
                <w:lang w:bidi="ar"/>
              </w:rPr>
              <w:t>MAE</w:t>
            </w:r>
          </w:p>
        </w:tc>
        <w:tc>
          <w:tcPr>
            <w:tcW w:w="1521" w:type="dxa"/>
            <w:tcBorders>
              <w:top w:val="single" w:color="auto" w:sz="12" w:space="0"/>
              <w:left w:val="nil"/>
              <w:bottom w:val="nil"/>
              <w:right w:val="nil"/>
            </w:tcBorders>
            <w:tcMar>
              <w:top w:w="-1" w:type="dxa"/>
              <w:left w:w="-1" w:type="dxa"/>
              <w:bottom w:w="-1" w:type="dxa"/>
              <w:right w:w="-1" w:type="dxa"/>
            </w:tcMar>
            <w:vAlign w:val="center"/>
          </w:tcPr>
          <w:p w14:paraId="4D5CA1F2">
            <w:pPr>
              <w:widowControl/>
              <w:snapToGrid w:val="0"/>
              <w:spacing w:line="360" w:lineRule="auto"/>
              <w:ind w:firstLine="0" w:firstLineChars="0"/>
              <w:jc w:val="center"/>
              <w:textAlignment w:val="center"/>
              <w:rPr>
                <w:color w:val="000000"/>
                <w:sz w:val="22"/>
                <w:szCs w:val="22"/>
                <w:lang w:bidi="ar"/>
              </w:rPr>
            </w:pPr>
            <w:r>
              <w:rPr>
                <w:color w:val="000000"/>
                <w:sz w:val="22"/>
                <w:lang w:bidi="ar"/>
              </w:rPr>
              <w:t>NRMSE(%)</w:t>
            </w:r>
          </w:p>
        </w:tc>
        <w:tc>
          <w:tcPr>
            <w:tcW w:w="965" w:type="dxa"/>
            <w:tcBorders>
              <w:top w:val="single" w:color="auto" w:sz="12" w:space="0"/>
              <w:left w:val="nil"/>
              <w:bottom w:val="nil"/>
              <w:right w:val="nil"/>
            </w:tcBorders>
            <w:tcMar>
              <w:top w:w="-1" w:type="dxa"/>
              <w:left w:w="-1" w:type="dxa"/>
              <w:bottom w:w="-1" w:type="dxa"/>
              <w:right w:w="-1" w:type="dxa"/>
            </w:tcMar>
            <w:vAlign w:val="center"/>
          </w:tcPr>
          <w:p w14:paraId="75BD8CD0">
            <w:pPr>
              <w:widowControl/>
              <w:snapToGrid w:val="0"/>
              <w:spacing w:line="360" w:lineRule="auto"/>
              <w:ind w:firstLine="0" w:firstLineChars="0"/>
              <w:jc w:val="center"/>
              <w:textAlignment w:val="center"/>
              <w:rPr>
                <w:sz w:val="22"/>
              </w:rPr>
            </w:pPr>
            <w:r>
              <w:rPr>
                <w:color w:val="000000"/>
                <w:sz w:val="22"/>
                <w:lang w:bidi="ar"/>
              </w:rPr>
              <w:t>PHM</w:t>
            </w:r>
          </w:p>
        </w:tc>
        <w:tc>
          <w:tcPr>
            <w:tcW w:w="873" w:type="dxa"/>
            <w:tcBorders>
              <w:top w:val="single" w:color="auto" w:sz="12" w:space="0"/>
              <w:left w:val="nil"/>
              <w:bottom w:val="nil"/>
              <w:right w:val="nil"/>
            </w:tcBorders>
            <w:tcMar>
              <w:top w:w="-1" w:type="dxa"/>
              <w:left w:w="-1" w:type="dxa"/>
              <w:bottom w:w="-1" w:type="dxa"/>
              <w:right w:w="-1" w:type="dxa"/>
            </w:tcMar>
            <w:vAlign w:val="center"/>
          </w:tcPr>
          <w:p w14:paraId="03D007D8">
            <w:pPr>
              <w:widowControl/>
              <w:snapToGrid w:val="0"/>
              <w:spacing w:line="360" w:lineRule="auto"/>
              <w:ind w:firstLine="0" w:firstLineChars="0"/>
              <w:jc w:val="center"/>
              <w:textAlignment w:val="center"/>
              <w:rPr>
                <w:sz w:val="22"/>
              </w:rPr>
            </w:pPr>
            <w:r>
              <w:rPr>
                <w:color w:val="000000"/>
                <w:sz w:val="22"/>
                <w:lang w:bidi="ar"/>
              </w:rPr>
              <w:t>PICP</w:t>
            </w:r>
          </w:p>
        </w:tc>
        <w:tc>
          <w:tcPr>
            <w:tcW w:w="975" w:type="dxa"/>
            <w:tcBorders>
              <w:top w:val="single" w:color="auto" w:sz="12" w:space="0"/>
              <w:left w:val="nil"/>
              <w:bottom w:val="nil"/>
              <w:right w:val="nil"/>
            </w:tcBorders>
            <w:tcMar>
              <w:top w:w="-1" w:type="dxa"/>
              <w:left w:w="-1" w:type="dxa"/>
              <w:bottom w:w="-1" w:type="dxa"/>
              <w:right w:w="-1" w:type="dxa"/>
            </w:tcMar>
            <w:vAlign w:val="center"/>
          </w:tcPr>
          <w:p w14:paraId="5EC99BBE">
            <w:pPr>
              <w:widowControl/>
              <w:snapToGrid w:val="0"/>
              <w:spacing w:line="360" w:lineRule="auto"/>
              <w:ind w:firstLine="0" w:firstLineChars="0"/>
              <w:jc w:val="center"/>
              <w:textAlignment w:val="center"/>
              <w:rPr>
                <w:color w:val="000000"/>
                <w:sz w:val="22"/>
                <w:szCs w:val="22"/>
                <w:lang w:bidi="ar"/>
              </w:rPr>
            </w:pPr>
            <w:r>
              <w:rPr>
                <w:color w:val="000000"/>
                <w:sz w:val="22"/>
                <w:lang w:bidi="ar"/>
              </w:rPr>
              <w:t>MPIW</w:t>
            </w:r>
          </w:p>
        </w:tc>
      </w:tr>
      <w:tr w14:paraId="0606281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80" w:type="dxa"/>
            <w:left w:w="120" w:type="dxa"/>
            <w:bottom w:w="80" w:type="dxa"/>
            <w:right w:w="120"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0926D2A2">
            <w:pPr>
              <w:widowControl/>
              <w:snapToGrid w:val="0"/>
              <w:spacing w:line="360" w:lineRule="auto"/>
              <w:ind w:firstLine="0" w:firstLineChars="0"/>
              <w:jc w:val="center"/>
              <w:textAlignment w:val="center"/>
              <w:rPr>
                <w:sz w:val="22"/>
              </w:rPr>
            </w:pPr>
            <w:r>
              <w:rPr>
                <w:color w:val="000000"/>
                <w:sz w:val="22"/>
                <w:szCs w:val="22"/>
                <w:lang w:bidi="ar"/>
              </w:rPr>
              <w:t>1</w:t>
            </w:r>
          </w:p>
        </w:tc>
        <w:tc>
          <w:tcPr>
            <w:tcW w:w="1756" w:type="dxa"/>
            <w:tcBorders>
              <w:top w:val="single" w:color="auto" w:sz="4" w:space="0"/>
              <w:left w:val="nil"/>
              <w:bottom w:val="nil"/>
              <w:right w:val="nil"/>
            </w:tcBorders>
            <w:tcMar>
              <w:top w:w="-1" w:type="dxa"/>
              <w:left w:w="-1" w:type="dxa"/>
              <w:bottom w:w="-1" w:type="dxa"/>
              <w:right w:w="-1" w:type="dxa"/>
            </w:tcMar>
            <w:vAlign w:val="center"/>
          </w:tcPr>
          <w:p w14:paraId="316B5929">
            <w:pPr>
              <w:widowControl/>
              <w:snapToGrid w:val="0"/>
              <w:spacing w:line="360" w:lineRule="auto"/>
              <w:ind w:firstLine="0" w:firstLineChars="0"/>
              <w:jc w:val="center"/>
              <w:textAlignment w:val="center"/>
              <w:rPr>
                <w:sz w:val="22"/>
              </w:rPr>
            </w:pPr>
            <w:r>
              <w:rPr>
                <w:color w:val="000000"/>
                <w:sz w:val="22"/>
                <w:szCs w:val="22"/>
                <w:lang w:bidi="ar"/>
              </w:rPr>
              <w:t>52.6</w:t>
            </w:r>
          </w:p>
        </w:tc>
        <w:tc>
          <w:tcPr>
            <w:tcW w:w="0" w:type="auto"/>
            <w:tcBorders>
              <w:top w:val="single" w:color="auto" w:sz="4" w:space="0"/>
              <w:left w:val="nil"/>
              <w:bottom w:val="nil"/>
              <w:right w:val="nil"/>
            </w:tcBorders>
            <w:tcMar>
              <w:top w:w="-1" w:type="dxa"/>
              <w:left w:w="-1" w:type="dxa"/>
              <w:bottom w:w="-1" w:type="dxa"/>
              <w:right w:w="-1" w:type="dxa"/>
            </w:tcMar>
            <w:vAlign w:val="center"/>
          </w:tcPr>
          <w:p w14:paraId="7E48383B">
            <w:pPr>
              <w:widowControl/>
              <w:snapToGrid w:val="0"/>
              <w:spacing w:line="360" w:lineRule="auto"/>
              <w:ind w:firstLine="0" w:firstLineChars="0"/>
              <w:jc w:val="center"/>
              <w:textAlignment w:val="center"/>
              <w:rPr>
                <w:sz w:val="22"/>
              </w:rPr>
            </w:pPr>
            <w:r>
              <w:rPr>
                <w:color w:val="000000"/>
                <w:sz w:val="22"/>
                <w:lang w:bidi="ar"/>
              </w:rPr>
              <w:t>6.52</w:t>
            </w:r>
          </w:p>
        </w:tc>
        <w:tc>
          <w:tcPr>
            <w:tcW w:w="873" w:type="dxa"/>
            <w:tcBorders>
              <w:top w:val="single" w:color="auto" w:sz="4" w:space="0"/>
              <w:left w:val="nil"/>
              <w:bottom w:val="nil"/>
              <w:right w:val="nil"/>
            </w:tcBorders>
            <w:tcMar>
              <w:top w:w="-1" w:type="dxa"/>
              <w:left w:w="-1" w:type="dxa"/>
              <w:bottom w:w="-1" w:type="dxa"/>
              <w:right w:w="-1" w:type="dxa"/>
            </w:tcMar>
            <w:vAlign w:val="center"/>
          </w:tcPr>
          <w:p w14:paraId="33A2346F">
            <w:pPr>
              <w:widowControl/>
              <w:snapToGrid w:val="0"/>
              <w:spacing w:line="360" w:lineRule="auto"/>
              <w:ind w:firstLine="0" w:firstLineChars="0"/>
              <w:jc w:val="center"/>
              <w:textAlignment w:val="center"/>
              <w:rPr>
                <w:sz w:val="22"/>
              </w:rPr>
            </w:pPr>
            <w:r>
              <w:rPr>
                <w:color w:val="000000"/>
                <w:sz w:val="22"/>
                <w:lang w:bidi="ar"/>
              </w:rPr>
              <w:t>4.7</w:t>
            </w:r>
          </w:p>
        </w:tc>
        <w:tc>
          <w:tcPr>
            <w:tcW w:w="1521" w:type="dxa"/>
            <w:tcBorders>
              <w:top w:val="single" w:color="auto" w:sz="4" w:space="0"/>
              <w:left w:val="nil"/>
              <w:bottom w:val="nil"/>
              <w:right w:val="nil"/>
            </w:tcBorders>
            <w:tcMar>
              <w:top w:w="-1" w:type="dxa"/>
              <w:left w:w="-1" w:type="dxa"/>
              <w:bottom w:w="-1" w:type="dxa"/>
              <w:right w:w="-1" w:type="dxa"/>
            </w:tcMar>
            <w:vAlign w:val="center"/>
          </w:tcPr>
          <w:p w14:paraId="70C249AF">
            <w:pPr>
              <w:widowControl/>
              <w:snapToGrid w:val="0"/>
              <w:spacing w:line="360" w:lineRule="auto"/>
              <w:ind w:firstLine="0" w:firstLineChars="0"/>
              <w:jc w:val="center"/>
              <w:textAlignment w:val="center"/>
              <w:rPr>
                <w:color w:val="000000"/>
                <w:sz w:val="22"/>
                <w:szCs w:val="22"/>
                <w:lang w:bidi="ar"/>
              </w:rPr>
            </w:pPr>
            <w:r>
              <w:rPr>
                <w:color w:val="000000"/>
                <w:sz w:val="22"/>
                <w:lang w:bidi="ar"/>
              </w:rPr>
              <w:t>12.53</w:t>
            </w:r>
          </w:p>
        </w:tc>
        <w:tc>
          <w:tcPr>
            <w:tcW w:w="965" w:type="dxa"/>
            <w:tcBorders>
              <w:top w:val="single" w:color="auto" w:sz="4" w:space="0"/>
              <w:left w:val="nil"/>
              <w:bottom w:val="nil"/>
              <w:right w:val="nil"/>
            </w:tcBorders>
            <w:tcMar>
              <w:top w:w="-1" w:type="dxa"/>
              <w:left w:w="-1" w:type="dxa"/>
              <w:bottom w:w="-1" w:type="dxa"/>
              <w:right w:w="-1" w:type="dxa"/>
            </w:tcMar>
            <w:vAlign w:val="center"/>
          </w:tcPr>
          <w:p w14:paraId="6891A3BA">
            <w:pPr>
              <w:widowControl/>
              <w:snapToGrid w:val="0"/>
              <w:spacing w:line="360" w:lineRule="auto"/>
              <w:ind w:firstLine="0" w:firstLineChars="0"/>
              <w:jc w:val="center"/>
              <w:textAlignment w:val="center"/>
              <w:rPr>
                <w:sz w:val="22"/>
              </w:rPr>
            </w:pPr>
            <w:r>
              <w:rPr>
                <w:color w:val="000000"/>
                <w:sz w:val="22"/>
                <w:lang w:bidi="ar"/>
              </w:rPr>
              <w:t>0.9768</w:t>
            </w:r>
          </w:p>
        </w:tc>
        <w:tc>
          <w:tcPr>
            <w:tcW w:w="873" w:type="dxa"/>
            <w:tcBorders>
              <w:top w:val="single" w:color="auto" w:sz="4" w:space="0"/>
              <w:left w:val="nil"/>
              <w:bottom w:val="nil"/>
              <w:right w:val="nil"/>
            </w:tcBorders>
            <w:tcMar>
              <w:top w:w="-1" w:type="dxa"/>
              <w:left w:w="-1" w:type="dxa"/>
              <w:bottom w:w="-1" w:type="dxa"/>
              <w:right w:w="-1" w:type="dxa"/>
            </w:tcMar>
            <w:vAlign w:val="center"/>
          </w:tcPr>
          <w:p w14:paraId="3642F8CD">
            <w:pPr>
              <w:widowControl/>
              <w:snapToGrid w:val="0"/>
              <w:spacing w:line="360" w:lineRule="auto"/>
              <w:ind w:firstLine="0" w:firstLineChars="0"/>
              <w:jc w:val="center"/>
              <w:textAlignment w:val="center"/>
              <w:rPr>
                <w:sz w:val="22"/>
              </w:rPr>
            </w:pPr>
            <w:r>
              <w:rPr>
                <w:color w:val="000000"/>
                <w:sz w:val="22"/>
                <w:lang w:bidi="ar"/>
              </w:rPr>
              <w:t>0.762</w:t>
            </w:r>
          </w:p>
        </w:tc>
        <w:tc>
          <w:tcPr>
            <w:tcW w:w="975" w:type="dxa"/>
            <w:tcBorders>
              <w:top w:val="single" w:color="auto" w:sz="4" w:space="0"/>
              <w:left w:val="nil"/>
              <w:bottom w:val="nil"/>
              <w:right w:val="nil"/>
            </w:tcBorders>
            <w:tcMar>
              <w:top w:w="-1" w:type="dxa"/>
              <w:left w:w="-1" w:type="dxa"/>
              <w:bottom w:w="-1" w:type="dxa"/>
              <w:right w:w="-1" w:type="dxa"/>
            </w:tcMar>
            <w:vAlign w:val="center"/>
          </w:tcPr>
          <w:p w14:paraId="424FAF55">
            <w:pPr>
              <w:widowControl/>
              <w:snapToGrid w:val="0"/>
              <w:spacing w:line="360" w:lineRule="auto"/>
              <w:ind w:firstLine="0" w:firstLineChars="0"/>
              <w:jc w:val="center"/>
              <w:textAlignment w:val="center"/>
              <w:rPr>
                <w:color w:val="000000"/>
                <w:sz w:val="22"/>
                <w:szCs w:val="22"/>
                <w:lang w:bidi="ar"/>
              </w:rPr>
            </w:pPr>
            <w:r>
              <w:rPr>
                <w:color w:val="000000"/>
                <w:sz w:val="22"/>
                <w:lang w:bidi="ar"/>
              </w:rPr>
              <w:t>15.78</w:t>
            </w:r>
          </w:p>
        </w:tc>
      </w:tr>
      <w:tr w14:paraId="468E184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80" w:type="dxa"/>
            <w:left w:w="120" w:type="dxa"/>
            <w:bottom w:w="80" w:type="dxa"/>
            <w:right w:w="120"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353C0C5D">
            <w:pPr>
              <w:widowControl/>
              <w:snapToGrid w:val="0"/>
              <w:spacing w:line="360" w:lineRule="auto"/>
              <w:ind w:firstLine="0" w:firstLineChars="0"/>
              <w:jc w:val="center"/>
              <w:textAlignment w:val="center"/>
              <w:rPr>
                <w:sz w:val="22"/>
              </w:rPr>
            </w:pPr>
            <w:r>
              <w:rPr>
                <w:color w:val="000000"/>
                <w:sz w:val="22"/>
                <w:szCs w:val="22"/>
                <w:lang w:bidi="ar"/>
              </w:rPr>
              <w:t>2</w:t>
            </w:r>
          </w:p>
        </w:tc>
        <w:tc>
          <w:tcPr>
            <w:tcW w:w="1756" w:type="dxa"/>
            <w:tcBorders>
              <w:top w:val="nil"/>
              <w:left w:val="nil"/>
              <w:bottom w:val="nil"/>
              <w:right w:val="nil"/>
            </w:tcBorders>
            <w:tcMar>
              <w:top w:w="-1" w:type="dxa"/>
              <w:left w:w="-1" w:type="dxa"/>
              <w:bottom w:w="-1" w:type="dxa"/>
              <w:right w:w="-1" w:type="dxa"/>
            </w:tcMar>
            <w:vAlign w:val="center"/>
          </w:tcPr>
          <w:p w14:paraId="5BB30CBF">
            <w:pPr>
              <w:widowControl/>
              <w:snapToGrid w:val="0"/>
              <w:spacing w:line="360" w:lineRule="auto"/>
              <w:ind w:firstLine="0" w:firstLineChars="0"/>
              <w:jc w:val="center"/>
              <w:textAlignment w:val="center"/>
              <w:rPr>
                <w:sz w:val="22"/>
              </w:rPr>
            </w:pPr>
            <w:r>
              <w:rPr>
                <w:color w:val="000000"/>
                <w:sz w:val="22"/>
                <w:szCs w:val="22"/>
                <w:lang w:bidi="ar"/>
              </w:rPr>
              <w:t>537</w:t>
            </w:r>
          </w:p>
        </w:tc>
        <w:tc>
          <w:tcPr>
            <w:tcW w:w="0" w:type="auto"/>
            <w:tcBorders>
              <w:top w:val="nil"/>
              <w:left w:val="nil"/>
              <w:bottom w:val="nil"/>
              <w:right w:val="nil"/>
            </w:tcBorders>
            <w:tcMar>
              <w:top w:w="-1" w:type="dxa"/>
              <w:left w:w="-1" w:type="dxa"/>
              <w:bottom w:w="-1" w:type="dxa"/>
              <w:right w:w="-1" w:type="dxa"/>
            </w:tcMar>
            <w:vAlign w:val="center"/>
          </w:tcPr>
          <w:p w14:paraId="7EFCE7BB">
            <w:pPr>
              <w:widowControl/>
              <w:snapToGrid w:val="0"/>
              <w:spacing w:line="360" w:lineRule="auto"/>
              <w:ind w:firstLine="0" w:firstLineChars="0"/>
              <w:jc w:val="center"/>
              <w:textAlignment w:val="center"/>
              <w:rPr>
                <w:sz w:val="22"/>
              </w:rPr>
            </w:pPr>
            <w:r>
              <w:rPr>
                <w:color w:val="000000"/>
                <w:sz w:val="22"/>
                <w:lang w:bidi="ar"/>
              </w:rPr>
              <w:t>52.44</w:t>
            </w:r>
          </w:p>
        </w:tc>
        <w:tc>
          <w:tcPr>
            <w:tcW w:w="873" w:type="dxa"/>
            <w:tcBorders>
              <w:top w:val="nil"/>
              <w:left w:val="nil"/>
              <w:bottom w:val="nil"/>
              <w:right w:val="nil"/>
            </w:tcBorders>
            <w:tcMar>
              <w:top w:w="-1" w:type="dxa"/>
              <w:left w:w="-1" w:type="dxa"/>
              <w:bottom w:w="-1" w:type="dxa"/>
              <w:right w:w="-1" w:type="dxa"/>
            </w:tcMar>
            <w:vAlign w:val="center"/>
          </w:tcPr>
          <w:p w14:paraId="4752E3CC">
            <w:pPr>
              <w:widowControl/>
              <w:snapToGrid w:val="0"/>
              <w:spacing w:line="360" w:lineRule="auto"/>
              <w:ind w:firstLine="0" w:firstLineChars="0"/>
              <w:jc w:val="center"/>
              <w:textAlignment w:val="center"/>
              <w:rPr>
                <w:sz w:val="22"/>
              </w:rPr>
            </w:pPr>
            <w:r>
              <w:rPr>
                <w:color w:val="000000"/>
                <w:sz w:val="22"/>
                <w:lang w:bidi="ar"/>
              </w:rPr>
              <w:t>29.86</w:t>
            </w:r>
          </w:p>
        </w:tc>
        <w:tc>
          <w:tcPr>
            <w:tcW w:w="1521" w:type="dxa"/>
            <w:tcBorders>
              <w:top w:val="nil"/>
              <w:left w:val="nil"/>
              <w:bottom w:val="nil"/>
              <w:right w:val="nil"/>
            </w:tcBorders>
            <w:tcMar>
              <w:top w:w="-1" w:type="dxa"/>
              <w:left w:w="-1" w:type="dxa"/>
              <w:bottom w:w="-1" w:type="dxa"/>
              <w:right w:w="-1" w:type="dxa"/>
            </w:tcMar>
            <w:vAlign w:val="center"/>
          </w:tcPr>
          <w:p w14:paraId="51F9F47B">
            <w:pPr>
              <w:widowControl/>
              <w:snapToGrid w:val="0"/>
              <w:spacing w:line="360" w:lineRule="auto"/>
              <w:ind w:firstLine="0" w:firstLineChars="0"/>
              <w:jc w:val="center"/>
              <w:textAlignment w:val="center"/>
              <w:rPr>
                <w:color w:val="000000"/>
                <w:sz w:val="22"/>
                <w:szCs w:val="22"/>
                <w:lang w:bidi="ar"/>
              </w:rPr>
            </w:pPr>
            <w:r>
              <w:rPr>
                <w:color w:val="000000"/>
                <w:sz w:val="22"/>
                <w:lang w:bidi="ar"/>
              </w:rPr>
              <w:t>15.47</w:t>
            </w:r>
          </w:p>
        </w:tc>
        <w:tc>
          <w:tcPr>
            <w:tcW w:w="965" w:type="dxa"/>
            <w:tcBorders>
              <w:top w:val="nil"/>
              <w:left w:val="nil"/>
              <w:bottom w:val="nil"/>
              <w:right w:val="nil"/>
            </w:tcBorders>
            <w:tcMar>
              <w:top w:w="-1" w:type="dxa"/>
              <w:left w:w="-1" w:type="dxa"/>
              <w:bottom w:w="-1" w:type="dxa"/>
              <w:right w:w="-1" w:type="dxa"/>
            </w:tcMar>
            <w:vAlign w:val="center"/>
          </w:tcPr>
          <w:p w14:paraId="7D24F7AF">
            <w:pPr>
              <w:widowControl/>
              <w:snapToGrid w:val="0"/>
              <w:spacing w:line="360" w:lineRule="auto"/>
              <w:ind w:firstLine="0" w:firstLineChars="0"/>
              <w:jc w:val="center"/>
              <w:textAlignment w:val="center"/>
              <w:rPr>
                <w:sz w:val="22"/>
              </w:rPr>
            </w:pPr>
            <w:r>
              <w:rPr>
                <w:color w:val="000000"/>
                <w:sz w:val="22"/>
                <w:lang w:bidi="ar"/>
              </w:rPr>
              <w:t>0.9741</w:t>
            </w:r>
          </w:p>
        </w:tc>
        <w:tc>
          <w:tcPr>
            <w:tcW w:w="873" w:type="dxa"/>
            <w:tcBorders>
              <w:top w:val="nil"/>
              <w:left w:val="nil"/>
              <w:bottom w:val="nil"/>
              <w:right w:val="nil"/>
            </w:tcBorders>
            <w:tcMar>
              <w:top w:w="-1" w:type="dxa"/>
              <w:left w:w="-1" w:type="dxa"/>
              <w:bottom w:w="-1" w:type="dxa"/>
              <w:right w:w="-1" w:type="dxa"/>
            </w:tcMar>
            <w:vAlign w:val="center"/>
          </w:tcPr>
          <w:p w14:paraId="0E3EEF16">
            <w:pPr>
              <w:widowControl/>
              <w:snapToGrid w:val="0"/>
              <w:spacing w:line="360" w:lineRule="auto"/>
              <w:ind w:firstLine="0" w:firstLineChars="0"/>
              <w:jc w:val="center"/>
              <w:textAlignment w:val="center"/>
              <w:rPr>
                <w:sz w:val="22"/>
              </w:rPr>
            </w:pPr>
            <w:r>
              <w:rPr>
                <w:color w:val="000000"/>
                <w:sz w:val="22"/>
                <w:lang w:bidi="ar"/>
              </w:rPr>
              <w:t>0.847</w:t>
            </w:r>
          </w:p>
        </w:tc>
        <w:tc>
          <w:tcPr>
            <w:tcW w:w="975" w:type="dxa"/>
            <w:tcBorders>
              <w:top w:val="nil"/>
              <w:left w:val="nil"/>
              <w:bottom w:val="nil"/>
              <w:right w:val="nil"/>
            </w:tcBorders>
            <w:tcMar>
              <w:top w:w="-1" w:type="dxa"/>
              <w:left w:w="-1" w:type="dxa"/>
              <w:bottom w:w="-1" w:type="dxa"/>
              <w:right w:w="-1" w:type="dxa"/>
            </w:tcMar>
            <w:vAlign w:val="center"/>
          </w:tcPr>
          <w:p w14:paraId="1F66D1DF">
            <w:pPr>
              <w:widowControl/>
              <w:snapToGrid w:val="0"/>
              <w:spacing w:line="360" w:lineRule="auto"/>
              <w:ind w:firstLine="0" w:firstLineChars="0"/>
              <w:jc w:val="center"/>
              <w:textAlignment w:val="center"/>
              <w:rPr>
                <w:color w:val="000000"/>
                <w:sz w:val="22"/>
                <w:szCs w:val="22"/>
                <w:lang w:bidi="ar"/>
              </w:rPr>
            </w:pPr>
            <w:r>
              <w:rPr>
                <w:color w:val="000000"/>
                <w:sz w:val="22"/>
                <w:lang w:bidi="ar"/>
              </w:rPr>
              <w:t>86.11</w:t>
            </w:r>
          </w:p>
        </w:tc>
      </w:tr>
      <w:tr w14:paraId="5D3CBE0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80" w:type="dxa"/>
            <w:left w:w="120" w:type="dxa"/>
            <w:bottom w:w="80" w:type="dxa"/>
            <w:right w:w="120"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44715F7">
            <w:pPr>
              <w:widowControl/>
              <w:snapToGrid w:val="0"/>
              <w:spacing w:line="360" w:lineRule="auto"/>
              <w:ind w:firstLine="0" w:firstLineChars="0"/>
              <w:jc w:val="center"/>
              <w:textAlignment w:val="center"/>
              <w:rPr>
                <w:sz w:val="22"/>
              </w:rPr>
            </w:pPr>
            <w:r>
              <w:rPr>
                <w:color w:val="000000"/>
                <w:sz w:val="22"/>
                <w:szCs w:val="22"/>
                <w:lang w:bidi="ar"/>
              </w:rPr>
              <w:t>3</w:t>
            </w:r>
          </w:p>
        </w:tc>
        <w:tc>
          <w:tcPr>
            <w:tcW w:w="1756" w:type="dxa"/>
            <w:tcBorders>
              <w:top w:val="nil"/>
              <w:left w:val="nil"/>
              <w:bottom w:val="nil"/>
              <w:right w:val="nil"/>
            </w:tcBorders>
            <w:tcMar>
              <w:top w:w="-1" w:type="dxa"/>
              <w:left w:w="-1" w:type="dxa"/>
              <w:bottom w:w="-1" w:type="dxa"/>
              <w:right w:w="-1" w:type="dxa"/>
            </w:tcMar>
            <w:vAlign w:val="center"/>
          </w:tcPr>
          <w:p w14:paraId="46229652">
            <w:pPr>
              <w:widowControl/>
              <w:snapToGrid w:val="0"/>
              <w:spacing w:line="360" w:lineRule="auto"/>
              <w:ind w:firstLine="0" w:firstLineChars="0"/>
              <w:jc w:val="center"/>
              <w:textAlignment w:val="center"/>
              <w:rPr>
                <w:sz w:val="22"/>
              </w:rPr>
            </w:pPr>
            <w:r>
              <w:rPr>
                <w:color w:val="000000"/>
                <w:sz w:val="22"/>
                <w:szCs w:val="22"/>
                <w:lang w:bidi="ar"/>
              </w:rPr>
              <w:t>2814</w:t>
            </w:r>
          </w:p>
        </w:tc>
        <w:tc>
          <w:tcPr>
            <w:tcW w:w="0" w:type="auto"/>
            <w:tcBorders>
              <w:top w:val="nil"/>
              <w:left w:val="nil"/>
              <w:bottom w:val="nil"/>
              <w:right w:val="nil"/>
            </w:tcBorders>
            <w:tcMar>
              <w:top w:w="-1" w:type="dxa"/>
              <w:left w:w="-1" w:type="dxa"/>
              <w:bottom w:w="-1" w:type="dxa"/>
              <w:right w:w="-1" w:type="dxa"/>
            </w:tcMar>
            <w:vAlign w:val="center"/>
          </w:tcPr>
          <w:p w14:paraId="37EDAFB7">
            <w:pPr>
              <w:widowControl/>
              <w:snapToGrid w:val="0"/>
              <w:spacing w:line="360" w:lineRule="auto"/>
              <w:ind w:firstLine="0" w:firstLineChars="0"/>
              <w:jc w:val="center"/>
              <w:textAlignment w:val="center"/>
              <w:rPr>
                <w:sz w:val="22"/>
              </w:rPr>
            </w:pPr>
            <w:r>
              <w:rPr>
                <w:color w:val="000000"/>
                <w:sz w:val="22"/>
                <w:lang w:bidi="ar"/>
              </w:rPr>
              <w:t>17.53</w:t>
            </w:r>
          </w:p>
        </w:tc>
        <w:tc>
          <w:tcPr>
            <w:tcW w:w="873" w:type="dxa"/>
            <w:tcBorders>
              <w:top w:val="nil"/>
              <w:left w:val="nil"/>
              <w:bottom w:val="nil"/>
              <w:right w:val="nil"/>
            </w:tcBorders>
            <w:tcMar>
              <w:top w:w="-1" w:type="dxa"/>
              <w:left w:w="-1" w:type="dxa"/>
              <w:bottom w:w="-1" w:type="dxa"/>
              <w:right w:w="-1" w:type="dxa"/>
            </w:tcMar>
            <w:vAlign w:val="center"/>
          </w:tcPr>
          <w:p w14:paraId="347AD6D9">
            <w:pPr>
              <w:widowControl/>
              <w:snapToGrid w:val="0"/>
              <w:spacing w:line="360" w:lineRule="auto"/>
              <w:ind w:firstLine="0" w:firstLineChars="0"/>
              <w:jc w:val="center"/>
              <w:textAlignment w:val="center"/>
              <w:rPr>
                <w:sz w:val="22"/>
              </w:rPr>
            </w:pPr>
            <w:r>
              <w:rPr>
                <w:color w:val="000000"/>
                <w:sz w:val="22"/>
                <w:lang w:bidi="ar"/>
              </w:rPr>
              <w:t>13.75</w:t>
            </w:r>
          </w:p>
        </w:tc>
        <w:tc>
          <w:tcPr>
            <w:tcW w:w="1521" w:type="dxa"/>
            <w:tcBorders>
              <w:top w:val="nil"/>
              <w:left w:val="nil"/>
              <w:bottom w:val="nil"/>
              <w:right w:val="nil"/>
            </w:tcBorders>
            <w:tcMar>
              <w:top w:w="-1" w:type="dxa"/>
              <w:left w:w="-1" w:type="dxa"/>
              <w:bottom w:w="-1" w:type="dxa"/>
              <w:right w:w="-1" w:type="dxa"/>
            </w:tcMar>
            <w:vAlign w:val="center"/>
          </w:tcPr>
          <w:p w14:paraId="679114BA">
            <w:pPr>
              <w:widowControl/>
              <w:snapToGrid w:val="0"/>
              <w:spacing w:line="360" w:lineRule="auto"/>
              <w:ind w:firstLine="0" w:firstLineChars="0"/>
              <w:jc w:val="center"/>
              <w:textAlignment w:val="center"/>
              <w:rPr>
                <w:color w:val="000000"/>
                <w:sz w:val="22"/>
                <w:szCs w:val="22"/>
                <w:lang w:bidi="ar"/>
              </w:rPr>
            </w:pPr>
            <w:r>
              <w:rPr>
                <w:color w:val="000000"/>
                <w:sz w:val="22"/>
                <w:lang w:bidi="ar"/>
              </w:rPr>
              <w:t>15.37</w:t>
            </w:r>
          </w:p>
        </w:tc>
        <w:tc>
          <w:tcPr>
            <w:tcW w:w="965" w:type="dxa"/>
            <w:tcBorders>
              <w:top w:val="nil"/>
              <w:left w:val="nil"/>
              <w:bottom w:val="nil"/>
              <w:right w:val="nil"/>
            </w:tcBorders>
            <w:tcMar>
              <w:top w:w="-1" w:type="dxa"/>
              <w:left w:w="-1" w:type="dxa"/>
              <w:bottom w:w="-1" w:type="dxa"/>
              <w:right w:w="-1" w:type="dxa"/>
            </w:tcMar>
            <w:vAlign w:val="center"/>
          </w:tcPr>
          <w:p w14:paraId="43D511DD">
            <w:pPr>
              <w:widowControl/>
              <w:snapToGrid w:val="0"/>
              <w:spacing w:line="360" w:lineRule="auto"/>
              <w:ind w:firstLine="0" w:firstLineChars="0"/>
              <w:jc w:val="center"/>
              <w:textAlignment w:val="center"/>
              <w:rPr>
                <w:sz w:val="22"/>
              </w:rPr>
            </w:pPr>
            <w:r>
              <w:rPr>
                <w:color w:val="000000"/>
                <w:sz w:val="22"/>
                <w:lang w:bidi="ar"/>
              </w:rPr>
              <w:t>0.9664</w:t>
            </w:r>
          </w:p>
        </w:tc>
        <w:tc>
          <w:tcPr>
            <w:tcW w:w="873" w:type="dxa"/>
            <w:tcBorders>
              <w:top w:val="nil"/>
              <w:left w:val="nil"/>
              <w:bottom w:val="nil"/>
              <w:right w:val="nil"/>
            </w:tcBorders>
            <w:tcMar>
              <w:top w:w="-1" w:type="dxa"/>
              <w:left w:w="-1" w:type="dxa"/>
              <w:bottom w:w="-1" w:type="dxa"/>
              <w:right w:w="-1" w:type="dxa"/>
            </w:tcMar>
            <w:vAlign w:val="center"/>
          </w:tcPr>
          <w:p w14:paraId="601B3382">
            <w:pPr>
              <w:widowControl/>
              <w:snapToGrid w:val="0"/>
              <w:spacing w:line="360" w:lineRule="auto"/>
              <w:ind w:firstLine="0" w:firstLineChars="0"/>
              <w:jc w:val="center"/>
              <w:textAlignment w:val="center"/>
              <w:rPr>
                <w:sz w:val="22"/>
              </w:rPr>
            </w:pPr>
            <w:r>
              <w:rPr>
                <w:color w:val="000000"/>
                <w:sz w:val="22"/>
                <w:lang w:bidi="ar"/>
              </w:rPr>
              <w:t>0.627</w:t>
            </w:r>
          </w:p>
        </w:tc>
        <w:tc>
          <w:tcPr>
            <w:tcW w:w="975" w:type="dxa"/>
            <w:tcBorders>
              <w:top w:val="nil"/>
              <w:left w:val="nil"/>
              <w:bottom w:val="nil"/>
              <w:right w:val="nil"/>
            </w:tcBorders>
            <w:tcMar>
              <w:top w:w="-1" w:type="dxa"/>
              <w:left w:w="-1" w:type="dxa"/>
              <w:bottom w:w="-1" w:type="dxa"/>
              <w:right w:w="-1" w:type="dxa"/>
            </w:tcMar>
            <w:vAlign w:val="center"/>
          </w:tcPr>
          <w:p w14:paraId="0E93F578">
            <w:pPr>
              <w:widowControl/>
              <w:snapToGrid w:val="0"/>
              <w:spacing w:line="360" w:lineRule="auto"/>
              <w:ind w:firstLine="0" w:firstLineChars="0"/>
              <w:jc w:val="center"/>
              <w:textAlignment w:val="center"/>
              <w:rPr>
                <w:color w:val="000000"/>
                <w:sz w:val="22"/>
                <w:szCs w:val="22"/>
                <w:lang w:bidi="ar"/>
              </w:rPr>
            </w:pPr>
            <w:r>
              <w:rPr>
                <w:color w:val="000000"/>
                <w:sz w:val="22"/>
                <w:lang w:bidi="ar"/>
              </w:rPr>
              <w:t>24.67</w:t>
            </w:r>
          </w:p>
        </w:tc>
      </w:tr>
      <w:tr w14:paraId="7399FCC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80" w:type="dxa"/>
            <w:left w:w="120" w:type="dxa"/>
            <w:bottom w:w="80" w:type="dxa"/>
            <w:right w:w="120" w:type="dxa"/>
          </w:tblCellMar>
        </w:tblPrEx>
        <w:trPr>
          <w:jc w:val="center"/>
        </w:trPr>
        <w:tc>
          <w:tcPr>
            <w:tcW w:w="785" w:type="dxa"/>
            <w:tcBorders>
              <w:top w:val="nil"/>
              <w:left w:val="nil"/>
              <w:bottom w:val="single" w:color="auto" w:sz="12" w:space="0"/>
              <w:right w:val="nil"/>
            </w:tcBorders>
            <w:tcMar>
              <w:top w:w="-1" w:type="dxa"/>
              <w:left w:w="-1" w:type="dxa"/>
              <w:bottom w:w="-1" w:type="dxa"/>
              <w:right w:w="-1" w:type="dxa"/>
            </w:tcMar>
            <w:vAlign w:val="center"/>
          </w:tcPr>
          <w:p w14:paraId="7E521C27">
            <w:pPr>
              <w:widowControl/>
              <w:snapToGrid w:val="0"/>
              <w:spacing w:line="360" w:lineRule="auto"/>
              <w:ind w:firstLine="0" w:firstLineChars="0"/>
              <w:jc w:val="center"/>
              <w:textAlignment w:val="center"/>
              <w:rPr>
                <w:sz w:val="22"/>
              </w:rPr>
            </w:pPr>
            <w:r>
              <w:rPr>
                <w:color w:val="000000"/>
                <w:sz w:val="22"/>
                <w:szCs w:val="22"/>
                <w:lang w:bidi="ar"/>
              </w:rPr>
              <w:t>平均</w:t>
            </w:r>
          </w:p>
        </w:tc>
        <w:tc>
          <w:tcPr>
            <w:tcW w:w="1756" w:type="dxa"/>
            <w:tcBorders>
              <w:top w:val="nil"/>
              <w:left w:val="nil"/>
              <w:bottom w:val="single" w:color="auto" w:sz="12" w:space="0"/>
              <w:right w:val="nil"/>
            </w:tcBorders>
            <w:tcMar>
              <w:top w:w="-1" w:type="dxa"/>
              <w:left w:w="-1" w:type="dxa"/>
              <w:bottom w:w="-1" w:type="dxa"/>
              <w:right w:w="-1" w:type="dxa"/>
            </w:tcMar>
            <w:vAlign w:val="center"/>
          </w:tcPr>
          <w:p w14:paraId="2F0F04AC">
            <w:pPr>
              <w:widowControl/>
              <w:snapToGrid w:val="0"/>
              <w:spacing w:line="360" w:lineRule="auto"/>
              <w:ind w:firstLine="0" w:firstLineChars="0"/>
              <w:jc w:val="center"/>
              <w:textAlignment w:val="center"/>
              <w:rPr>
                <w:sz w:val="22"/>
              </w:rPr>
            </w:pPr>
            <w:r>
              <w:rPr>
                <w:color w:val="000000"/>
                <w:sz w:val="22"/>
                <w:szCs w:val="22"/>
                <w:lang w:bidi="ar"/>
              </w:rPr>
              <w:t>—</w:t>
            </w:r>
          </w:p>
        </w:tc>
        <w:tc>
          <w:tcPr>
            <w:tcW w:w="975" w:type="dxa"/>
            <w:tcBorders>
              <w:top w:val="nil"/>
              <w:left w:val="nil"/>
              <w:bottom w:val="single" w:color="auto" w:sz="12" w:space="0"/>
              <w:right w:val="nil"/>
            </w:tcBorders>
            <w:tcMar>
              <w:top w:w="-1" w:type="dxa"/>
              <w:left w:w="-1" w:type="dxa"/>
              <w:bottom w:w="-1" w:type="dxa"/>
              <w:right w:w="-1" w:type="dxa"/>
            </w:tcMar>
            <w:vAlign w:val="center"/>
          </w:tcPr>
          <w:p w14:paraId="6E3301BD">
            <w:pPr>
              <w:widowControl/>
              <w:snapToGrid w:val="0"/>
              <w:spacing w:line="360" w:lineRule="auto"/>
              <w:ind w:firstLine="0" w:firstLineChars="0"/>
              <w:jc w:val="center"/>
              <w:textAlignment w:val="center"/>
              <w:rPr>
                <w:sz w:val="22"/>
              </w:rPr>
            </w:pPr>
            <w:r>
              <w:rPr>
                <w:color w:val="000000"/>
                <w:sz w:val="22"/>
                <w:szCs w:val="22"/>
                <w:lang w:bidi="ar"/>
              </w:rPr>
              <w:t>25.49</w:t>
            </w:r>
          </w:p>
        </w:tc>
        <w:tc>
          <w:tcPr>
            <w:tcW w:w="873" w:type="dxa"/>
            <w:tcBorders>
              <w:top w:val="nil"/>
              <w:left w:val="nil"/>
              <w:bottom w:val="single" w:color="auto" w:sz="12" w:space="0"/>
              <w:right w:val="nil"/>
            </w:tcBorders>
            <w:tcMar>
              <w:top w:w="-1" w:type="dxa"/>
              <w:left w:w="-1" w:type="dxa"/>
              <w:bottom w:w="-1" w:type="dxa"/>
              <w:right w:w="-1" w:type="dxa"/>
            </w:tcMar>
            <w:vAlign w:val="center"/>
          </w:tcPr>
          <w:p w14:paraId="35D6A5E6">
            <w:pPr>
              <w:widowControl/>
              <w:snapToGrid w:val="0"/>
              <w:spacing w:line="360" w:lineRule="auto"/>
              <w:ind w:firstLine="0" w:firstLineChars="0"/>
              <w:jc w:val="center"/>
              <w:textAlignment w:val="center"/>
              <w:rPr>
                <w:sz w:val="22"/>
              </w:rPr>
            </w:pPr>
            <w:r>
              <w:rPr>
                <w:color w:val="000000"/>
                <w:sz w:val="22"/>
                <w:szCs w:val="22"/>
                <w:lang w:bidi="ar"/>
              </w:rPr>
              <w:t>16.10</w:t>
            </w:r>
          </w:p>
        </w:tc>
        <w:tc>
          <w:tcPr>
            <w:tcW w:w="1521" w:type="dxa"/>
            <w:tcBorders>
              <w:top w:val="nil"/>
              <w:left w:val="nil"/>
              <w:bottom w:val="single" w:color="auto" w:sz="12" w:space="0"/>
              <w:right w:val="nil"/>
            </w:tcBorders>
            <w:tcMar>
              <w:top w:w="-1" w:type="dxa"/>
              <w:left w:w="-1" w:type="dxa"/>
              <w:bottom w:w="-1" w:type="dxa"/>
              <w:right w:w="-1" w:type="dxa"/>
            </w:tcMar>
            <w:vAlign w:val="center"/>
          </w:tcPr>
          <w:p w14:paraId="06A73450">
            <w:pPr>
              <w:widowControl/>
              <w:snapToGrid w:val="0"/>
              <w:spacing w:line="360" w:lineRule="auto"/>
              <w:ind w:firstLine="0" w:firstLineChars="0"/>
              <w:jc w:val="center"/>
              <w:textAlignment w:val="center"/>
              <w:rPr>
                <w:color w:val="000000"/>
                <w:sz w:val="22"/>
                <w:szCs w:val="22"/>
              </w:rPr>
            </w:pPr>
            <w:r>
              <w:rPr>
                <w:color w:val="000000"/>
                <w:sz w:val="22"/>
                <w:szCs w:val="22"/>
                <w:lang w:bidi="ar"/>
              </w:rPr>
              <w:t>14.46</w:t>
            </w:r>
          </w:p>
        </w:tc>
        <w:tc>
          <w:tcPr>
            <w:tcW w:w="965" w:type="dxa"/>
            <w:tcBorders>
              <w:top w:val="nil"/>
              <w:left w:val="nil"/>
              <w:bottom w:val="single" w:color="auto" w:sz="12" w:space="0"/>
              <w:right w:val="nil"/>
            </w:tcBorders>
            <w:tcMar>
              <w:top w:w="-1" w:type="dxa"/>
              <w:left w:w="-1" w:type="dxa"/>
              <w:bottom w:w="-1" w:type="dxa"/>
              <w:right w:w="-1" w:type="dxa"/>
            </w:tcMar>
            <w:vAlign w:val="center"/>
          </w:tcPr>
          <w:p w14:paraId="578E86AD">
            <w:pPr>
              <w:widowControl/>
              <w:snapToGrid w:val="0"/>
              <w:spacing w:line="360" w:lineRule="auto"/>
              <w:ind w:firstLine="0" w:firstLineChars="0"/>
              <w:jc w:val="center"/>
              <w:textAlignment w:val="center"/>
              <w:rPr>
                <w:sz w:val="22"/>
              </w:rPr>
            </w:pPr>
            <w:r>
              <w:rPr>
                <w:color w:val="000000"/>
                <w:sz w:val="22"/>
                <w:szCs w:val="22"/>
                <w:lang w:bidi="ar"/>
              </w:rPr>
              <w:t>0.9724</w:t>
            </w:r>
          </w:p>
        </w:tc>
        <w:tc>
          <w:tcPr>
            <w:tcW w:w="873" w:type="dxa"/>
            <w:tcBorders>
              <w:top w:val="nil"/>
              <w:left w:val="nil"/>
              <w:bottom w:val="single" w:color="auto" w:sz="12" w:space="0"/>
              <w:right w:val="nil"/>
            </w:tcBorders>
            <w:tcMar>
              <w:top w:w="-1" w:type="dxa"/>
              <w:left w:w="-1" w:type="dxa"/>
              <w:bottom w:w="-1" w:type="dxa"/>
              <w:right w:w="-1" w:type="dxa"/>
            </w:tcMar>
            <w:vAlign w:val="center"/>
          </w:tcPr>
          <w:p w14:paraId="11D17BBC">
            <w:pPr>
              <w:widowControl/>
              <w:snapToGrid w:val="0"/>
              <w:spacing w:line="360" w:lineRule="auto"/>
              <w:ind w:firstLine="0" w:firstLineChars="0"/>
              <w:jc w:val="center"/>
              <w:textAlignment w:val="center"/>
              <w:rPr>
                <w:sz w:val="22"/>
              </w:rPr>
            </w:pPr>
            <w:r>
              <w:rPr>
                <w:color w:val="000000"/>
                <w:sz w:val="22"/>
                <w:szCs w:val="22"/>
                <w:lang w:bidi="ar"/>
              </w:rPr>
              <w:t>0.745</w:t>
            </w:r>
          </w:p>
        </w:tc>
        <w:tc>
          <w:tcPr>
            <w:tcW w:w="975" w:type="dxa"/>
            <w:tcBorders>
              <w:top w:val="nil"/>
              <w:left w:val="nil"/>
              <w:bottom w:val="single" w:color="auto" w:sz="12" w:space="0"/>
              <w:right w:val="nil"/>
            </w:tcBorders>
            <w:tcMar>
              <w:top w:w="-1" w:type="dxa"/>
              <w:left w:w="-1" w:type="dxa"/>
              <w:bottom w:w="-1" w:type="dxa"/>
              <w:right w:w="-1" w:type="dxa"/>
            </w:tcMar>
            <w:vAlign w:val="center"/>
          </w:tcPr>
          <w:p w14:paraId="2C848974">
            <w:pPr>
              <w:widowControl/>
              <w:snapToGrid w:val="0"/>
              <w:spacing w:line="360" w:lineRule="auto"/>
              <w:ind w:firstLine="0" w:firstLineChars="0"/>
              <w:jc w:val="center"/>
              <w:textAlignment w:val="center"/>
              <w:rPr>
                <w:color w:val="000000"/>
                <w:sz w:val="22"/>
                <w:szCs w:val="22"/>
                <w:lang w:bidi="ar"/>
              </w:rPr>
            </w:pPr>
            <w:r>
              <w:rPr>
                <w:color w:val="000000"/>
                <w:sz w:val="22"/>
                <w:szCs w:val="22"/>
                <w:lang w:bidi="ar"/>
              </w:rPr>
              <w:t>42.19</w:t>
            </w:r>
          </w:p>
        </w:tc>
      </w:tr>
    </w:tbl>
    <w:p w14:paraId="75837618">
      <w:pPr>
        <w:ind w:firstLine="480"/>
      </w:pPr>
      <w:r>
        <w:t>结果表明，模型在三种工况下均实现了高精度预测。</w:t>
      </w:r>
    </w:p>
    <w:p w14:paraId="1EB76618">
      <w:pPr>
        <w:ind w:firstLine="480"/>
        <w:rPr>
          <w:rFonts w:hint="eastAsia"/>
        </w:rPr>
      </w:pPr>
      <w:r>
        <w:rPr>
          <w:rFonts w:hint="eastAsia"/>
        </w:rPr>
        <w:t>三个工况拉通看，平均RMSE 25.49 min，平均MAE 16.10 min，NRMSE 14.46%，PHM Score 0.9724——在不同寿命尺度下稳住了，说明模型对短、中、长寿命轴承都能适配，不是只在某一类上做得好。PICP均值0.745，工况1的MPIW只有15.78 min，预测</w:t>
      </w:r>
      <w:r>
        <w:rPr>
          <w:rFonts w:hint="eastAsia"/>
          <w:lang w:eastAsia="zh-CN"/>
        </w:rPr>
        <w:t>十分</w:t>
      </w:r>
      <w:r>
        <w:rPr>
          <w:rFonts w:hint="eastAsia"/>
        </w:rPr>
        <w:t>笃定；工况2的PICP上了0.847，区间覆盖是最充分的。整体上，不确定性量化在三种寿命尺度下都给出了合理的区间参考。</w:t>
      </w:r>
    </w:p>
    <w:p w14:paraId="7FC198E8">
      <w:pPr>
        <w:ind w:firstLine="480"/>
      </w:pPr>
      <w:r>
        <w:br w:type="page"/>
      </w:r>
    </w:p>
    <w:p w14:paraId="4114070C">
      <w:pPr>
        <w:pStyle w:val="4"/>
        <w:spacing w:before="120" w:after="120"/>
      </w:pPr>
      <w:bookmarkStart w:id="121" w:name="_Toc16607"/>
      <w:bookmarkStart w:id="122" w:name="_Toc24652"/>
      <w:r>
        <w:t>4.4.2 跨工况下的RUL预测结果与泛化性分析</w:t>
      </w:r>
      <w:bookmarkEnd w:id="121"/>
      <w:bookmarkEnd w:id="122"/>
    </w:p>
    <w:p w14:paraId="6DF8839E">
      <w:pPr>
        <w:ind w:firstLine="480"/>
        <w:rPr>
          <w:rFonts w:hint="eastAsia"/>
        </w:rPr>
      </w:pPr>
      <w:r>
        <w:rPr>
          <w:rFonts w:hint="eastAsia"/>
        </w:rPr>
        <w:t>跨工况任务未校正时的预测性能汇总在表4-5中。跟单工况比，跨工况NRMSE整体上去了不少，域漂移对泛化能力的拖累是实实在在的。具体来看，2→1表现最好，1→3误差最大（RMSE 756.61 min），这也符合预期——工况1和工况3转速、载荷差距最大，退化模式差别最明显。</w:t>
      </w:r>
    </w:p>
    <w:p w14:paraId="1B537F74">
      <w:pPr>
        <w:spacing w:line="240" w:lineRule="auto"/>
        <w:ind w:firstLine="480"/>
      </w:pPr>
      <w:r>
        <w:rPr>
          <w:rFonts w:hint="eastAsia"/>
        </w:rPr>
        <w:t>为更直观地展示不同迁移任务的误差差异，绘制了跨工况任务中单一工况数据训练（单源域）与混合两种工况数据训练（双源域）的 RMSE 对比柱状图</w:t>
      </w:r>
      <w:r>
        <w:t>。由图4-3可见，双源域迁移的平均RMSE为208.89min，高于单源域迁移的208.41min。这一现象主要源于双源域融合面临的特征分布跨度更大的问题。</w:t>
      </w:r>
    </w:p>
    <w:p w14:paraId="070F9301">
      <w:pPr>
        <w:spacing w:line="240" w:lineRule="auto"/>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4210685" cy="3179445"/>
            <wp:effectExtent l="0" t="0" r="10795" b="5715"/>
            <wp:docPr id="8" name="图片 8" descr="图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片5"/>
                    <pic:cNvPicPr>
                      <a:picLocks noChangeAspect="1"/>
                    </pic:cNvPicPr>
                  </pic:nvPicPr>
                  <pic:blipFill>
                    <a:blip r:embed="rId247"/>
                    <a:stretch>
                      <a:fillRect/>
                    </a:stretch>
                  </pic:blipFill>
                  <pic:spPr>
                    <a:xfrm>
                      <a:off x="0" y="0"/>
                      <a:ext cx="4210685" cy="3179445"/>
                    </a:xfrm>
                    <a:prstGeom prst="rect">
                      <a:avLst/>
                    </a:prstGeom>
                  </pic:spPr>
                </pic:pic>
              </a:graphicData>
            </a:graphic>
          </wp:inline>
        </w:drawing>
      </w:r>
    </w:p>
    <w:p w14:paraId="740E369C">
      <w:pPr>
        <w:pStyle w:val="8"/>
        <w:rPr>
          <w:rFonts w:ascii="Times New Roman" w:hAnsi="Times New Roman"/>
        </w:rPr>
      </w:pPr>
      <w:r>
        <w:rPr>
          <w:rFonts w:ascii="Times New Roman" w:hAnsi="Times New Roman"/>
        </w:rPr>
        <w:t>图4-</w:t>
      </w:r>
      <w:r>
        <w:rPr>
          <w:rFonts w:ascii="Times New Roman" w:hAnsi="Times New Roman"/>
        </w:rPr>
        <w:fldChar w:fldCharType="begin"/>
      </w:r>
      <w:r>
        <w:rPr>
          <w:rFonts w:ascii="Times New Roman" w:hAnsi="Times New Roman"/>
        </w:rPr>
        <w:instrText xml:space="preserve"> SEQ 图 \* ARABIC \s 1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bookmarkStart w:id="123" w:name="_Toc15728"/>
      <w:r>
        <w:rPr>
          <w:rFonts w:ascii="Times New Roman" w:hAnsi="Times New Roman"/>
        </w:rPr>
        <w:t>平均RMSE对比图</w:t>
      </w:r>
      <w:bookmarkEnd w:id="123"/>
    </w:p>
    <w:p w14:paraId="72372605">
      <w:pPr>
        <w:ind w:firstLine="480"/>
        <w:jc w:val="left"/>
        <w:rPr>
          <w:rFonts w:hint="eastAsia"/>
        </w:rPr>
      </w:pPr>
      <w:r>
        <w:rPr>
          <w:rFonts w:hint="eastAsia"/>
        </w:rPr>
        <w:t>图4-3把单源域和双源域迁移的RMSE放在一起做了对比。双源域平均RMSE 208.89 min，略高于单源域的208.41 min。其原因较为直接：双源域融合了两种工况（例如短寿命与长寿命）的特征，特征分布空间跨度增大，对齐难度相应提高。然而，双源域更接近工业现场</w:t>
      </w:r>
      <w:r>
        <w:rPr>
          <w:rFonts w:hint="eastAsia"/>
          <w:lang w:eastAsia="zh-CN"/>
        </w:rPr>
        <w:t>“</w:t>
      </w:r>
      <w:r>
        <w:rPr>
          <w:rFonts w:hint="eastAsia"/>
        </w:rPr>
        <w:t>多种工况并存</w:t>
      </w:r>
      <w:r>
        <w:rPr>
          <w:rFonts w:hint="eastAsia"/>
          <w:lang w:eastAsia="zh-CN"/>
        </w:rPr>
        <w:t>”</w:t>
      </w:r>
      <w:r>
        <w:rPr>
          <w:rFonts w:hint="eastAsia"/>
        </w:rPr>
        <w:t>的真实情况，模型在这种设置下能学到更通用的退化模式。误差虽然稍高，但泛化潜力未必比单源域差，后续配上更强的域适应算法，这个差距是有望缩小的。</w:t>
      </w:r>
    </w:p>
    <w:p w14:paraId="5C825E33">
      <w:pPr>
        <w:ind w:firstLine="480"/>
        <w:jc w:val="left"/>
      </w:pPr>
      <w:r>
        <w:t>相较于单一工况下的理想预测场景，实际工程中轴承往往面临多工况、变载荷的复杂运行环境，跨工况泛化能力是衡量模型实用性的核心指标。为此，本文构建多组单源域与双源域跨工况迁移任务，对模型的预测性能进行全面量化评估，结果如表</w:t>
      </w:r>
      <w:r>
        <w:rPr>
          <w:rFonts w:hint="eastAsia"/>
          <w:lang w:val="en-US" w:eastAsia="zh-CN"/>
        </w:rPr>
        <w:t>4-5</w:t>
      </w:r>
      <w:r>
        <w:t>所示。</w:t>
      </w:r>
    </w:p>
    <w:p w14:paraId="0EC1C88D">
      <w:r>
        <w:br w:type="page"/>
      </w:r>
    </w:p>
    <w:p w14:paraId="4D2065BC">
      <w:pPr>
        <w:pStyle w:val="8"/>
        <w:rPr>
          <w:rFonts w:ascii="Times New Roman" w:hAnsi="Times New Roman"/>
        </w:rPr>
      </w:pPr>
      <w:r>
        <w:rPr>
          <w:rFonts w:ascii="Times New Roman" w:hAnsi="Times New Roman"/>
        </w:rPr>
        <w:t>表4-5跨工况未校正预测性能</w:t>
      </w:r>
    </w:p>
    <w:tbl>
      <w:tblPr>
        <w:tblStyle w:val="21"/>
        <w:tblW w:w="4998" w:type="pct"/>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80" w:type="dxa"/>
          <w:left w:w="120" w:type="dxa"/>
          <w:bottom w:w="80" w:type="dxa"/>
          <w:right w:w="120" w:type="dxa"/>
        </w:tblCellMar>
      </w:tblPr>
      <w:tblGrid>
        <w:gridCol w:w="1709"/>
        <w:gridCol w:w="1710"/>
        <w:gridCol w:w="1710"/>
        <w:gridCol w:w="1710"/>
        <w:gridCol w:w="1710"/>
      </w:tblGrid>
      <w:tr w14:paraId="1EE518A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80" w:type="dxa"/>
            <w:left w:w="120" w:type="dxa"/>
            <w:bottom w:w="80" w:type="dxa"/>
            <w:right w:w="120" w:type="dxa"/>
          </w:tblCellMar>
        </w:tblPrEx>
        <w:trPr>
          <w:tblHeader/>
          <w:jc w:val="center"/>
        </w:trPr>
        <w:tc>
          <w:tcPr>
            <w:tcW w:w="1000" w:type="pct"/>
            <w:tcBorders>
              <w:top w:val="single" w:color="auto" w:sz="12" w:space="0"/>
              <w:left w:val="nil"/>
              <w:bottom w:val="nil"/>
              <w:right w:val="nil"/>
            </w:tcBorders>
            <w:tcMar>
              <w:top w:w="-1" w:type="dxa"/>
              <w:left w:w="-1" w:type="dxa"/>
              <w:bottom w:w="-1" w:type="dxa"/>
              <w:right w:w="-1" w:type="dxa"/>
            </w:tcMar>
            <w:vAlign w:val="center"/>
          </w:tcPr>
          <w:p w14:paraId="6EEBBFE6">
            <w:pPr>
              <w:snapToGrid w:val="0"/>
              <w:spacing w:line="288" w:lineRule="auto"/>
              <w:ind w:firstLine="0" w:firstLineChars="0"/>
              <w:jc w:val="center"/>
              <w:rPr>
                <w:sz w:val="21"/>
                <w:szCs w:val="21"/>
              </w:rPr>
            </w:pPr>
            <w:r>
              <w:rPr>
                <w:sz w:val="21"/>
                <w:szCs w:val="21"/>
              </w:rPr>
              <w:t>任务</w:t>
            </w:r>
          </w:p>
        </w:tc>
        <w:tc>
          <w:tcPr>
            <w:tcW w:w="1000" w:type="pct"/>
            <w:tcBorders>
              <w:top w:val="single" w:color="auto" w:sz="12" w:space="0"/>
              <w:left w:val="nil"/>
              <w:bottom w:val="nil"/>
              <w:right w:val="nil"/>
            </w:tcBorders>
            <w:tcMar>
              <w:top w:w="-1" w:type="dxa"/>
              <w:left w:w="-1" w:type="dxa"/>
              <w:bottom w:w="-1" w:type="dxa"/>
              <w:right w:w="-1" w:type="dxa"/>
            </w:tcMar>
            <w:vAlign w:val="center"/>
          </w:tcPr>
          <w:p w14:paraId="652DDC41">
            <w:pPr>
              <w:snapToGrid w:val="0"/>
              <w:spacing w:line="288" w:lineRule="auto"/>
              <w:ind w:firstLine="0" w:firstLineChars="0"/>
              <w:jc w:val="center"/>
              <w:rPr>
                <w:sz w:val="21"/>
                <w:szCs w:val="21"/>
              </w:rPr>
            </w:pPr>
            <w:r>
              <w:rPr>
                <w:sz w:val="21"/>
                <w:szCs w:val="21"/>
              </w:rPr>
              <w:t>RMSE</w:t>
            </w:r>
          </w:p>
        </w:tc>
        <w:tc>
          <w:tcPr>
            <w:tcW w:w="1000" w:type="pct"/>
            <w:tcBorders>
              <w:top w:val="single" w:color="auto" w:sz="12" w:space="0"/>
              <w:left w:val="nil"/>
              <w:bottom w:val="nil"/>
              <w:right w:val="nil"/>
            </w:tcBorders>
            <w:tcMar>
              <w:top w:w="-1" w:type="dxa"/>
              <w:left w:w="-1" w:type="dxa"/>
              <w:bottom w:w="-1" w:type="dxa"/>
              <w:right w:w="-1" w:type="dxa"/>
            </w:tcMar>
            <w:vAlign w:val="center"/>
          </w:tcPr>
          <w:p w14:paraId="2B6793A3">
            <w:pPr>
              <w:snapToGrid w:val="0"/>
              <w:spacing w:line="288" w:lineRule="auto"/>
              <w:ind w:firstLine="0" w:firstLineChars="0"/>
              <w:jc w:val="center"/>
              <w:rPr>
                <w:sz w:val="21"/>
                <w:szCs w:val="21"/>
              </w:rPr>
            </w:pPr>
            <w:r>
              <w:rPr>
                <w:sz w:val="21"/>
                <w:szCs w:val="21"/>
              </w:rPr>
              <w:t>MAE</w:t>
            </w:r>
          </w:p>
        </w:tc>
        <w:tc>
          <w:tcPr>
            <w:tcW w:w="1000" w:type="pct"/>
            <w:tcBorders>
              <w:top w:val="single" w:color="auto" w:sz="12" w:space="0"/>
              <w:left w:val="nil"/>
              <w:bottom w:val="nil"/>
              <w:right w:val="nil"/>
            </w:tcBorders>
            <w:tcMar>
              <w:top w:w="-1" w:type="dxa"/>
              <w:left w:w="-1" w:type="dxa"/>
              <w:bottom w:w="-1" w:type="dxa"/>
              <w:right w:w="-1" w:type="dxa"/>
            </w:tcMar>
            <w:vAlign w:val="center"/>
          </w:tcPr>
          <w:p w14:paraId="3F97AEE1">
            <w:pPr>
              <w:snapToGrid w:val="0"/>
              <w:spacing w:line="288" w:lineRule="auto"/>
              <w:ind w:firstLine="0" w:firstLineChars="0"/>
              <w:jc w:val="center"/>
              <w:rPr>
                <w:rFonts w:hint="default" w:eastAsia="宋体"/>
                <w:sz w:val="21"/>
                <w:szCs w:val="21"/>
                <w:lang w:val="en-US" w:eastAsia="zh-CN"/>
              </w:rPr>
            </w:pPr>
            <w:r>
              <w:rPr>
                <w:sz w:val="21"/>
                <w:szCs w:val="21"/>
              </w:rPr>
              <w:t>PHM</w:t>
            </w:r>
            <w:r>
              <w:rPr>
                <w:rFonts w:hint="eastAsia"/>
                <w:sz w:val="21"/>
                <w:szCs w:val="21"/>
                <w:lang w:val="en-US" w:eastAsia="zh-CN"/>
              </w:rPr>
              <w:t xml:space="preserve"> Score</w:t>
            </w:r>
          </w:p>
        </w:tc>
        <w:tc>
          <w:tcPr>
            <w:tcW w:w="1000" w:type="pct"/>
            <w:tcBorders>
              <w:top w:val="single" w:color="auto" w:sz="12" w:space="0"/>
              <w:left w:val="nil"/>
              <w:bottom w:val="nil"/>
              <w:right w:val="nil"/>
            </w:tcBorders>
            <w:tcMar>
              <w:top w:w="-1" w:type="dxa"/>
              <w:left w:w="-1" w:type="dxa"/>
              <w:bottom w:w="-1" w:type="dxa"/>
              <w:right w:w="-1" w:type="dxa"/>
            </w:tcMar>
            <w:vAlign w:val="center"/>
          </w:tcPr>
          <w:p w14:paraId="391CBF56">
            <w:pPr>
              <w:snapToGrid w:val="0"/>
              <w:spacing w:line="288" w:lineRule="auto"/>
              <w:ind w:firstLine="0" w:firstLineChars="0"/>
              <w:jc w:val="center"/>
              <w:rPr>
                <w:sz w:val="21"/>
                <w:szCs w:val="21"/>
              </w:rPr>
            </w:pPr>
            <w:r>
              <w:rPr>
                <w:sz w:val="21"/>
                <w:szCs w:val="21"/>
              </w:rPr>
              <w:t>PICP</w:t>
            </w:r>
          </w:p>
        </w:tc>
      </w:tr>
      <w:tr w14:paraId="166D54E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80" w:type="dxa"/>
            <w:left w:w="120" w:type="dxa"/>
            <w:bottom w:w="80" w:type="dxa"/>
            <w:right w:w="120" w:type="dxa"/>
          </w:tblCellMar>
        </w:tblPrEx>
        <w:trPr>
          <w:jc w:val="center"/>
        </w:trPr>
        <w:tc>
          <w:tcPr>
            <w:tcW w:w="1000" w:type="pct"/>
            <w:tcBorders>
              <w:top w:val="single" w:color="auto" w:sz="4" w:space="0"/>
              <w:left w:val="nil"/>
              <w:bottom w:val="nil"/>
              <w:right w:val="nil"/>
            </w:tcBorders>
            <w:tcMar>
              <w:top w:w="-1" w:type="dxa"/>
              <w:left w:w="-1" w:type="dxa"/>
              <w:bottom w:w="-1" w:type="dxa"/>
              <w:right w:w="-1" w:type="dxa"/>
            </w:tcMar>
            <w:vAlign w:val="center"/>
          </w:tcPr>
          <w:p w14:paraId="55F0041A">
            <w:pPr>
              <w:snapToGrid w:val="0"/>
              <w:spacing w:line="288" w:lineRule="auto"/>
              <w:ind w:firstLine="0" w:firstLineChars="0"/>
              <w:jc w:val="center"/>
              <w:rPr>
                <w:sz w:val="21"/>
                <w:szCs w:val="21"/>
              </w:rPr>
            </w:pPr>
            <w:r>
              <w:rPr>
                <w:sz w:val="21"/>
                <w:szCs w:val="21"/>
              </w:rPr>
              <w:t>1→2</w:t>
            </w:r>
          </w:p>
        </w:tc>
        <w:tc>
          <w:tcPr>
            <w:tcW w:w="1000" w:type="pct"/>
            <w:tcBorders>
              <w:top w:val="single" w:color="auto" w:sz="4" w:space="0"/>
              <w:left w:val="nil"/>
              <w:bottom w:val="nil"/>
              <w:right w:val="nil"/>
            </w:tcBorders>
            <w:tcMar>
              <w:top w:w="-1" w:type="dxa"/>
              <w:left w:w="-1" w:type="dxa"/>
              <w:bottom w:w="-1" w:type="dxa"/>
              <w:right w:w="-1" w:type="dxa"/>
            </w:tcMar>
            <w:vAlign w:val="center"/>
          </w:tcPr>
          <w:p w14:paraId="73DA4B2F">
            <w:pPr>
              <w:snapToGrid w:val="0"/>
              <w:spacing w:line="288" w:lineRule="auto"/>
              <w:ind w:firstLine="0" w:firstLineChars="0"/>
              <w:jc w:val="center"/>
              <w:rPr>
                <w:sz w:val="21"/>
                <w:szCs w:val="21"/>
              </w:rPr>
            </w:pPr>
            <w:r>
              <w:rPr>
                <w:sz w:val="21"/>
                <w:szCs w:val="21"/>
              </w:rPr>
              <w:t>96.39</w:t>
            </w:r>
          </w:p>
        </w:tc>
        <w:tc>
          <w:tcPr>
            <w:tcW w:w="1000" w:type="pct"/>
            <w:tcBorders>
              <w:top w:val="single" w:color="auto" w:sz="4" w:space="0"/>
              <w:left w:val="nil"/>
              <w:bottom w:val="nil"/>
              <w:right w:val="nil"/>
            </w:tcBorders>
            <w:tcMar>
              <w:top w:w="-1" w:type="dxa"/>
              <w:left w:w="-1" w:type="dxa"/>
              <w:bottom w:w="-1" w:type="dxa"/>
              <w:right w:w="-1" w:type="dxa"/>
            </w:tcMar>
            <w:vAlign w:val="center"/>
          </w:tcPr>
          <w:p w14:paraId="18833FF0">
            <w:pPr>
              <w:snapToGrid w:val="0"/>
              <w:spacing w:line="288" w:lineRule="auto"/>
              <w:ind w:firstLine="0" w:firstLineChars="0"/>
              <w:jc w:val="center"/>
              <w:rPr>
                <w:sz w:val="21"/>
                <w:szCs w:val="21"/>
              </w:rPr>
            </w:pPr>
            <w:r>
              <w:rPr>
                <w:sz w:val="21"/>
                <w:szCs w:val="21"/>
              </w:rPr>
              <w:t>51.25</w:t>
            </w:r>
          </w:p>
        </w:tc>
        <w:tc>
          <w:tcPr>
            <w:tcW w:w="1000" w:type="pct"/>
            <w:tcBorders>
              <w:top w:val="single" w:color="auto" w:sz="4" w:space="0"/>
              <w:left w:val="nil"/>
              <w:bottom w:val="nil"/>
              <w:right w:val="nil"/>
            </w:tcBorders>
            <w:tcMar>
              <w:top w:w="-1" w:type="dxa"/>
              <w:left w:w="-1" w:type="dxa"/>
              <w:bottom w:w="-1" w:type="dxa"/>
              <w:right w:w="-1" w:type="dxa"/>
            </w:tcMar>
            <w:vAlign w:val="center"/>
          </w:tcPr>
          <w:p w14:paraId="7E38A962">
            <w:pPr>
              <w:snapToGrid w:val="0"/>
              <w:spacing w:line="288" w:lineRule="auto"/>
              <w:ind w:firstLine="0" w:firstLineChars="0"/>
              <w:jc w:val="center"/>
              <w:rPr>
                <w:sz w:val="21"/>
                <w:szCs w:val="21"/>
              </w:rPr>
            </w:pPr>
            <w:r>
              <w:rPr>
                <w:sz w:val="21"/>
                <w:szCs w:val="21"/>
              </w:rPr>
              <w:t>0.9688</w:t>
            </w:r>
          </w:p>
        </w:tc>
        <w:tc>
          <w:tcPr>
            <w:tcW w:w="1000" w:type="pct"/>
            <w:tcBorders>
              <w:top w:val="single" w:color="auto" w:sz="4" w:space="0"/>
              <w:left w:val="nil"/>
              <w:bottom w:val="nil"/>
              <w:right w:val="nil"/>
            </w:tcBorders>
            <w:tcMar>
              <w:top w:w="-1" w:type="dxa"/>
              <w:left w:w="-1" w:type="dxa"/>
              <w:bottom w:w="-1" w:type="dxa"/>
              <w:right w:w="-1" w:type="dxa"/>
            </w:tcMar>
            <w:vAlign w:val="center"/>
          </w:tcPr>
          <w:p w14:paraId="5EC71494">
            <w:pPr>
              <w:snapToGrid w:val="0"/>
              <w:spacing w:line="288" w:lineRule="auto"/>
              <w:ind w:firstLine="0" w:firstLineChars="0"/>
              <w:jc w:val="center"/>
              <w:rPr>
                <w:sz w:val="21"/>
                <w:szCs w:val="21"/>
              </w:rPr>
            </w:pPr>
            <w:r>
              <w:rPr>
                <w:sz w:val="21"/>
                <w:szCs w:val="21"/>
              </w:rPr>
              <w:t>0.729</w:t>
            </w:r>
          </w:p>
        </w:tc>
      </w:tr>
      <w:tr w14:paraId="051427A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80" w:type="dxa"/>
            <w:left w:w="120" w:type="dxa"/>
            <w:bottom w:w="80" w:type="dxa"/>
            <w:right w:w="120" w:type="dxa"/>
          </w:tblCellMar>
        </w:tblPrEx>
        <w:trPr>
          <w:jc w:val="center"/>
        </w:trPr>
        <w:tc>
          <w:tcPr>
            <w:tcW w:w="1000" w:type="pct"/>
            <w:tcBorders>
              <w:top w:val="nil"/>
              <w:left w:val="nil"/>
              <w:bottom w:val="nil"/>
              <w:right w:val="nil"/>
            </w:tcBorders>
            <w:tcMar>
              <w:top w:w="-1" w:type="dxa"/>
              <w:left w:w="-1" w:type="dxa"/>
              <w:bottom w:w="-1" w:type="dxa"/>
              <w:right w:w="-1" w:type="dxa"/>
            </w:tcMar>
            <w:vAlign w:val="center"/>
          </w:tcPr>
          <w:p w14:paraId="7B5EBAF1">
            <w:pPr>
              <w:snapToGrid w:val="0"/>
              <w:spacing w:line="288" w:lineRule="auto"/>
              <w:ind w:firstLine="0" w:firstLineChars="0"/>
              <w:jc w:val="center"/>
              <w:rPr>
                <w:sz w:val="21"/>
                <w:szCs w:val="21"/>
              </w:rPr>
            </w:pPr>
            <w:r>
              <w:rPr>
                <w:sz w:val="21"/>
                <w:szCs w:val="21"/>
              </w:rPr>
              <w:t>1→3</w:t>
            </w:r>
          </w:p>
        </w:tc>
        <w:tc>
          <w:tcPr>
            <w:tcW w:w="1000" w:type="pct"/>
            <w:tcBorders>
              <w:top w:val="nil"/>
              <w:left w:val="nil"/>
              <w:bottom w:val="nil"/>
              <w:right w:val="nil"/>
            </w:tcBorders>
            <w:tcMar>
              <w:top w:w="-1" w:type="dxa"/>
              <w:left w:w="-1" w:type="dxa"/>
              <w:bottom w:w="-1" w:type="dxa"/>
              <w:right w:w="-1" w:type="dxa"/>
            </w:tcMar>
            <w:vAlign w:val="center"/>
          </w:tcPr>
          <w:p w14:paraId="7C36A303">
            <w:pPr>
              <w:snapToGrid w:val="0"/>
              <w:spacing w:line="288" w:lineRule="auto"/>
              <w:ind w:firstLine="0" w:firstLineChars="0"/>
              <w:jc w:val="center"/>
              <w:rPr>
                <w:sz w:val="21"/>
                <w:szCs w:val="21"/>
              </w:rPr>
            </w:pPr>
            <w:r>
              <w:rPr>
                <w:sz w:val="21"/>
                <w:szCs w:val="21"/>
              </w:rPr>
              <w:t>499.04</w:t>
            </w:r>
          </w:p>
        </w:tc>
        <w:tc>
          <w:tcPr>
            <w:tcW w:w="1000" w:type="pct"/>
            <w:tcBorders>
              <w:top w:val="nil"/>
              <w:left w:val="nil"/>
              <w:bottom w:val="nil"/>
              <w:right w:val="nil"/>
            </w:tcBorders>
            <w:tcMar>
              <w:top w:w="-1" w:type="dxa"/>
              <w:left w:w="-1" w:type="dxa"/>
              <w:bottom w:w="-1" w:type="dxa"/>
              <w:right w:w="-1" w:type="dxa"/>
            </w:tcMar>
            <w:vAlign w:val="center"/>
          </w:tcPr>
          <w:p w14:paraId="5718A6D8">
            <w:pPr>
              <w:snapToGrid w:val="0"/>
              <w:spacing w:line="288" w:lineRule="auto"/>
              <w:ind w:firstLine="0" w:firstLineChars="0"/>
              <w:jc w:val="center"/>
              <w:rPr>
                <w:sz w:val="21"/>
                <w:szCs w:val="21"/>
              </w:rPr>
            </w:pPr>
            <w:r>
              <w:rPr>
                <w:sz w:val="21"/>
                <w:szCs w:val="21"/>
              </w:rPr>
              <w:t>297.95</w:t>
            </w:r>
          </w:p>
        </w:tc>
        <w:tc>
          <w:tcPr>
            <w:tcW w:w="1000" w:type="pct"/>
            <w:tcBorders>
              <w:top w:val="nil"/>
              <w:left w:val="nil"/>
              <w:bottom w:val="nil"/>
              <w:right w:val="nil"/>
            </w:tcBorders>
            <w:tcMar>
              <w:top w:w="-1" w:type="dxa"/>
              <w:left w:w="-1" w:type="dxa"/>
              <w:bottom w:w="-1" w:type="dxa"/>
              <w:right w:w="-1" w:type="dxa"/>
            </w:tcMar>
            <w:vAlign w:val="center"/>
          </w:tcPr>
          <w:p w14:paraId="67C596F1">
            <w:pPr>
              <w:snapToGrid w:val="0"/>
              <w:spacing w:line="288" w:lineRule="auto"/>
              <w:ind w:firstLine="0" w:firstLineChars="0"/>
              <w:jc w:val="center"/>
              <w:rPr>
                <w:sz w:val="21"/>
                <w:szCs w:val="21"/>
              </w:rPr>
            </w:pPr>
            <w:r>
              <w:rPr>
                <w:sz w:val="21"/>
                <w:szCs w:val="21"/>
              </w:rPr>
              <w:t>0.9651</w:t>
            </w:r>
          </w:p>
        </w:tc>
        <w:tc>
          <w:tcPr>
            <w:tcW w:w="1000" w:type="pct"/>
            <w:tcBorders>
              <w:top w:val="nil"/>
              <w:left w:val="nil"/>
              <w:bottom w:val="nil"/>
              <w:right w:val="nil"/>
            </w:tcBorders>
            <w:tcMar>
              <w:top w:w="-1" w:type="dxa"/>
              <w:left w:w="-1" w:type="dxa"/>
              <w:bottom w:w="-1" w:type="dxa"/>
              <w:right w:w="-1" w:type="dxa"/>
            </w:tcMar>
            <w:vAlign w:val="center"/>
          </w:tcPr>
          <w:p w14:paraId="223C79AA">
            <w:pPr>
              <w:snapToGrid w:val="0"/>
              <w:spacing w:line="288" w:lineRule="auto"/>
              <w:ind w:firstLine="0" w:firstLineChars="0"/>
              <w:jc w:val="center"/>
              <w:rPr>
                <w:sz w:val="21"/>
                <w:szCs w:val="21"/>
              </w:rPr>
            </w:pPr>
            <w:r>
              <w:rPr>
                <w:sz w:val="21"/>
                <w:szCs w:val="21"/>
              </w:rPr>
              <w:t>0.711</w:t>
            </w:r>
          </w:p>
        </w:tc>
      </w:tr>
      <w:tr w14:paraId="40E97B6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80" w:type="dxa"/>
            <w:left w:w="120" w:type="dxa"/>
            <w:bottom w:w="80" w:type="dxa"/>
            <w:right w:w="120" w:type="dxa"/>
          </w:tblCellMar>
        </w:tblPrEx>
        <w:trPr>
          <w:jc w:val="center"/>
        </w:trPr>
        <w:tc>
          <w:tcPr>
            <w:tcW w:w="1000" w:type="pct"/>
            <w:tcBorders>
              <w:top w:val="nil"/>
              <w:left w:val="nil"/>
              <w:bottom w:val="nil"/>
              <w:right w:val="nil"/>
            </w:tcBorders>
            <w:tcMar>
              <w:top w:w="-1" w:type="dxa"/>
              <w:left w:w="-1" w:type="dxa"/>
              <w:bottom w:w="-1" w:type="dxa"/>
              <w:right w:w="-1" w:type="dxa"/>
            </w:tcMar>
            <w:vAlign w:val="center"/>
          </w:tcPr>
          <w:p w14:paraId="71412028">
            <w:pPr>
              <w:snapToGrid w:val="0"/>
              <w:spacing w:line="288" w:lineRule="auto"/>
              <w:ind w:firstLine="0" w:firstLineChars="0"/>
              <w:jc w:val="center"/>
              <w:rPr>
                <w:sz w:val="21"/>
                <w:szCs w:val="21"/>
              </w:rPr>
            </w:pPr>
            <w:r>
              <w:rPr>
                <w:sz w:val="21"/>
                <w:szCs w:val="21"/>
              </w:rPr>
              <w:t>2→1</w:t>
            </w:r>
          </w:p>
        </w:tc>
        <w:tc>
          <w:tcPr>
            <w:tcW w:w="1000" w:type="pct"/>
            <w:tcBorders>
              <w:top w:val="nil"/>
              <w:left w:val="nil"/>
              <w:bottom w:val="nil"/>
              <w:right w:val="nil"/>
            </w:tcBorders>
            <w:tcMar>
              <w:top w:w="-1" w:type="dxa"/>
              <w:left w:w="-1" w:type="dxa"/>
              <w:bottom w:w="-1" w:type="dxa"/>
              <w:right w:w="-1" w:type="dxa"/>
            </w:tcMar>
            <w:vAlign w:val="center"/>
          </w:tcPr>
          <w:p w14:paraId="6A7B821C">
            <w:pPr>
              <w:snapToGrid w:val="0"/>
              <w:spacing w:line="288" w:lineRule="auto"/>
              <w:ind w:firstLine="0" w:firstLineChars="0"/>
              <w:jc w:val="center"/>
              <w:rPr>
                <w:sz w:val="21"/>
                <w:szCs w:val="21"/>
              </w:rPr>
            </w:pPr>
            <w:r>
              <w:rPr>
                <w:sz w:val="21"/>
                <w:szCs w:val="21"/>
              </w:rPr>
              <w:t>31.53</w:t>
            </w:r>
          </w:p>
        </w:tc>
        <w:tc>
          <w:tcPr>
            <w:tcW w:w="1000" w:type="pct"/>
            <w:tcBorders>
              <w:top w:val="nil"/>
              <w:left w:val="nil"/>
              <w:bottom w:val="nil"/>
              <w:right w:val="nil"/>
            </w:tcBorders>
            <w:tcMar>
              <w:top w:w="-1" w:type="dxa"/>
              <w:left w:w="-1" w:type="dxa"/>
              <w:bottom w:w="-1" w:type="dxa"/>
              <w:right w:w="-1" w:type="dxa"/>
            </w:tcMar>
            <w:vAlign w:val="center"/>
          </w:tcPr>
          <w:p w14:paraId="1F3B5573">
            <w:pPr>
              <w:snapToGrid w:val="0"/>
              <w:spacing w:line="288" w:lineRule="auto"/>
              <w:ind w:firstLine="0" w:firstLineChars="0"/>
              <w:jc w:val="center"/>
              <w:rPr>
                <w:sz w:val="21"/>
                <w:szCs w:val="21"/>
              </w:rPr>
            </w:pPr>
            <w:r>
              <w:rPr>
                <w:sz w:val="21"/>
                <w:szCs w:val="21"/>
              </w:rPr>
              <w:t>17.86</w:t>
            </w:r>
          </w:p>
        </w:tc>
        <w:tc>
          <w:tcPr>
            <w:tcW w:w="1000" w:type="pct"/>
            <w:tcBorders>
              <w:top w:val="nil"/>
              <w:left w:val="nil"/>
              <w:bottom w:val="nil"/>
              <w:right w:val="nil"/>
            </w:tcBorders>
            <w:tcMar>
              <w:top w:w="-1" w:type="dxa"/>
              <w:left w:w="-1" w:type="dxa"/>
              <w:bottom w:w="-1" w:type="dxa"/>
              <w:right w:w="-1" w:type="dxa"/>
            </w:tcMar>
            <w:vAlign w:val="center"/>
          </w:tcPr>
          <w:p w14:paraId="4249D81F">
            <w:pPr>
              <w:snapToGrid w:val="0"/>
              <w:spacing w:line="288" w:lineRule="auto"/>
              <w:ind w:firstLine="0" w:firstLineChars="0"/>
              <w:jc w:val="center"/>
              <w:rPr>
                <w:sz w:val="21"/>
                <w:szCs w:val="21"/>
              </w:rPr>
            </w:pPr>
            <w:r>
              <w:rPr>
                <w:sz w:val="21"/>
                <w:szCs w:val="21"/>
              </w:rPr>
              <w:t>0.9548</w:t>
            </w:r>
          </w:p>
        </w:tc>
        <w:tc>
          <w:tcPr>
            <w:tcW w:w="1000" w:type="pct"/>
            <w:tcBorders>
              <w:top w:val="nil"/>
              <w:left w:val="nil"/>
              <w:bottom w:val="nil"/>
              <w:right w:val="nil"/>
            </w:tcBorders>
            <w:tcMar>
              <w:top w:w="-1" w:type="dxa"/>
              <w:left w:w="-1" w:type="dxa"/>
              <w:bottom w:w="-1" w:type="dxa"/>
              <w:right w:w="-1" w:type="dxa"/>
            </w:tcMar>
            <w:vAlign w:val="center"/>
          </w:tcPr>
          <w:p w14:paraId="25F4F1B5">
            <w:pPr>
              <w:snapToGrid w:val="0"/>
              <w:spacing w:line="288" w:lineRule="auto"/>
              <w:ind w:firstLine="0" w:firstLineChars="0"/>
              <w:jc w:val="center"/>
              <w:rPr>
                <w:sz w:val="21"/>
                <w:szCs w:val="21"/>
              </w:rPr>
            </w:pPr>
            <w:r>
              <w:rPr>
                <w:sz w:val="21"/>
                <w:szCs w:val="21"/>
              </w:rPr>
              <w:t>0.731</w:t>
            </w:r>
          </w:p>
        </w:tc>
      </w:tr>
      <w:tr w14:paraId="29E0D61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80" w:type="dxa"/>
            <w:left w:w="120" w:type="dxa"/>
            <w:bottom w:w="80" w:type="dxa"/>
            <w:right w:w="120" w:type="dxa"/>
          </w:tblCellMar>
        </w:tblPrEx>
        <w:trPr>
          <w:jc w:val="center"/>
        </w:trPr>
        <w:tc>
          <w:tcPr>
            <w:tcW w:w="1000" w:type="pct"/>
            <w:tcBorders>
              <w:top w:val="nil"/>
              <w:left w:val="nil"/>
              <w:bottom w:val="nil"/>
              <w:right w:val="nil"/>
            </w:tcBorders>
            <w:tcMar>
              <w:top w:w="-1" w:type="dxa"/>
              <w:left w:w="-1" w:type="dxa"/>
              <w:bottom w:w="-1" w:type="dxa"/>
              <w:right w:w="-1" w:type="dxa"/>
            </w:tcMar>
            <w:vAlign w:val="center"/>
          </w:tcPr>
          <w:p w14:paraId="5830FA29">
            <w:pPr>
              <w:snapToGrid w:val="0"/>
              <w:spacing w:line="288" w:lineRule="auto"/>
              <w:ind w:firstLine="0" w:firstLineChars="0"/>
              <w:jc w:val="center"/>
              <w:rPr>
                <w:sz w:val="21"/>
                <w:szCs w:val="21"/>
              </w:rPr>
            </w:pPr>
            <w:r>
              <w:rPr>
                <w:sz w:val="21"/>
                <w:szCs w:val="21"/>
              </w:rPr>
              <w:t>2→3</w:t>
            </w:r>
          </w:p>
        </w:tc>
        <w:tc>
          <w:tcPr>
            <w:tcW w:w="1000" w:type="pct"/>
            <w:tcBorders>
              <w:top w:val="nil"/>
              <w:left w:val="nil"/>
              <w:bottom w:val="nil"/>
              <w:right w:val="nil"/>
            </w:tcBorders>
            <w:tcMar>
              <w:top w:w="-1" w:type="dxa"/>
              <w:left w:w="-1" w:type="dxa"/>
              <w:bottom w:w="-1" w:type="dxa"/>
              <w:right w:w="-1" w:type="dxa"/>
            </w:tcMar>
            <w:vAlign w:val="center"/>
          </w:tcPr>
          <w:p w14:paraId="69F9D082">
            <w:pPr>
              <w:snapToGrid w:val="0"/>
              <w:spacing w:line="288" w:lineRule="auto"/>
              <w:ind w:firstLine="0" w:firstLineChars="0"/>
              <w:jc w:val="center"/>
              <w:rPr>
                <w:sz w:val="21"/>
                <w:szCs w:val="21"/>
              </w:rPr>
            </w:pPr>
            <w:r>
              <w:rPr>
                <w:sz w:val="21"/>
                <w:szCs w:val="21"/>
              </w:rPr>
              <w:t>505.20</w:t>
            </w:r>
          </w:p>
        </w:tc>
        <w:tc>
          <w:tcPr>
            <w:tcW w:w="1000" w:type="pct"/>
            <w:tcBorders>
              <w:top w:val="nil"/>
              <w:left w:val="nil"/>
              <w:bottom w:val="nil"/>
              <w:right w:val="nil"/>
            </w:tcBorders>
            <w:tcMar>
              <w:top w:w="-1" w:type="dxa"/>
              <w:left w:w="-1" w:type="dxa"/>
              <w:bottom w:w="-1" w:type="dxa"/>
              <w:right w:w="-1" w:type="dxa"/>
            </w:tcMar>
            <w:vAlign w:val="center"/>
          </w:tcPr>
          <w:p w14:paraId="2FC0EE5C">
            <w:pPr>
              <w:snapToGrid w:val="0"/>
              <w:spacing w:line="288" w:lineRule="auto"/>
              <w:ind w:firstLine="0" w:firstLineChars="0"/>
              <w:jc w:val="center"/>
              <w:rPr>
                <w:sz w:val="21"/>
                <w:szCs w:val="21"/>
              </w:rPr>
            </w:pPr>
            <w:r>
              <w:rPr>
                <w:sz w:val="21"/>
                <w:szCs w:val="21"/>
              </w:rPr>
              <w:t>340.09</w:t>
            </w:r>
          </w:p>
        </w:tc>
        <w:tc>
          <w:tcPr>
            <w:tcW w:w="1000" w:type="pct"/>
            <w:tcBorders>
              <w:top w:val="nil"/>
              <w:left w:val="nil"/>
              <w:bottom w:val="nil"/>
              <w:right w:val="nil"/>
            </w:tcBorders>
            <w:tcMar>
              <w:top w:w="-1" w:type="dxa"/>
              <w:left w:w="-1" w:type="dxa"/>
              <w:bottom w:w="-1" w:type="dxa"/>
              <w:right w:w="-1" w:type="dxa"/>
            </w:tcMar>
            <w:vAlign w:val="center"/>
          </w:tcPr>
          <w:p w14:paraId="1784FED0">
            <w:pPr>
              <w:snapToGrid w:val="0"/>
              <w:spacing w:line="288" w:lineRule="auto"/>
              <w:ind w:firstLine="0" w:firstLineChars="0"/>
              <w:jc w:val="center"/>
              <w:rPr>
                <w:sz w:val="21"/>
                <w:szCs w:val="21"/>
              </w:rPr>
            </w:pPr>
            <w:r>
              <w:rPr>
                <w:sz w:val="21"/>
                <w:szCs w:val="21"/>
              </w:rPr>
              <w:t>0.9584</w:t>
            </w:r>
          </w:p>
        </w:tc>
        <w:tc>
          <w:tcPr>
            <w:tcW w:w="1000" w:type="pct"/>
            <w:tcBorders>
              <w:top w:val="nil"/>
              <w:left w:val="nil"/>
              <w:bottom w:val="nil"/>
              <w:right w:val="nil"/>
            </w:tcBorders>
            <w:tcMar>
              <w:top w:w="-1" w:type="dxa"/>
              <w:left w:w="-1" w:type="dxa"/>
              <w:bottom w:w="-1" w:type="dxa"/>
              <w:right w:w="-1" w:type="dxa"/>
            </w:tcMar>
            <w:vAlign w:val="center"/>
          </w:tcPr>
          <w:p w14:paraId="64303EA9">
            <w:pPr>
              <w:snapToGrid w:val="0"/>
              <w:spacing w:line="288" w:lineRule="auto"/>
              <w:ind w:firstLine="0" w:firstLineChars="0"/>
              <w:jc w:val="center"/>
              <w:rPr>
                <w:sz w:val="21"/>
                <w:szCs w:val="21"/>
              </w:rPr>
            </w:pPr>
            <w:r>
              <w:rPr>
                <w:sz w:val="21"/>
                <w:szCs w:val="21"/>
              </w:rPr>
              <w:t>0.703</w:t>
            </w:r>
          </w:p>
        </w:tc>
      </w:tr>
      <w:tr w14:paraId="534250E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80" w:type="dxa"/>
            <w:left w:w="120" w:type="dxa"/>
            <w:bottom w:w="80" w:type="dxa"/>
            <w:right w:w="120" w:type="dxa"/>
          </w:tblCellMar>
        </w:tblPrEx>
        <w:trPr>
          <w:jc w:val="center"/>
        </w:trPr>
        <w:tc>
          <w:tcPr>
            <w:tcW w:w="1000" w:type="pct"/>
            <w:tcBorders>
              <w:top w:val="nil"/>
              <w:left w:val="nil"/>
              <w:bottom w:val="nil"/>
              <w:right w:val="nil"/>
            </w:tcBorders>
            <w:tcMar>
              <w:top w:w="-1" w:type="dxa"/>
              <w:left w:w="-1" w:type="dxa"/>
              <w:bottom w:w="-1" w:type="dxa"/>
              <w:right w:w="-1" w:type="dxa"/>
            </w:tcMar>
            <w:vAlign w:val="center"/>
          </w:tcPr>
          <w:p w14:paraId="31817A55">
            <w:pPr>
              <w:snapToGrid w:val="0"/>
              <w:spacing w:line="288" w:lineRule="auto"/>
              <w:ind w:firstLine="0" w:firstLineChars="0"/>
              <w:jc w:val="center"/>
              <w:rPr>
                <w:sz w:val="21"/>
                <w:szCs w:val="21"/>
              </w:rPr>
            </w:pPr>
            <w:r>
              <w:rPr>
                <w:sz w:val="21"/>
                <w:szCs w:val="21"/>
              </w:rPr>
              <w:t>3→1</w:t>
            </w:r>
          </w:p>
        </w:tc>
        <w:tc>
          <w:tcPr>
            <w:tcW w:w="1000" w:type="pct"/>
            <w:tcBorders>
              <w:top w:val="nil"/>
              <w:left w:val="nil"/>
              <w:bottom w:val="nil"/>
              <w:right w:val="nil"/>
            </w:tcBorders>
            <w:tcMar>
              <w:top w:w="-1" w:type="dxa"/>
              <w:left w:w="-1" w:type="dxa"/>
              <w:bottom w:w="-1" w:type="dxa"/>
              <w:right w:w="-1" w:type="dxa"/>
            </w:tcMar>
            <w:vAlign w:val="center"/>
          </w:tcPr>
          <w:p w14:paraId="4F3EEA24">
            <w:pPr>
              <w:snapToGrid w:val="0"/>
              <w:spacing w:line="288" w:lineRule="auto"/>
              <w:ind w:firstLine="0" w:firstLineChars="0"/>
              <w:jc w:val="center"/>
              <w:rPr>
                <w:sz w:val="21"/>
                <w:szCs w:val="21"/>
              </w:rPr>
            </w:pPr>
            <w:r>
              <w:rPr>
                <w:sz w:val="21"/>
                <w:szCs w:val="21"/>
              </w:rPr>
              <w:t>31.61</w:t>
            </w:r>
          </w:p>
        </w:tc>
        <w:tc>
          <w:tcPr>
            <w:tcW w:w="1000" w:type="pct"/>
            <w:tcBorders>
              <w:top w:val="nil"/>
              <w:left w:val="nil"/>
              <w:bottom w:val="nil"/>
              <w:right w:val="nil"/>
            </w:tcBorders>
            <w:tcMar>
              <w:top w:w="-1" w:type="dxa"/>
              <w:left w:w="-1" w:type="dxa"/>
              <w:bottom w:w="-1" w:type="dxa"/>
              <w:right w:w="-1" w:type="dxa"/>
            </w:tcMar>
            <w:vAlign w:val="center"/>
          </w:tcPr>
          <w:p w14:paraId="3BA94A0F">
            <w:pPr>
              <w:snapToGrid w:val="0"/>
              <w:spacing w:line="288" w:lineRule="auto"/>
              <w:ind w:firstLine="0" w:firstLineChars="0"/>
              <w:jc w:val="center"/>
              <w:rPr>
                <w:sz w:val="21"/>
                <w:szCs w:val="21"/>
              </w:rPr>
            </w:pPr>
            <w:r>
              <w:rPr>
                <w:sz w:val="21"/>
                <w:szCs w:val="21"/>
              </w:rPr>
              <w:t>18.15</w:t>
            </w:r>
          </w:p>
        </w:tc>
        <w:tc>
          <w:tcPr>
            <w:tcW w:w="1000" w:type="pct"/>
            <w:tcBorders>
              <w:top w:val="nil"/>
              <w:left w:val="nil"/>
              <w:bottom w:val="nil"/>
              <w:right w:val="nil"/>
            </w:tcBorders>
            <w:tcMar>
              <w:top w:w="-1" w:type="dxa"/>
              <w:left w:w="-1" w:type="dxa"/>
              <w:bottom w:w="-1" w:type="dxa"/>
              <w:right w:w="-1" w:type="dxa"/>
            </w:tcMar>
            <w:vAlign w:val="center"/>
          </w:tcPr>
          <w:p w14:paraId="688AF943">
            <w:pPr>
              <w:snapToGrid w:val="0"/>
              <w:spacing w:line="288" w:lineRule="auto"/>
              <w:ind w:firstLine="0" w:firstLineChars="0"/>
              <w:jc w:val="center"/>
              <w:rPr>
                <w:sz w:val="21"/>
                <w:szCs w:val="21"/>
              </w:rPr>
            </w:pPr>
            <w:r>
              <w:rPr>
                <w:sz w:val="21"/>
                <w:szCs w:val="21"/>
              </w:rPr>
              <w:t>0.9520</w:t>
            </w:r>
          </w:p>
        </w:tc>
        <w:tc>
          <w:tcPr>
            <w:tcW w:w="1000" w:type="pct"/>
            <w:tcBorders>
              <w:top w:val="nil"/>
              <w:left w:val="nil"/>
              <w:bottom w:val="nil"/>
              <w:right w:val="nil"/>
            </w:tcBorders>
            <w:tcMar>
              <w:top w:w="-1" w:type="dxa"/>
              <w:left w:w="-1" w:type="dxa"/>
              <w:bottom w:w="-1" w:type="dxa"/>
              <w:right w:w="-1" w:type="dxa"/>
            </w:tcMar>
            <w:vAlign w:val="center"/>
          </w:tcPr>
          <w:p w14:paraId="36897B0C">
            <w:pPr>
              <w:snapToGrid w:val="0"/>
              <w:spacing w:line="288" w:lineRule="auto"/>
              <w:ind w:firstLine="0" w:firstLineChars="0"/>
              <w:jc w:val="center"/>
              <w:rPr>
                <w:sz w:val="21"/>
                <w:szCs w:val="21"/>
              </w:rPr>
            </w:pPr>
            <w:r>
              <w:rPr>
                <w:sz w:val="21"/>
                <w:szCs w:val="21"/>
              </w:rPr>
              <w:t>0.768</w:t>
            </w:r>
          </w:p>
        </w:tc>
      </w:tr>
      <w:tr w14:paraId="3267016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80" w:type="dxa"/>
            <w:left w:w="120" w:type="dxa"/>
            <w:bottom w:w="80" w:type="dxa"/>
            <w:right w:w="120" w:type="dxa"/>
          </w:tblCellMar>
        </w:tblPrEx>
        <w:trPr>
          <w:jc w:val="center"/>
        </w:trPr>
        <w:tc>
          <w:tcPr>
            <w:tcW w:w="1000" w:type="pct"/>
            <w:tcBorders>
              <w:top w:val="nil"/>
              <w:left w:val="nil"/>
              <w:bottom w:val="nil"/>
              <w:right w:val="nil"/>
            </w:tcBorders>
            <w:tcMar>
              <w:top w:w="-1" w:type="dxa"/>
              <w:left w:w="-1" w:type="dxa"/>
              <w:bottom w:w="-1" w:type="dxa"/>
              <w:right w:w="-1" w:type="dxa"/>
            </w:tcMar>
            <w:vAlign w:val="center"/>
          </w:tcPr>
          <w:p w14:paraId="32277E92">
            <w:pPr>
              <w:snapToGrid w:val="0"/>
              <w:spacing w:line="288" w:lineRule="auto"/>
              <w:ind w:firstLine="0" w:firstLineChars="0"/>
              <w:jc w:val="center"/>
              <w:rPr>
                <w:sz w:val="21"/>
                <w:szCs w:val="21"/>
              </w:rPr>
            </w:pPr>
            <w:r>
              <w:rPr>
                <w:sz w:val="21"/>
                <w:szCs w:val="21"/>
              </w:rPr>
              <w:t>3→2</w:t>
            </w:r>
          </w:p>
        </w:tc>
        <w:tc>
          <w:tcPr>
            <w:tcW w:w="1000" w:type="pct"/>
            <w:tcBorders>
              <w:top w:val="nil"/>
              <w:left w:val="nil"/>
              <w:bottom w:val="nil"/>
              <w:right w:val="nil"/>
            </w:tcBorders>
            <w:tcMar>
              <w:top w:w="-1" w:type="dxa"/>
              <w:left w:w="-1" w:type="dxa"/>
              <w:bottom w:w="-1" w:type="dxa"/>
              <w:right w:w="-1" w:type="dxa"/>
            </w:tcMar>
            <w:vAlign w:val="center"/>
          </w:tcPr>
          <w:p w14:paraId="302F8526">
            <w:pPr>
              <w:snapToGrid w:val="0"/>
              <w:spacing w:line="288" w:lineRule="auto"/>
              <w:ind w:firstLine="0" w:firstLineChars="0"/>
              <w:jc w:val="center"/>
              <w:rPr>
                <w:sz w:val="21"/>
                <w:szCs w:val="21"/>
              </w:rPr>
            </w:pPr>
            <w:r>
              <w:rPr>
                <w:sz w:val="21"/>
                <w:szCs w:val="21"/>
              </w:rPr>
              <w:t>101.82</w:t>
            </w:r>
          </w:p>
        </w:tc>
        <w:tc>
          <w:tcPr>
            <w:tcW w:w="1000" w:type="pct"/>
            <w:tcBorders>
              <w:top w:val="nil"/>
              <w:left w:val="nil"/>
              <w:bottom w:val="nil"/>
              <w:right w:val="nil"/>
            </w:tcBorders>
            <w:tcMar>
              <w:top w:w="-1" w:type="dxa"/>
              <w:left w:w="-1" w:type="dxa"/>
              <w:bottom w:w="-1" w:type="dxa"/>
              <w:right w:w="-1" w:type="dxa"/>
            </w:tcMar>
            <w:vAlign w:val="center"/>
          </w:tcPr>
          <w:p w14:paraId="2A13E20A">
            <w:pPr>
              <w:snapToGrid w:val="0"/>
              <w:spacing w:line="288" w:lineRule="auto"/>
              <w:ind w:firstLine="0" w:firstLineChars="0"/>
              <w:jc w:val="center"/>
              <w:rPr>
                <w:sz w:val="21"/>
                <w:szCs w:val="21"/>
              </w:rPr>
            </w:pPr>
            <w:r>
              <w:rPr>
                <w:sz w:val="21"/>
                <w:szCs w:val="21"/>
              </w:rPr>
              <w:t>51.22</w:t>
            </w:r>
          </w:p>
        </w:tc>
        <w:tc>
          <w:tcPr>
            <w:tcW w:w="1000" w:type="pct"/>
            <w:tcBorders>
              <w:top w:val="nil"/>
              <w:left w:val="nil"/>
              <w:bottom w:val="nil"/>
              <w:right w:val="nil"/>
            </w:tcBorders>
            <w:tcMar>
              <w:top w:w="-1" w:type="dxa"/>
              <w:left w:w="-1" w:type="dxa"/>
              <w:bottom w:w="-1" w:type="dxa"/>
              <w:right w:w="-1" w:type="dxa"/>
            </w:tcMar>
            <w:vAlign w:val="center"/>
          </w:tcPr>
          <w:p w14:paraId="57D36E4D">
            <w:pPr>
              <w:snapToGrid w:val="0"/>
              <w:spacing w:line="288" w:lineRule="auto"/>
              <w:ind w:firstLine="0" w:firstLineChars="0"/>
              <w:jc w:val="center"/>
              <w:rPr>
                <w:sz w:val="21"/>
                <w:szCs w:val="21"/>
              </w:rPr>
            </w:pPr>
            <w:r>
              <w:rPr>
                <w:sz w:val="21"/>
                <w:szCs w:val="21"/>
              </w:rPr>
              <w:t>0.9658</w:t>
            </w:r>
          </w:p>
        </w:tc>
        <w:tc>
          <w:tcPr>
            <w:tcW w:w="1000" w:type="pct"/>
            <w:tcBorders>
              <w:top w:val="nil"/>
              <w:left w:val="nil"/>
              <w:bottom w:val="nil"/>
              <w:right w:val="nil"/>
            </w:tcBorders>
            <w:tcMar>
              <w:top w:w="-1" w:type="dxa"/>
              <w:left w:w="-1" w:type="dxa"/>
              <w:bottom w:w="-1" w:type="dxa"/>
              <w:right w:w="-1" w:type="dxa"/>
            </w:tcMar>
            <w:vAlign w:val="center"/>
          </w:tcPr>
          <w:p w14:paraId="653B638D">
            <w:pPr>
              <w:snapToGrid w:val="0"/>
              <w:spacing w:line="288" w:lineRule="auto"/>
              <w:ind w:firstLine="0" w:firstLineChars="0"/>
              <w:jc w:val="center"/>
              <w:rPr>
                <w:sz w:val="21"/>
                <w:szCs w:val="21"/>
              </w:rPr>
            </w:pPr>
            <w:r>
              <w:rPr>
                <w:sz w:val="21"/>
                <w:szCs w:val="21"/>
              </w:rPr>
              <w:t>0.677</w:t>
            </w:r>
          </w:p>
        </w:tc>
      </w:tr>
      <w:tr w14:paraId="4E7B8B7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80" w:type="dxa"/>
            <w:left w:w="120" w:type="dxa"/>
            <w:bottom w:w="80" w:type="dxa"/>
            <w:right w:w="120" w:type="dxa"/>
          </w:tblCellMar>
        </w:tblPrEx>
        <w:trPr>
          <w:jc w:val="center"/>
        </w:trPr>
        <w:tc>
          <w:tcPr>
            <w:tcW w:w="1000" w:type="pct"/>
            <w:tcBorders>
              <w:top w:val="nil"/>
              <w:left w:val="nil"/>
              <w:bottom w:val="nil"/>
              <w:right w:val="nil"/>
            </w:tcBorders>
            <w:tcMar>
              <w:top w:w="-1" w:type="dxa"/>
              <w:left w:w="-1" w:type="dxa"/>
              <w:bottom w:w="-1" w:type="dxa"/>
              <w:right w:w="-1" w:type="dxa"/>
            </w:tcMar>
            <w:vAlign w:val="center"/>
          </w:tcPr>
          <w:p w14:paraId="34AE66F9">
            <w:pPr>
              <w:snapToGrid w:val="0"/>
              <w:spacing w:line="288" w:lineRule="auto"/>
              <w:ind w:firstLine="0" w:firstLineChars="0"/>
              <w:jc w:val="center"/>
              <w:rPr>
                <w:sz w:val="21"/>
                <w:szCs w:val="21"/>
              </w:rPr>
            </w:pPr>
            <w:r>
              <w:rPr>
                <w:sz w:val="21"/>
                <w:szCs w:val="21"/>
              </w:rPr>
              <w:t>1+2→3</w:t>
            </w:r>
          </w:p>
        </w:tc>
        <w:tc>
          <w:tcPr>
            <w:tcW w:w="1000" w:type="pct"/>
            <w:tcBorders>
              <w:top w:val="nil"/>
              <w:left w:val="nil"/>
              <w:bottom w:val="nil"/>
              <w:right w:val="nil"/>
            </w:tcBorders>
            <w:tcMar>
              <w:top w:w="-1" w:type="dxa"/>
              <w:left w:w="-1" w:type="dxa"/>
              <w:bottom w:w="-1" w:type="dxa"/>
              <w:right w:w="-1" w:type="dxa"/>
            </w:tcMar>
            <w:vAlign w:val="center"/>
          </w:tcPr>
          <w:p w14:paraId="21B13706">
            <w:pPr>
              <w:snapToGrid w:val="0"/>
              <w:spacing w:line="288" w:lineRule="auto"/>
              <w:ind w:firstLine="0" w:firstLineChars="0"/>
              <w:jc w:val="center"/>
              <w:rPr>
                <w:sz w:val="21"/>
                <w:szCs w:val="21"/>
              </w:rPr>
            </w:pPr>
            <w:r>
              <w:rPr>
                <w:sz w:val="21"/>
                <w:szCs w:val="21"/>
              </w:rPr>
              <w:t>483.83</w:t>
            </w:r>
          </w:p>
        </w:tc>
        <w:tc>
          <w:tcPr>
            <w:tcW w:w="1000" w:type="pct"/>
            <w:tcBorders>
              <w:top w:val="nil"/>
              <w:left w:val="nil"/>
              <w:bottom w:val="nil"/>
              <w:right w:val="nil"/>
            </w:tcBorders>
            <w:tcMar>
              <w:top w:w="-1" w:type="dxa"/>
              <w:left w:w="-1" w:type="dxa"/>
              <w:bottom w:w="-1" w:type="dxa"/>
              <w:right w:w="-1" w:type="dxa"/>
            </w:tcMar>
            <w:vAlign w:val="center"/>
          </w:tcPr>
          <w:p w14:paraId="2698AF7B">
            <w:pPr>
              <w:snapToGrid w:val="0"/>
              <w:spacing w:line="288" w:lineRule="auto"/>
              <w:ind w:firstLine="0" w:firstLineChars="0"/>
              <w:jc w:val="center"/>
              <w:rPr>
                <w:sz w:val="21"/>
                <w:szCs w:val="21"/>
              </w:rPr>
            </w:pPr>
            <w:r>
              <w:rPr>
                <w:sz w:val="21"/>
                <w:szCs w:val="21"/>
              </w:rPr>
              <w:t>291.74</w:t>
            </w:r>
          </w:p>
        </w:tc>
        <w:tc>
          <w:tcPr>
            <w:tcW w:w="1000" w:type="pct"/>
            <w:tcBorders>
              <w:top w:val="nil"/>
              <w:left w:val="nil"/>
              <w:bottom w:val="nil"/>
              <w:right w:val="nil"/>
            </w:tcBorders>
            <w:tcMar>
              <w:top w:w="-1" w:type="dxa"/>
              <w:left w:w="-1" w:type="dxa"/>
              <w:bottom w:w="-1" w:type="dxa"/>
              <w:right w:w="-1" w:type="dxa"/>
            </w:tcMar>
            <w:vAlign w:val="center"/>
          </w:tcPr>
          <w:p w14:paraId="4A90D467">
            <w:pPr>
              <w:snapToGrid w:val="0"/>
              <w:spacing w:line="288" w:lineRule="auto"/>
              <w:ind w:firstLine="0" w:firstLineChars="0"/>
              <w:jc w:val="center"/>
              <w:rPr>
                <w:sz w:val="21"/>
                <w:szCs w:val="21"/>
              </w:rPr>
            </w:pPr>
            <w:r>
              <w:rPr>
                <w:sz w:val="21"/>
                <w:szCs w:val="21"/>
              </w:rPr>
              <w:t>0.9593</w:t>
            </w:r>
          </w:p>
        </w:tc>
        <w:tc>
          <w:tcPr>
            <w:tcW w:w="1000" w:type="pct"/>
            <w:tcBorders>
              <w:top w:val="nil"/>
              <w:left w:val="nil"/>
              <w:bottom w:val="nil"/>
              <w:right w:val="nil"/>
            </w:tcBorders>
            <w:tcMar>
              <w:top w:w="-1" w:type="dxa"/>
              <w:left w:w="-1" w:type="dxa"/>
              <w:bottom w:w="-1" w:type="dxa"/>
              <w:right w:w="-1" w:type="dxa"/>
            </w:tcMar>
            <w:vAlign w:val="center"/>
          </w:tcPr>
          <w:p w14:paraId="313161A4">
            <w:pPr>
              <w:snapToGrid w:val="0"/>
              <w:spacing w:line="288" w:lineRule="auto"/>
              <w:ind w:firstLine="0" w:firstLineChars="0"/>
              <w:jc w:val="center"/>
              <w:rPr>
                <w:sz w:val="21"/>
                <w:szCs w:val="21"/>
              </w:rPr>
            </w:pPr>
            <w:r>
              <w:rPr>
                <w:sz w:val="21"/>
                <w:szCs w:val="21"/>
              </w:rPr>
              <w:t>0.687</w:t>
            </w:r>
          </w:p>
        </w:tc>
      </w:tr>
      <w:tr w14:paraId="0D7A9CE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80" w:type="dxa"/>
            <w:left w:w="120" w:type="dxa"/>
            <w:bottom w:w="80" w:type="dxa"/>
            <w:right w:w="120" w:type="dxa"/>
          </w:tblCellMar>
        </w:tblPrEx>
        <w:trPr>
          <w:jc w:val="center"/>
        </w:trPr>
        <w:tc>
          <w:tcPr>
            <w:tcW w:w="1000" w:type="pct"/>
            <w:tcBorders>
              <w:top w:val="nil"/>
              <w:left w:val="nil"/>
              <w:bottom w:val="nil"/>
              <w:right w:val="nil"/>
            </w:tcBorders>
            <w:tcMar>
              <w:top w:w="-1" w:type="dxa"/>
              <w:left w:w="-1" w:type="dxa"/>
              <w:bottom w:w="-1" w:type="dxa"/>
              <w:right w:w="-1" w:type="dxa"/>
            </w:tcMar>
            <w:vAlign w:val="center"/>
          </w:tcPr>
          <w:p w14:paraId="74A271F4">
            <w:pPr>
              <w:snapToGrid w:val="0"/>
              <w:spacing w:line="288" w:lineRule="auto"/>
              <w:ind w:firstLine="0" w:firstLineChars="0"/>
              <w:jc w:val="center"/>
              <w:rPr>
                <w:sz w:val="21"/>
                <w:szCs w:val="21"/>
              </w:rPr>
            </w:pPr>
            <w:r>
              <w:rPr>
                <w:sz w:val="21"/>
                <w:szCs w:val="21"/>
              </w:rPr>
              <w:t>1+3→2</w:t>
            </w:r>
          </w:p>
        </w:tc>
        <w:tc>
          <w:tcPr>
            <w:tcW w:w="1000" w:type="pct"/>
            <w:tcBorders>
              <w:top w:val="nil"/>
              <w:left w:val="nil"/>
              <w:bottom w:val="nil"/>
              <w:right w:val="nil"/>
            </w:tcBorders>
            <w:tcMar>
              <w:top w:w="-1" w:type="dxa"/>
              <w:left w:w="-1" w:type="dxa"/>
              <w:bottom w:w="-1" w:type="dxa"/>
              <w:right w:w="-1" w:type="dxa"/>
            </w:tcMar>
            <w:vAlign w:val="center"/>
          </w:tcPr>
          <w:p w14:paraId="16FA850B">
            <w:pPr>
              <w:snapToGrid w:val="0"/>
              <w:spacing w:line="288" w:lineRule="auto"/>
              <w:ind w:firstLine="0" w:firstLineChars="0"/>
              <w:jc w:val="center"/>
              <w:rPr>
                <w:sz w:val="21"/>
                <w:szCs w:val="21"/>
              </w:rPr>
            </w:pPr>
            <w:r>
              <w:rPr>
                <w:sz w:val="21"/>
                <w:szCs w:val="21"/>
              </w:rPr>
              <w:t>101.92</w:t>
            </w:r>
          </w:p>
        </w:tc>
        <w:tc>
          <w:tcPr>
            <w:tcW w:w="1000" w:type="pct"/>
            <w:tcBorders>
              <w:top w:val="nil"/>
              <w:left w:val="nil"/>
              <w:bottom w:val="nil"/>
              <w:right w:val="nil"/>
            </w:tcBorders>
            <w:tcMar>
              <w:top w:w="-1" w:type="dxa"/>
              <w:left w:w="-1" w:type="dxa"/>
              <w:bottom w:w="-1" w:type="dxa"/>
              <w:right w:w="-1" w:type="dxa"/>
            </w:tcMar>
            <w:vAlign w:val="center"/>
          </w:tcPr>
          <w:p w14:paraId="23CEC3F3">
            <w:pPr>
              <w:snapToGrid w:val="0"/>
              <w:spacing w:line="288" w:lineRule="auto"/>
              <w:ind w:firstLine="0" w:firstLineChars="0"/>
              <w:jc w:val="center"/>
              <w:rPr>
                <w:sz w:val="21"/>
                <w:szCs w:val="21"/>
              </w:rPr>
            </w:pPr>
            <w:r>
              <w:rPr>
                <w:sz w:val="21"/>
                <w:szCs w:val="21"/>
              </w:rPr>
              <w:t>54.92</w:t>
            </w:r>
          </w:p>
        </w:tc>
        <w:tc>
          <w:tcPr>
            <w:tcW w:w="1000" w:type="pct"/>
            <w:tcBorders>
              <w:top w:val="nil"/>
              <w:left w:val="nil"/>
              <w:bottom w:val="nil"/>
              <w:right w:val="nil"/>
            </w:tcBorders>
            <w:tcMar>
              <w:top w:w="-1" w:type="dxa"/>
              <w:left w:w="-1" w:type="dxa"/>
              <w:bottom w:w="-1" w:type="dxa"/>
              <w:right w:w="-1" w:type="dxa"/>
            </w:tcMar>
            <w:vAlign w:val="center"/>
          </w:tcPr>
          <w:p w14:paraId="4E4009A8">
            <w:pPr>
              <w:snapToGrid w:val="0"/>
              <w:spacing w:line="288" w:lineRule="auto"/>
              <w:ind w:firstLine="0" w:firstLineChars="0"/>
              <w:jc w:val="center"/>
              <w:rPr>
                <w:sz w:val="21"/>
                <w:szCs w:val="21"/>
              </w:rPr>
            </w:pPr>
            <w:r>
              <w:rPr>
                <w:sz w:val="21"/>
                <w:szCs w:val="21"/>
              </w:rPr>
              <w:t>0.9641</w:t>
            </w:r>
          </w:p>
        </w:tc>
        <w:tc>
          <w:tcPr>
            <w:tcW w:w="1000" w:type="pct"/>
            <w:tcBorders>
              <w:top w:val="nil"/>
              <w:left w:val="nil"/>
              <w:bottom w:val="nil"/>
              <w:right w:val="nil"/>
            </w:tcBorders>
            <w:tcMar>
              <w:top w:w="-1" w:type="dxa"/>
              <w:left w:w="-1" w:type="dxa"/>
              <w:bottom w:w="-1" w:type="dxa"/>
              <w:right w:w="-1" w:type="dxa"/>
            </w:tcMar>
            <w:vAlign w:val="center"/>
          </w:tcPr>
          <w:p w14:paraId="09BF5DB5">
            <w:pPr>
              <w:snapToGrid w:val="0"/>
              <w:spacing w:line="288" w:lineRule="auto"/>
              <w:ind w:firstLine="0" w:firstLineChars="0"/>
              <w:jc w:val="center"/>
              <w:rPr>
                <w:sz w:val="21"/>
                <w:szCs w:val="21"/>
              </w:rPr>
            </w:pPr>
            <w:r>
              <w:rPr>
                <w:sz w:val="21"/>
                <w:szCs w:val="21"/>
              </w:rPr>
              <w:t>0.660</w:t>
            </w:r>
          </w:p>
        </w:tc>
      </w:tr>
      <w:tr w14:paraId="1E1DFB6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80" w:type="dxa"/>
            <w:left w:w="120" w:type="dxa"/>
            <w:bottom w:w="80" w:type="dxa"/>
            <w:right w:w="120" w:type="dxa"/>
          </w:tblCellMar>
        </w:tblPrEx>
        <w:trPr>
          <w:jc w:val="center"/>
        </w:trPr>
        <w:tc>
          <w:tcPr>
            <w:tcW w:w="1000" w:type="pct"/>
            <w:tcBorders>
              <w:top w:val="nil"/>
              <w:left w:val="nil"/>
              <w:bottom w:val="nil"/>
              <w:right w:val="nil"/>
            </w:tcBorders>
            <w:tcMar>
              <w:top w:w="-1" w:type="dxa"/>
              <w:left w:w="-1" w:type="dxa"/>
              <w:bottom w:w="-1" w:type="dxa"/>
              <w:right w:w="-1" w:type="dxa"/>
            </w:tcMar>
            <w:vAlign w:val="center"/>
          </w:tcPr>
          <w:p w14:paraId="33E233F1">
            <w:pPr>
              <w:snapToGrid w:val="0"/>
              <w:spacing w:line="288" w:lineRule="auto"/>
              <w:ind w:firstLine="0" w:firstLineChars="0"/>
              <w:jc w:val="center"/>
              <w:rPr>
                <w:sz w:val="21"/>
                <w:szCs w:val="21"/>
              </w:rPr>
            </w:pPr>
            <w:r>
              <w:rPr>
                <w:sz w:val="21"/>
                <w:szCs w:val="21"/>
              </w:rPr>
              <w:t>2+3→1</w:t>
            </w:r>
          </w:p>
        </w:tc>
        <w:tc>
          <w:tcPr>
            <w:tcW w:w="1000" w:type="pct"/>
            <w:tcBorders>
              <w:top w:val="nil"/>
              <w:left w:val="nil"/>
              <w:bottom w:val="nil"/>
              <w:right w:val="nil"/>
            </w:tcBorders>
            <w:tcMar>
              <w:top w:w="-1" w:type="dxa"/>
              <w:left w:w="-1" w:type="dxa"/>
              <w:bottom w:w="-1" w:type="dxa"/>
              <w:right w:w="-1" w:type="dxa"/>
            </w:tcMar>
            <w:vAlign w:val="center"/>
          </w:tcPr>
          <w:p w14:paraId="07EF7F38">
            <w:pPr>
              <w:snapToGrid w:val="0"/>
              <w:spacing w:line="288" w:lineRule="auto"/>
              <w:ind w:firstLine="0" w:firstLineChars="0"/>
              <w:jc w:val="center"/>
              <w:rPr>
                <w:sz w:val="21"/>
                <w:szCs w:val="21"/>
              </w:rPr>
            </w:pPr>
            <w:r>
              <w:rPr>
                <w:sz w:val="21"/>
                <w:szCs w:val="21"/>
              </w:rPr>
              <w:t>31.52</w:t>
            </w:r>
          </w:p>
        </w:tc>
        <w:tc>
          <w:tcPr>
            <w:tcW w:w="1000" w:type="pct"/>
            <w:tcBorders>
              <w:top w:val="nil"/>
              <w:left w:val="nil"/>
              <w:bottom w:val="nil"/>
              <w:right w:val="nil"/>
            </w:tcBorders>
            <w:tcMar>
              <w:top w:w="-1" w:type="dxa"/>
              <w:left w:w="-1" w:type="dxa"/>
              <w:bottom w:w="-1" w:type="dxa"/>
              <w:right w:w="-1" w:type="dxa"/>
            </w:tcMar>
            <w:vAlign w:val="center"/>
          </w:tcPr>
          <w:p w14:paraId="09F03295">
            <w:pPr>
              <w:snapToGrid w:val="0"/>
              <w:spacing w:line="288" w:lineRule="auto"/>
              <w:ind w:firstLine="0" w:firstLineChars="0"/>
              <w:jc w:val="center"/>
              <w:rPr>
                <w:sz w:val="21"/>
                <w:szCs w:val="21"/>
              </w:rPr>
            </w:pPr>
            <w:r>
              <w:rPr>
                <w:sz w:val="21"/>
                <w:szCs w:val="21"/>
              </w:rPr>
              <w:t>17.59</w:t>
            </w:r>
          </w:p>
        </w:tc>
        <w:tc>
          <w:tcPr>
            <w:tcW w:w="1000" w:type="pct"/>
            <w:tcBorders>
              <w:top w:val="nil"/>
              <w:left w:val="nil"/>
              <w:bottom w:val="nil"/>
              <w:right w:val="nil"/>
            </w:tcBorders>
            <w:tcMar>
              <w:top w:w="-1" w:type="dxa"/>
              <w:left w:w="-1" w:type="dxa"/>
              <w:bottom w:w="-1" w:type="dxa"/>
              <w:right w:w="-1" w:type="dxa"/>
            </w:tcMar>
            <w:vAlign w:val="center"/>
          </w:tcPr>
          <w:p w14:paraId="5ED12A2F">
            <w:pPr>
              <w:snapToGrid w:val="0"/>
              <w:spacing w:line="288" w:lineRule="auto"/>
              <w:ind w:firstLine="0" w:firstLineChars="0"/>
              <w:jc w:val="center"/>
              <w:rPr>
                <w:sz w:val="21"/>
                <w:szCs w:val="21"/>
              </w:rPr>
            </w:pPr>
            <w:r>
              <w:rPr>
                <w:sz w:val="21"/>
                <w:szCs w:val="21"/>
              </w:rPr>
              <w:t>0.9577</w:t>
            </w:r>
          </w:p>
        </w:tc>
        <w:tc>
          <w:tcPr>
            <w:tcW w:w="1000" w:type="pct"/>
            <w:tcBorders>
              <w:top w:val="nil"/>
              <w:left w:val="nil"/>
              <w:bottom w:val="nil"/>
              <w:right w:val="nil"/>
            </w:tcBorders>
            <w:tcMar>
              <w:top w:w="-1" w:type="dxa"/>
              <w:left w:w="-1" w:type="dxa"/>
              <w:bottom w:w="-1" w:type="dxa"/>
              <w:right w:w="-1" w:type="dxa"/>
            </w:tcMar>
            <w:vAlign w:val="center"/>
          </w:tcPr>
          <w:p w14:paraId="194C45C9">
            <w:pPr>
              <w:snapToGrid w:val="0"/>
              <w:spacing w:line="288" w:lineRule="auto"/>
              <w:ind w:firstLine="0" w:firstLineChars="0"/>
              <w:jc w:val="center"/>
              <w:rPr>
                <w:sz w:val="21"/>
                <w:szCs w:val="21"/>
              </w:rPr>
            </w:pPr>
            <w:r>
              <w:rPr>
                <w:sz w:val="21"/>
                <w:szCs w:val="21"/>
              </w:rPr>
              <w:t>0.711</w:t>
            </w:r>
          </w:p>
        </w:tc>
      </w:tr>
      <w:tr w14:paraId="296BE0E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80" w:type="dxa"/>
            <w:left w:w="120" w:type="dxa"/>
            <w:bottom w:w="80" w:type="dxa"/>
            <w:right w:w="120" w:type="dxa"/>
          </w:tblCellMar>
        </w:tblPrEx>
        <w:trPr>
          <w:jc w:val="center"/>
        </w:trPr>
        <w:tc>
          <w:tcPr>
            <w:tcW w:w="1000" w:type="pct"/>
            <w:tcBorders>
              <w:top w:val="nil"/>
              <w:left w:val="nil"/>
              <w:bottom w:val="single" w:color="auto" w:sz="12" w:space="0"/>
              <w:right w:val="nil"/>
            </w:tcBorders>
            <w:tcMar>
              <w:top w:w="-1" w:type="dxa"/>
              <w:left w:w="-1" w:type="dxa"/>
              <w:bottom w:w="-1" w:type="dxa"/>
              <w:right w:w="-1" w:type="dxa"/>
            </w:tcMar>
            <w:vAlign w:val="center"/>
          </w:tcPr>
          <w:p w14:paraId="7F42478D">
            <w:pPr>
              <w:snapToGrid w:val="0"/>
              <w:spacing w:line="288" w:lineRule="auto"/>
              <w:ind w:firstLine="0" w:firstLineChars="0"/>
              <w:jc w:val="center"/>
              <w:rPr>
                <w:sz w:val="21"/>
                <w:szCs w:val="21"/>
              </w:rPr>
            </w:pPr>
            <w:r>
              <w:rPr>
                <w:sz w:val="21"/>
                <w:szCs w:val="21"/>
              </w:rPr>
              <w:t>平均</w:t>
            </w:r>
          </w:p>
        </w:tc>
        <w:tc>
          <w:tcPr>
            <w:tcW w:w="1000" w:type="pct"/>
            <w:tcBorders>
              <w:top w:val="nil"/>
              <w:left w:val="nil"/>
              <w:bottom w:val="single" w:color="auto" w:sz="12" w:space="0"/>
              <w:right w:val="nil"/>
            </w:tcBorders>
            <w:tcMar>
              <w:top w:w="-1" w:type="dxa"/>
              <w:left w:w="-1" w:type="dxa"/>
              <w:bottom w:w="-1" w:type="dxa"/>
              <w:right w:w="-1" w:type="dxa"/>
            </w:tcMar>
            <w:vAlign w:val="center"/>
          </w:tcPr>
          <w:p w14:paraId="2CBFE1B6">
            <w:pPr>
              <w:widowControl/>
              <w:snapToGrid w:val="0"/>
              <w:spacing w:line="288" w:lineRule="auto"/>
              <w:ind w:firstLine="0" w:firstLineChars="0"/>
              <w:jc w:val="center"/>
              <w:textAlignment w:val="center"/>
              <w:rPr>
                <w:sz w:val="21"/>
                <w:szCs w:val="21"/>
              </w:rPr>
            </w:pPr>
            <w:r>
              <w:rPr>
                <w:color w:val="000000"/>
                <w:sz w:val="21"/>
                <w:szCs w:val="21"/>
                <w:lang w:bidi="ar"/>
              </w:rPr>
              <w:t>209.21</w:t>
            </w:r>
          </w:p>
        </w:tc>
        <w:tc>
          <w:tcPr>
            <w:tcW w:w="1000" w:type="pct"/>
            <w:tcBorders>
              <w:top w:val="nil"/>
              <w:left w:val="nil"/>
              <w:bottom w:val="single" w:color="auto" w:sz="12" w:space="0"/>
              <w:right w:val="nil"/>
            </w:tcBorders>
            <w:tcMar>
              <w:top w:w="-1" w:type="dxa"/>
              <w:left w:w="-1" w:type="dxa"/>
              <w:bottom w:w="-1" w:type="dxa"/>
              <w:right w:w="-1" w:type="dxa"/>
            </w:tcMar>
            <w:vAlign w:val="center"/>
          </w:tcPr>
          <w:p w14:paraId="5842D5C3">
            <w:pPr>
              <w:widowControl/>
              <w:snapToGrid w:val="0"/>
              <w:spacing w:line="288" w:lineRule="auto"/>
              <w:ind w:firstLine="0" w:firstLineChars="0"/>
              <w:jc w:val="center"/>
              <w:textAlignment w:val="center"/>
              <w:rPr>
                <w:sz w:val="21"/>
                <w:szCs w:val="21"/>
              </w:rPr>
            </w:pPr>
            <w:r>
              <w:rPr>
                <w:color w:val="000000"/>
                <w:sz w:val="21"/>
                <w:szCs w:val="21"/>
                <w:lang w:bidi="ar"/>
              </w:rPr>
              <w:t>126.75</w:t>
            </w:r>
          </w:p>
        </w:tc>
        <w:tc>
          <w:tcPr>
            <w:tcW w:w="1000" w:type="pct"/>
            <w:tcBorders>
              <w:top w:val="nil"/>
              <w:left w:val="nil"/>
              <w:bottom w:val="single" w:color="auto" w:sz="12" w:space="0"/>
              <w:right w:val="nil"/>
            </w:tcBorders>
            <w:tcMar>
              <w:top w:w="-1" w:type="dxa"/>
              <w:left w:w="-1" w:type="dxa"/>
              <w:bottom w:w="-1" w:type="dxa"/>
              <w:right w:w="-1" w:type="dxa"/>
            </w:tcMar>
            <w:vAlign w:val="center"/>
          </w:tcPr>
          <w:p w14:paraId="170F8118">
            <w:pPr>
              <w:widowControl/>
              <w:snapToGrid w:val="0"/>
              <w:spacing w:line="288" w:lineRule="auto"/>
              <w:ind w:firstLine="0" w:firstLineChars="0"/>
              <w:jc w:val="center"/>
              <w:textAlignment w:val="center"/>
              <w:rPr>
                <w:sz w:val="21"/>
                <w:szCs w:val="21"/>
              </w:rPr>
            </w:pPr>
            <w:r>
              <w:rPr>
                <w:color w:val="000000"/>
                <w:sz w:val="21"/>
                <w:szCs w:val="21"/>
                <w:lang w:bidi="ar"/>
              </w:rPr>
              <w:t>0.9606</w:t>
            </w:r>
          </w:p>
        </w:tc>
        <w:tc>
          <w:tcPr>
            <w:tcW w:w="1000" w:type="pct"/>
            <w:tcBorders>
              <w:top w:val="nil"/>
              <w:left w:val="nil"/>
              <w:bottom w:val="single" w:color="auto" w:sz="12" w:space="0"/>
              <w:right w:val="nil"/>
            </w:tcBorders>
            <w:tcMar>
              <w:top w:w="-1" w:type="dxa"/>
              <w:left w:w="-1" w:type="dxa"/>
              <w:bottom w:w="-1" w:type="dxa"/>
              <w:right w:w="-1" w:type="dxa"/>
            </w:tcMar>
            <w:vAlign w:val="center"/>
          </w:tcPr>
          <w:p w14:paraId="48D834BC">
            <w:pPr>
              <w:widowControl/>
              <w:snapToGrid w:val="0"/>
              <w:spacing w:line="288" w:lineRule="auto"/>
              <w:ind w:firstLine="0" w:firstLineChars="0"/>
              <w:jc w:val="center"/>
              <w:textAlignment w:val="center"/>
              <w:rPr>
                <w:sz w:val="21"/>
                <w:szCs w:val="21"/>
              </w:rPr>
            </w:pPr>
            <w:r>
              <w:rPr>
                <w:color w:val="000000"/>
                <w:sz w:val="21"/>
                <w:szCs w:val="21"/>
                <w:lang w:bidi="ar"/>
              </w:rPr>
              <w:t>0.709</w:t>
            </w:r>
          </w:p>
        </w:tc>
      </w:tr>
    </w:tbl>
    <w:p w14:paraId="1235A87B">
      <w:pPr>
        <w:ind w:firstLine="500" w:firstLineChars="0"/>
        <w:rPr>
          <w:rFonts w:hint="eastAsia"/>
        </w:rPr>
      </w:pPr>
      <w:r>
        <w:rPr>
          <w:rFonts w:hint="eastAsia"/>
        </w:rPr>
        <w:t>从表4-5能读出几条信息。一是向长寿命工况3迁移的任务误差最高，向短寿命工况1迁移的表现最稳。二是多源域训练的RMSE虽然略高，但PHM Score更稳定，说明多源域策略对预测可靠性的贡献是正向的。所有任务的预测结果都落在工程可用区间内，模型对不同工况的适应能力算是被验证了。</w:t>
      </w:r>
    </w:p>
    <w:p w14:paraId="7219A534">
      <w:pPr>
        <w:ind w:firstLine="500" w:firstLineChars="0"/>
      </w:pPr>
      <w:r>
        <w:rPr>
          <w:rFonts w:hint="eastAsia"/>
        </w:rPr>
        <w:t>跨工况预测里常常藏着一层系统性偏差——整体偏大或偏小。为了把这个偏差</w:t>
      </w:r>
      <w:r>
        <w:rPr>
          <w:rFonts w:hint="eastAsia"/>
          <w:lang w:val="en-US" w:eastAsia="zh-CN"/>
        </w:rPr>
        <w:t>减小</w:t>
      </w:r>
      <w:r>
        <w:rPr>
          <w:rFonts w:hint="eastAsia"/>
        </w:rPr>
        <w:t>，</w:t>
      </w:r>
      <w:r>
        <w:rPr>
          <w:rFonts w:hint="eastAsia"/>
          <w:lang w:val="en-US" w:eastAsia="zh-CN"/>
        </w:rPr>
        <w:t>本文</w:t>
      </w:r>
      <w:r>
        <w:rPr>
          <w:rFonts w:hint="eastAsia"/>
        </w:rPr>
        <w:t>用了个很轻量的后处理手段：在源域验证集上算真实RUL和预测RUL的中位数比值s，拿它去线性缩放目标域的预测值。s超出[0.1,10]就不做校正，直接退成1。校正后的结果</w:t>
      </w:r>
      <w:r>
        <w:rPr>
          <w:rFonts w:hint="eastAsia"/>
          <w:lang w:val="en-US" w:eastAsia="zh-CN"/>
        </w:rPr>
        <w:t>下</w:t>
      </w:r>
      <w:r>
        <w:rPr>
          <w:rFonts w:hint="eastAsia"/>
        </w:rPr>
        <w:t>表</w:t>
      </w:r>
      <w:r>
        <w:t>。</w:t>
      </w:r>
    </w:p>
    <w:tbl>
      <w:tblPr>
        <w:tblStyle w:val="21"/>
        <w:tblpPr w:leftFromText="180" w:rightFromText="180" w:vertAnchor="text" w:horzAnchor="page" w:tblpX="1792" w:tblpY="438"/>
        <w:tblOverlap w:val="never"/>
        <w:tblW w:w="85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0" w:type="dxa"/>
          <w:left w:w="120" w:type="dxa"/>
          <w:bottom w:w="80" w:type="dxa"/>
          <w:right w:w="120" w:type="dxa"/>
        </w:tblCellMar>
      </w:tblPr>
      <w:tblGrid>
        <w:gridCol w:w="884"/>
        <w:gridCol w:w="1352"/>
        <w:gridCol w:w="2176"/>
        <w:gridCol w:w="2057"/>
        <w:gridCol w:w="2059"/>
      </w:tblGrid>
      <w:tr w14:paraId="53A78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rHeight w:val="0" w:hRule="atLeast"/>
          <w:tblHeader/>
        </w:trPr>
        <w:tc>
          <w:tcPr>
            <w:tcW w:w="821" w:type="dxa"/>
            <w:tcBorders>
              <w:top w:val="single" w:color="000000" w:sz="12" w:space="0"/>
              <w:left w:val="nil"/>
              <w:bottom w:val="single" w:color="000000" w:sz="4" w:space="0"/>
              <w:right w:val="nil"/>
              <w:tl2br w:val="nil"/>
            </w:tcBorders>
            <w:tcMar>
              <w:top w:w="-1" w:type="dxa"/>
              <w:left w:w="-1" w:type="dxa"/>
              <w:bottom w:w="-1" w:type="dxa"/>
              <w:right w:w="-1" w:type="dxa"/>
            </w:tcMar>
            <w:vAlign w:val="center"/>
          </w:tcPr>
          <w:p w14:paraId="052BECD1">
            <w:pPr>
              <w:keepNext/>
              <w:snapToGrid w:val="0"/>
              <w:spacing w:line="240" w:lineRule="auto"/>
              <w:ind w:left="0" w:leftChars="0" w:right="0" w:rightChars="0" w:firstLine="0" w:firstLineChars="0"/>
              <w:jc w:val="center"/>
              <w:rPr>
                <w:b w:val="0"/>
                <w:bCs/>
                <w:color w:val="000000"/>
                <w:sz w:val="21"/>
                <w:szCs w:val="21"/>
              </w:rPr>
            </w:pPr>
            <w:r>
              <w:rPr>
                <w:b w:val="0"/>
                <w:bCs/>
                <w:color w:val="000000"/>
                <w:sz w:val="21"/>
                <w:szCs w:val="21"/>
              </w:rPr>
              <w:t>任务</w:t>
            </w:r>
          </w:p>
        </w:tc>
        <w:tc>
          <w:tcPr>
            <w:tcW w:w="1364" w:type="dxa"/>
            <w:tcBorders>
              <w:top w:val="single" w:color="000000" w:sz="12" w:space="0"/>
              <w:left w:val="nil"/>
              <w:bottom w:val="single" w:color="000000" w:sz="4" w:space="0"/>
              <w:right w:val="nil"/>
            </w:tcBorders>
            <w:tcMar>
              <w:top w:w="-1" w:type="dxa"/>
              <w:left w:w="-1" w:type="dxa"/>
              <w:bottom w:w="-1" w:type="dxa"/>
              <w:right w:w="-1" w:type="dxa"/>
            </w:tcMar>
            <w:vAlign w:val="center"/>
          </w:tcPr>
          <w:p w14:paraId="6E52533B">
            <w:pPr>
              <w:keepNext/>
              <w:widowControl/>
              <w:snapToGrid w:val="0"/>
              <w:spacing w:line="240" w:lineRule="auto"/>
              <w:ind w:left="0" w:leftChars="0" w:right="0" w:rightChars="0" w:firstLine="0" w:firstLineChars="0"/>
              <w:jc w:val="center"/>
              <w:textAlignment w:val="center"/>
              <w:rPr>
                <w:b w:val="0"/>
                <w:bCs/>
                <w:color w:val="000000"/>
                <w:sz w:val="21"/>
                <w:szCs w:val="21"/>
              </w:rPr>
            </w:pPr>
            <w:r>
              <w:rPr>
                <w:b w:val="0"/>
                <w:bCs/>
                <w:color w:val="000000"/>
                <w:sz w:val="21"/>
                <w:szCs w:val="21"/>
                <w:lang w:bidi="ar"/>
              </w:rPr>
              <w:t>缩放因子s</w:t>
            </w:r>
          </w:p>
        </w:tc>
        <w:tc>
          <w:tcPr>
            <w:tcW w:w="2191" w:type="dxa"/>
            <w:tcBorders>
              <w:top w:val="single" w:color="000000" w:sz="12" w:space="0"/>
              <w:left w:val="nil"/>
              <w:bottom w:val="single" w:color="000000" w:sz="4" w:space="0"/>
              <w:right w:val="nil"/>
            </w:tcBorders>
            <w:tcMar>
              <w:top w:w="-1" w:type="dxa"/>
              <w:left w:w="-1" w:type="dxa"/>
              <w:bottom w:w="-1" w:type="dxa"/>
              <w:right w:w="-1" w:type="dxa"/>
            </w:tcMar>
            <w:vAlign w:val="center"/>
          </w:tcPr>
          <w:p w14:paraId="36D4F005">
            <w:pPr>
              <w:keepNext/>
              <w:widowControl/>
              <w:snapToGrid w:val="0"/>
              <w:spacing w:line="240" w:lineRule="auto"/>
              <w:ind w:left="0" w:leftChars="0" w:right="0" w:rightChars="0" w:firstLine="0" w:firstLineChars="0"/>
              <w:jc w:val="center"/>
              <w:textAlignment w:val="center"/>
              <w:rPr>
                <w:b w:val="0"/>
                <w:bCs/>
                <w:color w:val="000000"/>
                <w:sz w:val="21"/>
                <w:szCs w:val="21"/>
              </w:rPr>
            </w:pPr>
            <w:r>
              <w:rPr>
                <w:b w:val="0"/>
                <w:bCs/>
                <w:color w:val="000000"/>
                <w:sz w:val="21"/>
                <w:szCs w:val="21"/>
                <w:lang w:bidi="ar"/>
              </w:rPr>
              <w:t>校正后RMSE(min)</w:t>
            </w:r>
          </w:p>
        </w:tc>
        <w:tc>
          <w:tcPr>
            <w:tcW w:w="2072" w:type="dxa"/>
            <w:tcBorders>
              <w:top w:val="single" w:color="000000" w:sz="12" w:space="0"/>
              <w:left w:val="nil"/>
              <w:bottom w:val="single" w:color="000000" w:sz="4" w:space="0"/>
              <w:right w:val="nil"/>
            </w:tcBorders>
            <w:tcMar>
              <w:top w:w="-1" w:type="dxa"/>
              <w:left w:w="-1" w:type="dxa"/>
              <w:bottom w:w="-1" w:type="dxa"/>
              <w:right w:w="-1" w:type="dxa"/>
            </w:tcMar>
            <w:vAlign w:val="center"/>
          </w:tcPr>
          <w:p w14:paraId="4C27433B">
            <w:pPr>
              <w:keepNext/>
              <w:widowControl/>
              <w:snapToGrid w:val="0"/>
              <w:spacing w:line="240" w:lineRule="auto"/>
              <w:ind w:left="0" w:leftChars="0" w:right="0" w:rightChars="0" w:firstLine="0" w:firstLineChars="0"/>
              <w:jc w:val="center"/>
              <w:textAlignment w:val="center"/>
              <w:rPr>
                <w:b w:val="0"/>
                <w:bCs/>
                <w:color w:val="000000"/>
                <w:sz w:val="21"/>
                <w:szCs w:val="21"/>
              </w:rPr>
            </w:pPr>
            <w:r>
              <w:rPr>
                <w:b w:val="0"/>
                <w:bCs/>
                <w:color w:val="000000"/>
                <w:sz w:val="21"/>
                <w:szCs w:val="21"/>
                <w:lang w:bidi="ar"/>
              </w:rPr>
              <w:t>校正后MAE(min)</w:t>
            </w:r>
          </w:p>
        </w:tc>
        <w:tc>
          <w:tcPr>
            <w:tcW w:w="2080" w:type="dxa"/>
            <w:tcBorders>
              <w:top w:val="single" w:color="000000" w:sz="12" w:space="0"/>
              <w:left w:val="nil"/>
              <w:bottom w:val="single" w:color="000000" w:sz="4" w:space="0"/>
              <w:right w:val="nil"/>
            </w:tcBorders>
            <w:tcMar>
              <w:top w:w="-1" w:type="dxa"/>
              <w:left w:w="-1" w:type="dxa"/>
              <w:bottom w:w="-1" w:type="dxa"/>
              <w:right w:w="-1" w:type="dxa"/>
            </w:tcMar>
            <w:vAlign w:val="center"/>
          </w:tcPr>
          <w:p w14:paraId="7BA0F602">
            <w:pPr>
              <w:keepNext/>
              <w:widowControl/>
              <w:snapToGrid w:val="0"/>
              <w:spacing w:line="240" w:lineRule="auto"/>
              <w:ind w:left="0" w:leftChars="0" w:right="0" w:rightChars="0" w:firstLine="0" w:firstLineChars="0"/>
              <w:jc w:val="center"/>
              <w:textAlignment w:val="center"/>
              <w:rPr>
                <w:rFonts w:hint="eastAsia" w:eastAsia="宋体"/>
                <w:b w:val="0"/>
                <w:bCs/>
                <w:color w:val="000000"/>
                <w:sz w:val="21"/>
                <w:szCs w:val="21"/>
                <w:lang w:val="en-US" w:eastAsia="zh-CN"/>
              </w:rPr>
            </w:pPr>
            <w:r>
              <w:rPr>
                <w:b w:val="0"/>
                <w:bCs/>
                <w:color w:val="000000"/>
                <w:sz w:val="21"/>
                <w:szCs w:val="21"/>
                <w:lang w:bidi="ar"/>
              </w:rPr>
              <w:t>校正后PHM</w:t>
            </w:r>
            <w:r>
              <w:rPr>
                <w:rFonts w:hint="eastAsia"/>
                <w:b w:val="0"/>
                <w:bCs/>
                <w:color w:val="000000"/>
                <w:sz w:val="21"/>
                <w:szCs w:val="21"/>
                <w:lang w:val="en-US" w:eastAsia="zh-CN" w:bidi="ar"/>
              </w:rPr>
              <w:t xml:space="preserve"> </w:t>
            </w:r>
            <w:r>
              <w:rPr>
                <w:rFonts w:hint="eastAsia"/>
                <w:sz w:val="21"/>
                <w:szCs w:val="21"/>
                <w:lang w:val="en-US" w:eastAsia="zh-CN"/>
              </w:rPr>
              <w:t>Score</w:t>
            </w:r>
          </w:p>
        </w:tc>
      </w:tr>
      <w:tr w14:paraId="1C3F6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rHeight w:val="0" w:hRule="atLeast"/>
        </w:trPr>
        <w:tc>
          <w:tcPr>
            <w:tcW w:w="821" w:type="dxa"/>
            <w:tcBorders>
              <w:top w:val="single" w:color="000000" w:sz="4" w:space="0"/>
              <w:left w:val="nil"/>
              <w:bottom w:val="nil"/>
              <w:right w:val="nil"/>
            </w:tcBorders>
            <w:tcMar>
              <w:top w:w="-1" w:type="dxa"/>
              <w:left w:w="-1" w:type="dxa"/>
              <w:bottom w:w="-1" w:type="dxa"/>
              <w:right w:w="-1" w:type="dxa"/>
            </w:tcMar>
            <w:vAlign w:val="center"/>
          </w:tcPr>
          <w:p w14:paraId="0D49A64C">
            <w:pPr>
              <w:keepNext/>
              <w:snapToGrid w:val="0"/>
              <w:spacing w:line="240" w:lineRule="auto"/>
              <w:ind w:left="0" w:leftChars="0" w:right="0" w:rightChars="0" w:firstLine="0" w:firstLineChars="0"/>
              <w:jc w:val="center"/>
              <w:rPr>
                <w:b w:val="0"/>
                <w:bCs/>
                <w:color w:val="000000"/>
                <w:sz w:val="21"/>
                <w:szCs w:val="21"/>
              </w:rPr>
            </w:pPr>
            <w:r>
              <w:rPr>
                <w:b w:val="0"/>
                <w:bCs/>
                <w:color w:val="000000"/>
                <w:sz w:val="21"/>
                <w:szCs w:val="21"/>
              </w:rPr>
              <w:t>1→2</w:t>
            </w:r>
          </w:p>
        </w:tc>
        <w:tc>
          <w:tcPr>
            <w:tcW w:w="1364" w:type="dxa"/>
            <w:tcBorders>
              <w:top w:val="single" w:color="000000" w:sz="4" w:space="0"/>
              <w:left w:val="nil"/>
              <w:bottom w:val="nil"/>
              <w:right w:val="nil"/>
            </w:tcBorders>
            <w:tcMar>
              <w:top w:w="-1" w:type="dxa"/>
              <w:left w:w="-1" w:type="dxa"/>
              <w:bottom w:w="-1" w:type="dxa"/>
              <w:right w:w="-1" w:type="dxa"/>
            </w:tcMar>
            <w:vAlign w:val="center"/>
          </w:tcPr>
          <w:p w14:paraId="583724C4">
            <w:pPr>
              <w:keepNext/>
              <w:widowControl/>
              <w:snapToGrid w:val="0"/>
              <w:spacing w:line="240" w:lineRule="auto"/>
              <w:ind w:left="0" w:leftChars="0" w:right="0" w:rightChars="0" w:firstLine="0" w:firstLineChars="0"/>
              <w:jc w:val="center"/>
              <w:textAlignment w:val="center"/>
              <w:rPr>
                <w:b w:val="0"/>
                <w:bCs/>
                <w:color w:val="000000"/>
                <w:sz w:val="21"/>
                <w:szCs w:val="21"/>
              </w:rPr>
            </w:pPr>
            <w:r>
              <w:rPr>
                <w:b w:val="0"/>
                <w:bCs/>
                <w:color w:val="000000"/>
                <w:sz w:val="21"/>
                <w:szCs w:val="21"/>
                <w:lang w:bidi="ar"/>
              </w:rPr>
              <w:t>1.07</w:t>
            </w:r>
          </w:p>
        </w:tc>
        <w:tc>
          <w:tcPr>
            <w:tcW w:w="2191" w:type="dxa"/>
            <w:tcBorders>
              <w:top w:val="single" w:color="000000" w:sz="4" w:space="0"/>
              <w:left w:val="nil"/>
              <w:bottom w:val="nil"/>
              <w:right w:val="nil"/>
            </w:tcBorders>
            <w:tcMar>
              <w:top w:w="-1" w:type="dxa"/>
              <w:left w:w="-1" w:type="dxa"/>
              <w:bottom w:w="-1" w:type="dxa"/>
              <w:right w:w="-1" w:type="dxa"/>
            </w:tcMar>
            <w:vAlign w:val="center"/>
          </w:tcPr>
          <w:p w14:paraId="3261DA02">
            <w:pPr>
              <w:keepNext/>
              <w:widowControl/>
              <w:snapToGrid w:val="0"/>
              <w:spacing w:line="240" w:lineRule="auto"/>
              <w:ind w:left="0" w:leftChars="0" w:right="0" w:rightChars="0" w:firstLine="0" w:firstLineChars="0"/>
              <w:jc w:val="center"/>
              <w:textAlignment w:val="center"/>
              <w:rPr>
                <w:b w:val="0"/>
                <w:bCs/>
                <w:color w:val="000000"/>
                <w:sz w:val="21"/>
                <w:szCs w:val="21"/>
              </w:rPr>
            </w:pPr>
            <w:r>
              <w:rPr>
                <w:b w:val="0"/>
                <w:bCs/>
                <w:color w:val="000000"/>
                <w:sz w:val="21"/>
                <w:szCs w:val="21"/>
                <w:lang w:bidi="ar"/>
              </w:rPr>
              <w:t>96.64</w:t>
            </w:r>
          </w:p>
        </w:tc>
        <w:tc>
          <w:tcPr>
            <w:tcW w:w="2072" w:type="dxa"/>
            <w:tcBorders>
              <w:top w:val="single" w:color="000000" w:sz="4" w:space="0"/>
              <w:left w:val="nil"/>
              <w:bottom w:val="nil"/>
              <w:right w:val="nil"/>
            </w:tcBorders>
            <w:tcMar>
              <w:top w:w="-1" w:type="dxa"/>
              <w:left w:w="-1" w:type="dxa"/>
              <w:bottom w:w="-1" w:type="dxa"/>
              <w:right w:w="-1" w:type="dxa"/>
            </w:tcMar>
            <w:vAlign w:val="center"/>
          </w:tcPr>
          <w:p w14:paraId="7AA5CC3F">
            <w:pPr>
              <w:keepNext/>
              <w:widowControl/>
              <w:snapToGrid w:val="0"/>
              <w:spacing w:line="240" w:lineRule="auto"/>
              <w:ind w:left="0" w:leftChars="0" w:right="0" w:rightChars="0" w:firstLine="0" w:firstLineChars="0"/>
              <w:jc w:val="center"/>
              <w:textAlignment w:val="center"/>
              <w:rPr>
                <w:b w:val="0"/>
                <w:bCs/>
                <w:color w:val="000000"/>
                <w:sz w:val="21"/>
                <w:szCs w:val="21"/>
              </w:rPr>
            </w:pPr>
            <w:r>
              <w:rPr>
                <w:b w:val="0"/>
                <w:bCs/>
                <w:color w:val="000000"/>
                <w:sz w:val="21"/>
                <w:szCs w:val="21"/>
                <w:lang w:bidi="ar"/>
              </w:rPr>
              <w:t>45.44</w:t>
            </w:r>
          </w:p>
        </w:tc>
        <w:tc>
          <w:tcPr>
            <w:tcW w:w="2080" w:type="dxa"/>
            <w:tcBorders>
              <w:top w:val="single" w:color="000000" w:sz="4" w:space="0"/>
              <w:left w:val="nil"/>
              <w:bottom w:val="nil"/>
              <w:right w:val="nil"/>
            </w:tcBorders>
            <w:tcMar>
              <w:top w:w="-1" w:type="dxa"/>
              <w:left w:w="-1" w:type="dxa"/>
              <w:bottom w:w="-1" w:type="dxa"/>
              <w:right w:w="-1" w:type="dxa"/>
            </w:tcMar>
            <w:vAlign w:val="center"/>
          </w:tcPr>
          <w:p w14:paraId="5D9D105B">
            <w:pPr>
              <w:keepNext/>
              <w:widowControl/>
              <w:snapToGrid w:val="0"/>
              <w:spacing w:line="240" w:lineRule="auto"/>
              <w:ind w:left="0" w:leftChars="0" w:right="0" w:rightChars="0" w:firstLine="0" w:firstLineChars="0"/>
              <w:jc w:val="center"/>
              <w:textAlignment w:val="center"/>
              <w:rPr>
                <w:b w:val="0"/>
                <w:bCs/>
                <w:color w:val="000000"/>
                <w:sz w:val="21"/>
                <w:szCs w:val="21"/>
              </w:rPr>
            </w:pPr>
            <w:r>
              <w:rPr>
                <w:b w:val="0"/>
                <w:bCs/>
                <w:color w:val="000000"/>
                <w:sz w:val="21"/>
                <w:szCs w:val="21"/>
                <w:lang w:bidi="ar"/>
              </w:rPr>
              <w:t>0.9681</w:t>
            </w:r>
          </w:p>
        </w:tc>
      </w:tr>
      <w:tr w14:paraId="01D9D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rHeight w:val="0" w:hRule="atLeast"/>
        </w:trPr>
        <w:tc>
          <w:tcPr>
            <w:tcW w:w="821" w:type="dxa"/>
            <w:tcBorders>
              <w:top w:val="nil"/>
              <w:left w:val="nil"/>
              <w:bottom w:val="nil"/>
              <w:right w:val="nil"/>
            </w:tcBorders>
            <w:tcMar>
              <w:top w:w="-1" w:type="dxa"/>
              <w:left w:w="-1" w:type="dxa"/>
              <w:bottom w:w="-1" w:type="dxa"/>
              <w:right w:w="-1" w:type="dxa"/>
            </w:tcMar>
            <w:vAlign w:val="center"/>
          </w:tcPr>
          <w:p w14:paraId="5A025B57">
            <w:pPr>
              <w:keepNext/>
              <w:snapToGrid w:val="0"/>
              <w:spacing w:line="240" w:lineRule="auto"/>
              <w:ind w:left="0" w:leftChars="0" w:right="0" w:rightChars="0" w:firstLine="0" w:firstLineChars="0"/>
              <w:jc w:val="center"/>
              <w:rPr>
                <w:b w:val="0"/>
                <w:bCs/>
                <w:color w:val="000000"/>
                <w:sz w:val="21"/>
                <w:szCs w:val="21"/>
              </w:rPr>
            </w:pPr>
            <w:r>
              <w:rPr>
                <w:b w:val="0"/>
                <w:bCs/>
                <w:color w:val="000000"/>
                <w:sz w:val="21"/>
                <w:szCs w:val="21"/>
              </w:rPr>
              <w:t>1→3</w:t>
            </w:r>
          </w:p>
        </w:tc>
        <w:tc>
          <w:tcPr>
            <w:tcW w:w="1364" w:type="dxa"/>
            <w:tcBorders>
              <w:top w:val="nil"/>
              <w:left w:val="nil"/>
              <w:bottom w:val="nil"/>
              <w:right w:val="nil"/>
            </w:tcBorders>
            <w:tcMar>
              <w:top w:w="-1" w:type="dxa"/>
              <w:left w:w="-1" w:type="dxa"/>
              <w:bottom w:w="-1" w:type="dxa"/>
              <w:right w:w="-1" w:type="dxa"/>
            </w:tcMar>
            <w:vAlign w:val="center"/>
          </w:tcPr>
          <w:p w14:paraId="7EF75870">
            <w:pPr>
              <w:keepNext/>
              <w:widowControl/>
              <w:snapToGrid w:val="0"/>
              <w:spacing w:line="240" w:lineRule="auto"/>
              <w:ind w:left="0" w:leftChars="0" w:right="0" w:rightChars="0" w:firstLine="0" w:firstLineChars="0"/>
              <w:jc w:val="center"/>
              <w:textAlignment w:val="center"/>
              <w:rPr>
                <w:b w:val="0"/>
                <w:bCs/>
                <w:color w:val="000000"/>
                <w:sz w:val="21"/>
                <w:szCs w:val="21"/>
              </w:rPr>
            </w:pPr>
            <w:r>
              <w:rPr>
                <w:b w:val="0"/>
                <w:bCs/>
                <w:color w:val="000000"/>
                <w:sz w:val="21"/>
                <w:szCs w:val="21"/>
                <w:lang w:bidi="ar"/>
              </w:rPr>
              <w:t>1.073</w:t>
            </w:r>
          </w:p>
        </w:tc>
        <w:tc>
          <w:tcPr>
            <w:tcW w:w="2191" w:type="dxa"/>
            <w:tcBorders>
              <w:top w:val="nil"/>
              <w:left w:val="nil"/>
              <w:bottom w:val="nil"/>
              <w:right w:val="nil"/>
            </w:tcBorders>
            <w:tcMar>
              <w:top w:w="-1" w:type="dxa"/>
              <w:left w:w="-1" w:type="dxa"/>
              <w:bottom w:w="-1" w:type="dxa"/>
              <w:right w:w="-1" w:type="dxa"/>
            </w:tcMar>
            <w:vAlign w:val="center"/>
          </w:tcPr>
          <w:p w14:paraId="75C57DE2">
            <w:pPr>
              <w:keepNext/>
              <w:widowControl/>
              <w:snapToGrid w:val="0"/>
              <w:spacing w:line="240" w:lineRule="auto"/>
              <w:ind w:left="0" w:leftChars="0" w:right="0" w:rightChars="0" w:firstLine="0" w:firstLineChars="0"/>
              <w:jc w:val="center"/>
              <w:textAlignment w:val="center"/>
              <w:rPr>
                <w:b w:val="0"/>
                <w:bCs/>
                <w:color w:val="000000"/>
                <w:sz w:val="21"/>
                <w:szCs w:val="21"/>
              </w:rPr>
            </w:pPr>
            <w:r>
              <w:rPr>
                <w:b w:val="0"/>
                <w:bCs/>
                <w:color w:val="000000"/>
                <w:sz w:val="21"/>
                <w:szCs w:val="21"/>
                <w:lang w:bidi="ar"/>
              </w:rPr>
              <w:t>479.29</w:t>
            </w:r>
          </w:p>
        </w:tc>
        <w:tc>
          <w:tcPr>
            <w:tcW w:w="2072" w:type="dxa"/>
            <w:tcBorders>
              <w:top w:val="nil"/>
              <w:left w:val="nil"/>
              <w:bottom w:val="nil"/>
              <w:right w:val="nil"/>
            </w:tcBorders>
            <w:tcMar>
              <w:top w:w="-1" w:type="dxa"/>
              <w:left w:w="-1" w:type="dxa"/>
              <w:bottom w:w="-1" w:type="dxa"/>
              <w:right w:w="-1" w:type="dxa"/>
            </w:tcMar>
            <w:vAlign w:val="center"/>
          </w:tcPr>
          <w:p w14:paraId="503772F8">
            <w:pPr>
              <w:keepNext/>
              <w:widowControl/>
              <w:snapToGrid w:val="0"/>
              <w:spacing w:line="240" w:lineRule="auto"/>
              <w:ind w:left="0" w:leftChars="0" w:right="0" w:rightChars="0" w:firstLine="0" w:firstLineChars="0"/>
              <w:jc w:val="center"/>
              <w:textAlignment w:val="center"/>
              <w:rPr>
                <w:b w:val="0"/>
                <w:bCs/>
                <w:color w:val="000000"/>
                <w:sz w:val="21"/>
                <w:szCs w:val="21"/>
              </w:rPr>
            </w:pPr>
            <w:r>
              <w:rPr>
                <w:b w:val="0"/>
                <w:bCs/>
                <w:color w:val="000000"/>
                <w:sz w:val="21"/>
                <w:szCs w:val="21"/>
                <w:lang w:bidi="ar"/>
              </w:rPr>
              <w:t>248.3</w:t>
            </w:r>
          </w:p>
        </w:tc>
        <w:tc>
          <w:tcPr>
            <w:tcW w:w="2080" w:type="dxa"/>
            <w:tcBorders>
              <w:top w:val="nil"/>
              <w:left w:val="nil"/>
              <w:bottom w:val="nil"/>
              <w:right w:val="nil"/>
            </w:tcBorders>
            <w:tcMar>
              <w:top w:w="-1" w:type="dxa"/>
              <w:left w:w="-1" w:type="dxa"/>
              <w:bottom w:w="-1" w:type="dxa"/>
              <w:right w:w="-1" w:type="dxa"/>
            </w:tcMar>
            <w:vAlign w:val="center"/>
          </w:tcPr>
          <w:p w14:paraId="52D56B8D">
            <w:pPr>
              <w:keepNext/>
              <w:widowControl/>
              <w:snapToGrid w:val="0"/>
              <w:spacing w:line="240" w:lineRule="auto"/>
              <w:ind w:left="0" w:leftChars="0" w:right="0" w:rightChars="0" w:firstLine="0" w:firstLineChars="0"/>
              <w:jc w:val="center"/>
              <w:textAlignment w:val="center"/>
              <w:rPr>
                <w:b w:val="0"/>
                <w:bCs/>
                <w:color w:val="000000"/>
                <w:sz w:val="21"/>
                <w:szCs w:val="21"/>
              </w:rPr>
            </w:pPr>
            <w:r>
              <w:rPr>
                <w:b w:val="0"/>
                <w:bCs/>
                <w:color w:val="000000"/>
                <w:sz w:val="21"/>
                <w:szCs w:val="21"/>
                <w:lang w:bidi="ar"/>
              </w:rPr>
              <w:t>0.9641</w:t>
            </w:r>
          </w:p>
        </w:tc>
      </w:tr>
      <w:tr w14:paraId="1E483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rHeight w:val="0" w:hRule="atLeast"/>
        </w:trPr>
        <w:tc>
          <w:tcPr>
            <w:tcW w:w="821" w:type="dxa"/>
            <w:tcBorders>
              <w:top w:val="nil"/>
              <w:left w:val="nil"/>
              <w:bottom w:val="nil"/>
              <w:right w:val="nil"/>
            </w:tcBorders>
            <w:tcMar>
              <w:top w:w="-1" w:type="dxa"/>
              <w:left w:w="-1" w:type="dxa"/>
              <w:bottom w:w="-1" w:type="dxa"/>
              <w:right w:w="-1" w:type="dxa"/>
            </w:tcMar>
            <w:vAlign w:val="center"/>
          </w:tcPr>
          <w:p w14:paraId="0176C38B">
            <w:pPr>
              <w:keepNext/>
              <w:snapToGrid w:val="0"/>
              <w:spacing w:line="240" w:lineRule="auto"/>
              <w:ind w:left="0" w:leftChars="0" w:right="0" w:rightChars="0" w:firstLine="0" w:firstLineChars="0"/>
              <w:jc w:val="center"/>
              <w:rPr>
                <w:b w:val="0"/>
                <w:bCs/>
                <w:color w:val="000000"/>
                <w:sz w:val="21"/>
                <w:szCs w:val="21"/>
              </w:rPr>
            </w:pPr>
            <w:r>
              <w:rPr>
                <w:b w:val="0"/>
                <w:bCs/>
                <w:color w:val="000000"/>
                <w:sz w:val="21"/>
                <w:szCs w:val="21"/>
              </w:rPr>
              <w:t>2→1</w:t>
            </w:r>
          </w:p>
        </w:tc>
        <w:tc>
          <w:tcPr>
            <w:tcW w:w="1364" w:type="dxa"/>
            <w:tcBorders>
              <w:top w:val="nil"/>
              <w:left w:val="nil"/>
              <w:bottom w:val="nil"/>
              <w:right w:val="nil"/>
            </w:tcBorders>
            <w:tcMar>
              <w:top w:w="-1" w:type="dxa"/>
              <w:left w:w="-1" w:type="dxa"/>
              <w:bottom w:w="-1" w:type="dxa"/>
              <w:right w:w="-1" w:type="dxa"/>
            </w:tcMar>
            <w:vAlign w:val="center"/>
          </w:tcPr>
          <w:p w14:paraId="6B4063CD">
            <w:pPr>
              <w:keepNext/>
              <w:widowControl/>
              <w:snapToGrid w:val="0"/>
              <w:spacing w:line="240" w:lineRule="auto"/>
              <w:ind w:left="0" w:leftChars="0" w:right="0" w:rightChars="0" w:firstLine="0" w:firstLineChars="0"/>
              <w:jc w:val="center"/>
              <w:textAlignment w:val="center"/>
              <w:rPr>
                <w:b w:val="0"/>
                <w:bCs/>
                <w:color w:val="000000"/>
                <w:sz w:val="21"/>
                <w:szCs w:val="21"/>
              </w:rPr>
            </w:pPr>
            <w:r>
              <w:rPr>
                <w:b w:val="0"/>
                <w:bCs/>
                <w:color w:val="000000"/>
                <w:sz w:val="21"/>
                <w:szCs w:val="21"/>
                <w:lang w:bidi="ar"/>
              </w:rPr>
              <w:t>0.953</w:t>
            </w:r>
          </w:p>
        </w:tc>
        <w:tc>
          <w:tcPr>
            <w:tcW w:w="2191" w:type="dxa"/>
            <w:tcBorders>
              <w:top w:val="nil"/>
              <w:left w:val="nil"/>
              <w:bottom w:val="nil"/>
              <w:right w:val="nil"/>
            </w:tcBorders>
            <w:tcMar>
              <w:top w:w="-1" w:type="dxa"/>
              <w:left w:w="-1" w:type="dxa"/>
              <w:bottom w:w="-1" w:type="dxa"/>
              <w:right w:w="-1" w:type="dxa"/>
            </w:tcMar>
            <w:vAlign w:val="center"/>
          </w:tcPr>
          <w:p w14:paraId="68188624">
            <w:pPr>
              <w:keepNext/>
              <w:widowControl/>
              <w:snapToGrid w:val="0"/>
              <w:spacing w:line="240" w:lineRule="auto"/>
              <w:ind w:left="0" w:leftChars="0" w:right="0" w:rightChars="0" w:firstLine="0" w:firstLineChars="0"/>
              <w:jc w:val="center"/>
              <w:textAlignment w:val="center"/>
              <w:rPr>
                <w:b w:val="0"/>
                <w:bCs/>
                <w:color w:val="000000"/>
                <w:sz w:val="21"/>
                <w:szCs w:val="21"/>
              </w:rPr>
            </w:pPr>
            <w:r>
              <w:rPr>
                <w:b w:val="0"/>
                <w:bCs/>
                <w:color w:val="000000"/>
                <w:sz w:val="21"/>
                <w:szCs w:val="21"/>
                <w:lang w:bidi="ar"/>
              </w:rPr>
              <w:t>31.69</w:t>
            </w:r>
          </w:p>
        </w:tc>
        <w:tc>
          <w:tcPr>
            <w:tcW w:w="2072" w:type="dxa"/>
            <w:tcBorders>
              <w:top w:val="nil"/>
              <w:left w:val="nil"/>
              <w:bottom w:val="nil"/>
              <w:right w:val="nil"/>
            </w:tcBorders>
            <w:tcMar>
              <w:top w:w="-1" w:type="dxa"/>
              <w:left w:w="-1" w:type="dxa"/>
              <w:bottom w:w="-1" w:type="dxa"/>
              <w:right w:w="-1" w:type="dxa"/>
            </w:tcMar>
            <w:vAlign w:val="center"/>
          </w:tcPr>
          <w:p w14:paraId="14DBDA63">
            <w:pPr>
              <w:keepNext/>
              <w:widowControl/>
              <w:snapToGrid w:val="0"/>
              <w:spacing w:line="240" w:lineRule="auto"/>
              <w:ind w:left="0" w:leftChars="0" w:right="0" w:rightChars="0" w:firstLine="0" w:firstLineChars="0"/>
              <w:jc w:val="center"/>
              <w:textAlignment w:val="center"/>
              <w:rPr>
                <w:b w:val="0"/>
                <w:bCs/>
                <w:color w:val="000000"/>
                <w:sz w:val="21"/>
                <w:szCs w:val="21"/>
              </w:rPr>
            </w:pPr>
            <w:r>
              <w:rPr>
                <w:b w:val="0"/>
                <w:bCs/>
                <w:color w:val="000000"/>
                <w:sz w:val="21"/>
                <w:szCs w:val="21"/>
                <w:lang w:bidi="ar"/>
              </w:rPr>
              <w:t>19.96</w:t>
            </w:r>
          </w:p>
        </w:tc>
        <w:tc>
          <w:tcPr>
            <w:tcW w:w="2080" w:type="dxa"/>
            <w:tcBorders>
              <w:top w:val="nil"/>
              <w:left w:val="nil"/>
              <w:bottom w:val="nil"/>
              <w:right w:val="nil"/>
            </w:tcBorders>
            <w:tcMar>
              <w:top w:w="-1" w:type="dxa"/>
              <w:left w:w="-1" w:type="dxa"/>
              <w:bottom w:w="-1" w:type="dxa"/>
              <w:right w:w="-1" w:type="dxa"/>
            </w:tcMar>
            <w:vAlign w:val="center"/>
          </w:tcPr>
          <w:p w14:paraId="2E65D685">
            <w:pPr>
              <w:keepNext/>
              <w:widowControl/>
              <w:snapToGrid w:val="0"/>
              <w:spacing w:line="240" w:lineRule="auto"/>
              <w:ind w:left="0" w:leftChars="0" w:right="0" w:rightChars="0" w:firstLine="0" w:firstLineChars="0"/>
              <w:jc w:val="center"/>
              <w:textAlignment w:val="center"/>
              <w:rPr>
                <w:b w:val="0"/>
                <w:bCs/>
                <w:color w:val="000000"/>
                <w:sz w:val="21"/>
                <w:szCs w:val="21"/>
              </w:rPr>
            </w:pPr>
            <w:r>
              <w:rPr>
                <w:b w:val="0"/>
                <w:bCs/>
                <w:color w:val="000000"/>
                <w:sz w:val="21"/>
                <w:szCs w:val="21"/>
                <w:lang w:bidi="ar"/>
              </w:rPr>
              <w:t>0.9561</w:t>
            </w:r>
          </w:p>
        </w:tc>
      </w:tr>
      <w:tr w14:paraId="33FB9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rHeight w:val="0" w:hRule="atLeast"/>
        </w:trPr>
        <w:tc>
          <w:tcPr>
            <w:tcW w:w="821" w:type="dxa"/>
            <w:tcBorders>
              <w:top w:val="nil"/>
              <w:left w:val="nil"/>
              <w:bottom w:val="nil"/>
              <w:right w:val="nil"/>
            </w:tcBorders>
            <w:tcMar>
              <w:top w:w="-1" w:type="dxa"/>
              <w:left w:w="-1" w:type="dxa"/>
              <w:bottom w:w="-1" w:type="dxa"/>
              <w:right w:w="-1" w:type="dxa"/>
            </w:tcMar>
            <w:vAlign w:val="center"/>
          </w:tcPr>
          <w:p w14:paraId="17AABF41">
            <w:pPr>
              <w:keepNext/>
              <w:snapToGrid w:val="0"/>
              <w:spacing w:line="240" w:lineRule="auto"/>
              <w:ind w:firstLine="0" w:firstLineChars="0"/>
              <w:jc w:val="center"/>
              <w:rPr>
                <w:b w:val="0"/>
                <w:bCs/>
                <w:color w:val="000000"/>
                <w:sz w:val="21"/>
                <w:szCs w:val="21"/>
              </w:rPr>
            </w:pPr>
            <w:r>
              <w:rPr>
                <w:bCs/>
                <w:color w:val="000000"/>
                <w:sz w:val="21"/>
                <w:szCs w:val="21"/>
              </w:rPr>
              <w:t>2→3</w:t>
            </w:r>
          </w:p>
        </w:tc>
        <w:tc>
          <w:tcPr>
            <w:tcW w:w="1364" w:type="dxa"/>
            <w:tcBorders>
              <w:top w:val="nil"/>
              <w:left w:val="nil"/>
              <w:bottom w:val="nil"/>
              <w:right w:val="nil"/>
            </w:tcBorders>
            <w:tcMar>
              <w:top w:w="-1" w:type="dxa"/>
              <w:left w:w="-1" w:type="dxa"/>
              <w:bottom w:w="-1" w:type="dxa"/>
              <w:right w:w="-1" w:type="dxa"/>
            </w:tcMar>
            <w:vAlign w:val="center"/>
          </w:tcPr>
          <w:p w14:paraId="464D9C46">
            <w:pPr>
              <w:keepNext/>
              <w:widowControl/>
              <w:snapToGrid w:val="0"/>
              <w:spacing w:line="240" w:lineRule="auto"/>
              <w:ind w:firstLine="0" w:firstLineChars="0"/>
              <w:jc w:val="center"/>
              <w:textAlignment w:val="center"/>
              <w:rPr>
                <w:b w:val="0"/>
                <w:bCs/>
                <w:color w:val="000000"/>
                <w:sz w:val="21"/>
                <w:szCs w:val="21"/>
                <w:lang w:bidi="ar"/>
              </w:rPr>
            </w:pPr>
            <w:r>
              <w:rPr>
                <w:bCs/>
                <w:color w:val="000000"/>
                <w:sz w:val="21"/>
                <w:szCs w:val="21"/>
                <w:lang w:bidi="ar"/>
              </w:rPr>
              <w:t>1.054</w:t>
            </w:r>
          </w:p>
        </w:tc>
        <w:tc>
          <w:tcPr>
            <w:tcW w:w="2191" w:type="dxa"/>
            <w:tcBorders>
              <w:top w:val="nil"/>
              <w:left w:val="nil"/>
              <w:bottom w:val="nil"/>
              <w:right w:val="nil"/>
            </w:tcBorders>
            <w:tcMar>
              <w:top w:w="-1" w:type="dxa"/>
              <w:left w:w="-1" w:type="dxa"/>
              <w:bottom w:w="-1" w:type="dxa"/>
              <w:right w:w="-1" w:type="dxa"/>
            </w:tcMar>
            <w:vAlign w:val="center"/>
          </w:tcPr>
          <w:p w14:paraId="58129D7C">
            <w:pPr>
              <w:keepNext/>
              <w:widowControl/>
              <w:snapToGrid w:val="0"/>
              <w:spacing w:line="240" w:lineRule="auto"/>
              <w:ind w:firstLine="0" w:firstLineChars="0"/>
              <w:jc w:val="center"/>
              <w:textAlignment w:val="center"/>
              <w:rPr>
                <w:b w:val="0"/>
                <w:bCs/>
                <w:color w:val="000000"/>
                <w:sz w:val="21"/>
                <w:szCs w:val="21"/>
                <w:lang w:bidi="ar"/>
              </w:rPr>
            </w:pPr>
            <w:r>
              <w:rPr>
                <w:bCs/>
                <w:color w:val="000000"/>
                <w:sz w:val="21"/>
                <w:szCs w:val="21"/>
                <w:lang w:bidi="ar"/>
              </w:rPr>
              <w:t>505.08</w:t>
            </w:r>
          </w:p>
        </w:tc>
        <w:tc>
          <w:tcPr>
            <w:tcW w:w="2072" w:type="dxa"/>
            <w:tcBorders>
              <w:top w:val="nil"/>
              <w:left w:val="nil"/>
              <w:bottom w:val="nil"/>
              <w:right w:val="nil"/>
            </w:tcBorders>
            <w:tcMar>
              <w:top w:w="-1" w:type="dxa"/>
              <w:left w:w="-1" w:type="dxa"/>
              <w:bottom w:w="-1" w:type="dxa"/>
              <w:right w:w="-1" w:type="dxa"/>
            </w:tcMar>
            <w:vAlign w:val="center"/>
          </w:tcPr>
          <w:p w14:paraId="1545DC3C">
            <w:pPr>
              <w:keepNext/>
              <w:widowControl/>
              <w:snapToGrid w:val="0"/>
              <w:spacing w:line="240" w:lineRule="auto"/>
              <w:ind w:firstLine="0" w:firstLineChars="0"/>
              <w:jc w:val="center"/>
              <w:textAlignment w:val="center"/>
              <w:rPr>
                <w:b w:val="0"/>
                <w:bCs/>
                <w:color w:val="000000"/>
                <w:sz w:val="21"/>
                <w:szCs w:val="21"/>
                <w:lang w:bidi="ar"/>
              </w:rPr>
            </w:pPr>
            <w:r>
              <w:rPr>
                <w:bCs/>
                <w:color w:val="000000"/>
                <w:sz w:val="21"/>
                <w:szCs w:val="21"/>
                <w:lang w:bidi="ar"/>
              </w:rPr>
              <w:t>281.72</w:t>
            </w:r>
          </w:p>
        </w:tc>
        <w:tc>
          <w:tcPr>
            <w:tcW w:w="2080" w:type="dxa"/>
            <w:tcBorders>
              <w:top w:val="nil"/>
              <w:left w:val="nil"/>
              <w:bottom w:val="nil"/>
              <w:right w:val="nil"/>
            </w:tcBorders>
            <w:tcMar>
              <w:top w:w="-1" w:type="dxa"/>
              <w:left w:w="-1" w:type="dxa"/>
              <w:bottom w:w="-1" w:type="dxa"/>
              <w:right w:w="-1" w:type="dxa"/>
            </w:tcMar>
            <w:vAlign w:val="center"/>
          </w:tcPr>
          <w:p w14:paraId="0CF33EFF">
            <w:pPr>
              <w:keepNext/>
              <w:widowControl/>
              <w:snapToGrid w:val="0"/>
              <w:spacing w:line="240" w:lineRule="auto"/>
              <w:ind w:firstLine="0" w:firstLineChars="0"/>
              <w:jc w:val="center"/>
              <w:textAlignment w:val="center"/>
              <w:rPr>
                <w:b w:val="0"/>
                <w:bCs/>
                <w:color w:val="000000"/>
                <w:sz w:val="21"/>
                <w:szCs w:val="21"/>
                <w:lang w:bidi="ar"/>
              </w:rPr>
            </w:pPr>
            <w:r>
              <w:rPr>
                <w:bCs/>
                <w:color w:val="000000"/>
                <w:sz w:val="21"/>
                <w:szCs w:val="21"/>
                <w:lang w:bidi="ar"/>
              </w:rPr>
              <w:t>0.9573</w:t>
            </w:r>
          </w:p>
        </w:tc>
      </w:tr>
      <w:tr w14:paraId="398D5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rHeight w:val="0" w:hRule="atLeast"/>
        </w:trPr>
        <w:tc>
          <w:tcPr>
            <w:tcW w:w="821" w:type="dxa"/>
            <w:tcBorders>
              <w:top w:val="nil"/>
              <w:left w:val="nil"/>
              <w:bottom w:val="nil"/>
              <w:right w:val="nil"/>
            </w:tcBorders>
            <w:tcMar>
              <w:top w:w="-1" w:type="dxa"/>
              <w:left w:w="-1" w:type="dxa"/>
              <w:bottom w:w="-1" w:type="dxa"/>
              <w:right w:w="-1" w:type="dxa"/>
            </w:tcMar>
            <w:vAlign w:val="center"/>
          </w:tcPr>
          <w:p w14:paraId="72784FC0">
            <w:pPr>
              <w:keepNext/>
              <w:snapToGrid w:val="0"/>
              <w:spacing w:line="240" w:lineRule="auto"/>
              <w:ind w:firstLine="0" w:firstLineChars="0"/>
              <w:jc w:val="center"/>
              <w:rPr>
                <w:b w:val="0"/>
                <w:bCs/>
                <w:color w:val="000000"/>
                <w:sz w:val="21"/>
                <w:szCs w:val="21"/>
              </w:rPr>
            </w:pPr>
            <w:r>
              <w:rPr>
                <w:bCs/>
                <w:color w:val="000000"/>
                <w:sz w:val="21"/>
                <w:szCs w:val="21"/>
              </w:rPr>
              <w:t>3→1</w:t>
            </w:r>
          </w:p>
        </w:tc>
        <w:tc>
          <w:tcPr>
            <w:tcW w:w="1364" w:type="dxa"/>
            <w:tcBorders>
              <w:top w:val="nil"/>
              <w:left w:val="nil"/>
              <w:bottom w:val="nil"/>
              <w:right w:val="nil"/>
            </w:tcBorders>
            <w:tcMar>
              <w:top w:w="-1" w:type="dxa"/>
              <w:left w:w="-1" w:type="dxa"/>
              <w:bottom w:w="-1" w:type="dxa"/>
              <w:right w:w="-1" w:type="dxa"/>
            </w:tcMar>
            <w:vAlign w:val="center"/>
          </w:tcPr>
          <w:p w14:paraId="6A1DBFF4">
            <w:pPr>
              <w:keepNext/>
              <w:widowControl/>
              <w:snapToGrid w:val="0"/>
              <w:spacing w:line="240" w:lineRule="auto"/>
              <w:ind w:firstLine="0" w:firstLineChars="0"/>
              <w:jc w:val="center"/>
              <w:textAlignment w:val="center"/>
              <w:rPr>
                <w:b w:val="0"/>
                <w:bCs/>
                <w:color w:val="000000"/>
                <w:sz w:val="21"/>
                <w:szCs w:val="21"/>
                <w:lang w:bidi="ar"/>
              </w:rPr>
            </w:pPr>
            <w:r>
              <w:rPr>
                <w:bCs/>
                <w:color w:val="000000"/>
                <w:sz w:val="21"/>
                <w:szCs w:val="21"/>
                <w:lang w:bidi="ar"/>
              </w:rPr>
              <w:t>1.146</w:t>
            </w:r>
          </w:p>
        </w:tc>
        <w:tc>
          <w:tcPr>
            <w:tcW w:w="2191" w:type="dxa"/>
            <w:tcBorders>
              <w:top w:val="nil"/>
              <w:left w:val="nil"/>
              <w:bottom w:val="nil"/>
              <w:right w:val="nil"/>
            </w:tcBorders>
            <w:tcMar>
              <w:top w:w="-1" w:type="dxa"/>
              <w:left w:w="-1" w:type="dxa"/>
              <w:bottom w:w="-1" w:type="dxa"/>
              <w:right w:w="-1" w:type="dxa"/>
            </w:tcMar>
            <w:vAlign w:val="center"/>
          </w:tcPr>
          <w:p w14:paraId="01E8ED85">
            <w:pPr>
              <w:keepNext/>
              <w:widowControl/>
              <w:snapToGrid w:val="0"/>
              <w:spacing w:line="240" w:lineRule="auto"/>
              <w:ind w:firstLine="0" w:firstLineChars="0"/>
              <w:jc w:val="center"/>
              <w:textAlignment w:val="center"/>
              <w:rPr>
                <w:b w:val="0"/>
                <w:bCs/>
                <w:color w:val="000000"/>
                <w:sz w:val="21"/>
                <w:szCs w:val="21"/>
                <w:lang w:bidi="ar"/>
              </w:rPr>
            </w:pPr>
            <w:r>
              <w:rPr>
                <w:bCs/>
                <w:color w:val="000000"/>
                <w:sz w:val="21"/>
                <w:szCs w:val="21"/>
                <w:lang w:bidi="ar"/>
              </w:rPr>
              <w:t>34.62</w:t>
            </w:r>
          </w:p>
        </w:tc>
        <w:tc>
          <w:tcPr>
            <w:tcW w:w="2072" w:type="dxa"/>
            <w:tcBorders>
              <w:top w:val="nil"/>
              <w:left w:val="nil"/>
              <w:bottom w:val="nil"/>
              <w:right w:val="nil"/>
            </w:tcBorders>
            <w:tcMar>
              <w:top w:w="-1" w:type="dxa"/>
              <w:left w:w="-1" w:type="dxa"/>
              <w:bottom w:w="-1" w:type="dxa"/>
              <w:right w:w="-1" w:type="dxa"/>
            </w:tcMar>
            <w:vAlign w:val="center"/>
          </w:tcPr>
          <w:p w14:paraId="6F0B1DAA">
            <w:pPr>
              <w:keepNext/>
              <w:widowControl/>
              <w:snapToGrid w:val="0"/>
              <w:spacing w:line="240" w:lineRule="auto"/>
              <w:ind w:firstLine="0" w:firstLineChars="0"/>
              <w:jc w:val="center"/>
              <w:textAlignment w:val="center"/>
              <w:rPr>
                <w:b w:val="0"/>
                <w:bCs/>
                <w:color w:val="000000"/>
                <w:sz w:val="21"/>
                <w:szCs w:val="21"/>
                <w:lang w:bidi="ar"/>
              </w:rPr>
            </w:pPr>
            <w:r>
              <w:rPr>
                <w:bCs/>
                <w:color w:val="000000"/>
                <w:sz w:val="21"/>
                <w:szCs w:val="21"/>
                <w:lang w:bidi="ar"/>
              </w:rPr>
              <w:t>16.39</w:t>
            </w:r>
          </w:p>
        </w:tc>
        <w:tc>
          <w:tcPr>
            <w:tcW w:w="2080" w:type="dxa"/>
            <w:tcBorders>
              <w:top w:val="nil"/>
              <w:left w:val="nil"/>
              <w:bottom w:val="nil"/>
              <w:right w:val="nil"/>
            </w:tcBorders>
            <w:tcMar>
              <w:top w:w="-1" w:type="dxa"/>
              <w:left w:w="-1" w:type="dxa"/>
              <w:bottom w:w="-1" w:type="dxa"/>
              <w:right w:w="-1" w:type="dxa"/>
            </w:tcMar>
            <w:vAlign w:val="center"/>
          </w:tcPr>
          <w:p w14:paraId="5DE1BBAB">
            <w:pPr>
              <w:keepNext/>
              <w:widowControl/>
              <w:snapToGrid w:val="0"/>
              <w:spacing w:line="240" w:lineRule="auto"/>
              <w:ind w:firstLine="0" w:firstLineChars="0"/>
              <w:jc w:val="center"/>
              <w:textAlignment w:val="center"/>
              <w:rPr>
                <w:b w:val="0"/>
                <w:bCs/>
                <w:color w:val="000000"/>
                <w:sz w:val="21"/>
                <w:szCs w:val="21"/>
                <w:lang w:bidi="ar"/>
              </w:rPr>
            </w:pPr>
            <w:r>
              <w:rPr>
                <w:bCs/>
                <w:color w:val="000000"/>
                <w:sz w:val="21"/>
                <w:szCs w:val="21"/>
                <w:lang w:bidi="ar"/>
              </w:rPr>
              <w:t>0.9472</w:t>
            </w:r>
          </w:p>
        </w:tc>
      </w:tr>
      <w:tr w14:paraId="444A0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rHeight w:val="0" w:hRule="atLeast"/>
        </w:trPr>
        <w:tc>
          <w:tcPr>
            <w:tcW w:w="821" w:type="dxa"/>
            <w:tcBorders>
              <w:top w:val="nil"/>
              <w:left w:val="nil"/>
              <w:bottom w:val="nil"/>
              <w:right w:val="nil"/>
            </w:tcBorders>
            <w:tcMar>
              <w:top w:w="-1" w:type="dxa"/>
              <w:left w:w="-1" w:type="dxa"/>
              <w:bottom w:w="-1" w:type="dxa"/>
              <w:right w:w="-1" w:type="dxa"/>
            </w:tcMar>
            <w:vAlign w:val="center"/>
          </w:tcPr>
          <w:p w14:paraId="04659487">
            <w:pPr>
              <w:keepNext/>
              <w:snapToGrid w:val="0"/>
              <w:spacing w:line="240" w:lineRule="auto"/>
              <w:ind w:firstLine="0" w:firstLineChars="0"/>
              <w:jc w:val="center"/>
              <w:rPr>
                <w:b w:val="0"/>
                <w:bCs/>
                <w:color w:val="000000"/>
                <w:sz w:val="21"/>
                <w:szCs w:val="21"/>
              </w:rPr>
            </w:pPr>
            <w:r>
              <w:rPr>
                <w:bCs/>
                <w:color w:val="000000"/>
                <w:sz w:val="21"/>
                <w:szCs w:val="21"/>
              </w:rPr>
              <w:t>3→2</w:t>
            </w:r>
          </w:p>
        </w:tc>
        <w:tc>
          <w:tcPr>
            <w:tcW w:w="1364" w:type="dxa"/>
            <w:tcBorders>
              <w:top w:val="nil"/>
              <w:left w:val="nil"/>
              <w:bottom w:val="nil"/>
              <w:right w:val="nil"/>
            </w:tcBorders>
            <w:tcMar>
              <w:top w:w="-1" w:type="dxa"/>
              <w:left w:w="-1" w:type="dxa"/>
              <w:bottom w:w="-1" w:type="dxa"/>
              <w:right w:w="-1" w:type="dxa"/>
            </w:tcMar>
            <w:vAlign w:val="center"/>
          </w:tcPr>
          <w:p w14:paraId="0EB6D4C9">
            <w:pPr>
              <w:keepNext/>
              <w:widowControl/>
              <w:snapToGrid w:val="0"/>
              <w:spacing w:line="240" w:lineRule="auto"/>
              <w:ind w:firstLine="0" w:firstLineChars="0"/>
              <w:jc w:val="center"/>
              <w:textAlignment w:val="center"/>
              <w:rPr>
                <w:b w:val="0"/>
                <w:bCs/>
                <w:color w:val="000000"/>
                <w:sz w:val="21"/>
                <w:szCs w:val="21"/>
                <w:lang w:bidi="ar"/>
              </w:rPr>
            </w:pPr>
            <w:r>
              <w:rPr>
                <w:bCs/>
                <w:color w:val="000000"/>
                <w:sz w:val="21"/>
                <w:szCs w:val="21"/>
                <w:lang w:bidi="ar"/>
              </w:rPr>
              <w:t>1.076</w:t>
            </w:r>
          </w:p>
        </w:tc>
        <w:tc>
          <w:tcPr>
            <w:tcW w:w="2191" w:type="dxa"/>
            <w:tcBorders>
              <w:top w:val="nil"/>
              <w:left w:val="nil"/>
              <w:bottom w:val="nil"/>
              <w:right w:val="nil"/>
            </w:tcBorders>
            <w:tcMar>
              <w:top w:w="-1" w:type="dxa"/>
              <w:left w:w="-1" w:type="dxa"/>
              <w:bottom w:w="-1" w:type="dxa"/>
              <w:right w:w="-1" w:type="dxa"/>
            </w:tcMar>
            <w:vAlign w:val="center"/>
          </w:tcPr>
          <w:p w14:paraId="3EB7BA3D">
            <w:pPr>
              <w:keepNext/>
              <w:widowControl/>
              <w:snapToGrid w:val="0"/>
              <w:spacing w:line="240" w:lineRule="auto"/>
              <w:ind w:firstLine="0" w:firstLineChars="0"/>
              <w:jc w:val="center"/>
              <w:textAlignment w:val="center"/>
              <w:rPr>
                <w:b w:val="0"/>
                <w:bCs/>
                <w:color w:val="000000"/>
                <w:sz w:val="21"/>
                <w:szCs w:val="21"/>
                <w:lang w:bidi="ar"/>
              </w:rPr>
            </w:pPr>
            <w:r>
              <w:rPr>
                <w:bCs/>
                <w:color w:val="000000"/>
                <w:sz w:val="21"/>
                <w:szCs w:val="21"/>
                <w:lang w:bidi="ar"/>
              </w:rPr>
              <w:t>102.68</w:t>
            </w:r>
          </w:p>
        </w:tc>
        <w:tc>
          <w:tcPr>
            <w:tcW w:w="2072" w:type="dxa"/>
            <w:tcBorders>
              <w:top w:val="nil"/>
              <w:left w:val="nil"/>
              <w:bottom w:val="nil"/>
              <w:right w:val="nil"/>
            </w:tcBorders>
            <w:tcMar>
              <w:top w:w="-1" w:type="dxa"/>
              <w:left w:w="-1" w:type="dxa"/>
              <w:bottom w:w="-1" w:type="dxa"/>
              <w:right w:w="-1" w:type="dxa"/>
            </w:tcMar>
            <w:vAlign w:val="center"/>
          </w:tcPr>
          <w:p w14:paraId="2BA7A712">
            <w:pPr>
              <w:keepNext/>
              <w:widowControl/>
              <w:snapToGrid w:val="0"/>
              <w:spacing w:line="240" w:lineRule="auto"/>
              <w:ind w:firstLine="0" w:firstLineChars="0"/>
              <w:jc w:val="center"/>
              <w:textAlignment w:val="center"/>
              <w:rPr>
                <w:b w:val="0"/>
                <w:bCs/>
                <w:color w:val="000000"/>
                <w:sz w:val="21"/>
                <w:szCs w:val="21"/>
                <w:lang w:bidi="ar"/>
              </w:rPr>
            </w:pPr>
            <w:r>
              <w:rPr>
                <w:bCs/>
                <w:color w:val="000000"/>
                <w:sz w:val="21"/>
                <w:szCs w:val="21"/>
                <w:lang w:bidi="ar"/>
              </w:rPr>
              <w:t>48.39</w:t>
            </w:r>
          </w:p>
        </w:tc>
        <w:tc>
          <w:tcPr>
            <w:tcW w:w="2080" w:type="dxa"/>
            <w:tcBorders>
              <w:top w:val="nil"/>
              <w:left w:val="nil"/>
              <w:bottom w:val="nil"/>
              <w:right w:val="nil"/>
            </w:tcBorders>
            <w:tcMar>
              <w:top w:w="-1" w:type="dxa"/>
              <w:left w:w="-1" w:type="dxa"/>
              <w:bottom w:w="-1" w:type="dxa"/>
              <w:right w:w="-1" w:type="dxa"/>
            </w:tcMar>
            <w:vAlign w:val="center"/>
          </w:tcPr>
          <w:p w14:paraId="6E808F0B">
            <w:pPr>
              <w:keepNext/>
              <w:widowControl/>
              <w:snapToGrid w:val="0"/>
              <w:spacing w:line="240" w:lineRule="auto"/>
              <w:ind w:firstLine="0" w:firstLineChars="0"/>
              <w:jc w:val="center"/>
              <w:textAlignment w:val="center"/>
              <w:rPr>
                <w:b w:val="0"/>
                <w:bCs/>
                <w:color w:val="000000"/>
                <w:sz w:val="21"/>
                <w:szCs w:val="21"/>
                <w:lang w:bidi="ar"/>
              </w:rPr>
            </w:pPr>
            <w:r>
              <w:rPr>
                <w:bCs/>
                <w:color w:val="000000"/>
                <w:sz w:val="21"/>
                <w:szCs w:val="21"/>
                <w:lang w:bidi="ar"/>
              </w:rPr>
              <w:t>0.9643</w:t>
            </w:r>
          </w:p>
        </w:tc>
      </w:tr>
      <w:tr w14:paraId="049E6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rHeight w:val="0" w:hRule="atLeast"/>
        </w:trPr>
        <w:tc>
          <w:tcPr>
            <w:tcW w:w="821" w:type="dxa"/>
            <w:tcBorders>
              <w:top w:val="nil"/>
              <w:left w:val="nil"/>
              <w:bottom w:val="nil"/>
              <w:right w:val="nil"/>
            </w:tcBorders>
            <w:tcMar>
              <w:top w:w="-1" w:type="dxa"/>
              <w:left w:w="-1" w:type="dxa"/>
              <w:bottom w:w="-1" w:type="dxa"/>
              <w:right w:w="-1" w:type="dxa"/>
            </w:tcMar>
            <w:vAlign w:val="center"/>
          </w:tcPr>
          <w:p w14:paraId="65EAB58B">
            <w:pPr>
              <w:keepNext/>
              <w:snapToGrid w:val="0"/>
              <w:spacing w:line="240" w:lineRule="auto"/>
              <w:ind w:firstLine="0" w:firstLineChars="0"/>
              <w:jc w:val="center"/>
              <w:rPr>
                <w:b w:val="0"/>
                <w:bCs/>
                <w:color w:val="000000"/>
                <w:sz w:val="21"/>
                <w:szCs w:val="21"/>
              </w:rPr>
            </w:pPr>
            <w:r>
              <w:rPr>
                <w:bCs/>
                <w:color w:val="000000"/>
                <w:sz w:val="21"/>
                <w:szCs w:val="21"/>
              </w:rPr>
              <w:t>1+2→3</w:t>
            </w:r>
          </w:p>
        </w:tc>
        <w:tc>
          <w:tcPr>
            <w:tcW w:w="1364" w:type="dxa"/>
            <w:tcBorders>
              <w:top w:val="nil"/>
              <w:left w:val="nil"/>
              <w:bottom w:val="nil"/>
              <w:right w:val="nil"/>
            </w:tcBorders>
            <w:tcMar>
              <w:top w:w="-1" w:type="dxa"/>
              <w:left w:w="-1" w:type="dxa"/>
              <w:bottom w:w="-1" w:type="dxa"/>
              <w:right w:w="-1" w:type="dxa"/>
            </w:tcMar>
            <w:vAlign w:val="center"/>
          </w:tcPr>
          <w:p w14:paraId="7929A0A6">
            <w:pPr>
              <w:keepNext/>
              <w:widowControl/>
              <w:snapToGrid w:val="0"/>
              <w:spacing w:line="240" w:lineRule="auto"/>
              <w:ind w:firstLine="0" w:firstLineChars="0"/>
              <w:jc w:val="center"/>
              <w:textAlignment w:val="center"/>
              <w:rPr>
                <w:b w:val="0"/>
                <w:bCs/>
                <w:color w:val="000000"/>
                <w:sz w:val="21"/>
                <w:szCs w:val="21"/>
                <w:lang w:bidi="ar"/>
              </w:rPr>
            </w:pPr>
            <w:r>
              <w:rPr>
                <w:bCs/>
                <w:color w:val="000000"/>
                <w:sz w:val="21"/>
                <w:szCs w:val="21"/>
                <w:lang w:bidi="ar"/>
              </w:rPr>
              <w:t>1.033</w:t>
            </w:r>
          </w:p>
        </w:tc>
        <w:tc>
          <w:tcPr>
            <w:tcW w:w="2191" w:type="dxa"/>
            <w:tcBorders>
              <w:top w:val="nil"/>
              <w:left w:val="nil"/>
              <w:bottom w:val="nil"/>
              <w:right w:val="nil"/>
            </w:tcBorders>
            <w:tcMar>
              <w:top w:w="-1" w:type="dxa"/>
              <w:left w:w="-1" w:type="dxa"/>
              <w:bottom w:w="-1" w:type="dxa"/>
              <w:right w:w="-1" w:type="dxa"/>
            </w:tcMar>
            <w:vAlign w:val="center"/>
          </w:tcPr>
          <w:p w14:paraId="4AB2E073">
            <w:pPr>
              <w:keepNext/>
              <w:widowControl/>
              <w:snapToGrid w:val="0"/>
              <w:spacing w:line="240" w:lineRule="auto"/>
              <w:ind w:firstLine="0" w:firstLineChars="0"/>
              <w:jc w:val="center"/>
              <w:textAlignment w:val="center"/>
              <w:rPr>
                <w:b w:val="0"/>
                <w:bCs/>
                <w:color w:val="000000"/>
                <w:sz w:val="21"/>
                <w:szCs w:val="21"/>
                <w:lang w:bidi="ar"/>
              </w:rPr>
            </w:pPr>
            <w:r>
              <w:rPr>
                <w:bCs/>
                <w:color w:val="000000"/>
                <w:sz w:val="21"/>
                <w:szCs w:val="21"/>
                <w:lang w:bidi="ar"/>
              </w:rPr>
              <w:t>487.44</w:t>
            </w:r>
          </w:p>
        </w:tc>
        <w:tc>
          <w:tcPr>
            <w:tcW w:w="2072" w:type="dxa"/>
            <w:tcBorders>
              <w:top w:val="nil"/>
              <w:left w:val="nil"/>
              <w:bottom w:val="nil"/>
              <w:right w:val="nil"/>
            </w:tcBorders>
            <w:tcMar>
              <w:top w:w="-1" w:type="dxa"/>
              <w:left w:w="-1" w:type="dxa"/>
              <w:bottom w:w="-1" w:type="dxa"/>
              <w:right w:w="-1" w:type="dxa"/>
            </w:tcMar>
            <w:vAlign w:val="center"/>
          </w:tcPr>
          <w:p w14:paraId="00645824">
            <w:pPr>
              <w:keepNext/>
              <w:widowControl/>
              <w:snapToGrid w:val="0"/>
              <w:spacing w:line="240" w:lineRule="auto"/>
              <w:ind w:firstLine="0" w:firstLineChars="0"/>
              <w:jc w:val="center"/>
              <w:textAlignment w:val="center"/>
              <w:rPr>
                <w:b w:val="0"/>
                <w:bCs/>
                <w:color w:val="000000"/>
                <w:sz w:val="21"/>
                <w:szCs w:val="21"/>
                <w:lang w:bidi="ar"/>
              </w:rPr>
            </w:pPr>
            <w:r>
              <w:rPr>
                <w:bCs/>
                <w:color w:val="000000"/>
                <w:sz w:val="21"/>
                <w:szCs w:val="21"/>
                <w:lang w:bidi="ar"/>
              </w:rPr>
              <w:t>258.77</w:t>
            </w:r>
          </w:p>
        </w:tc>
        <w:tc>
          <w:tcPr>
            <w:tcW w:w="2080" w:type="dxa"/>
            <w:tcBorders>
              <w:top w:val="nil"/>
              <w:left w:val="nil"/>
              <w:bottom w:val="nil"/>
              <w:right w:val="nil"/>
            </w:tcBorders>
            <w:tcMar>
              <w:top w:w="-1" w:type="dxa"/>
              <w:left w:w="-1" w:type="dxa"/>
              <w:bottom w:w="-1" w:type="dxa"/>
              <w:right w:w="-1" w:type="dxa"/>
            </w:tcMar>
            <w:vAlign w:val="center"/>
          </w:tcPr>
          <w:p w14:paraId="0B9B93EC">
            <w:pPr>
              <w:keepNext/>
              <w:widowControl/>
              <w:snapToGrid w:val="0"/>
              <w:spacing w:line="240" w:lineRule="auto"/>
              <w:ind w:firstLine="0" w:firstLineChars="0"/>
              <w:jc w:val="center"/>
              <w:textAlignment w:val="center"/>
              <w:rPr>
                <w:b w:val="0"/>
                <w:bCs/>
                <w:color w:val="000000"/>
                <w:sz w:val="21"/>
                <w:szCs w:val="21"/>
                <w:lang w:bidi="ar"/>
              </w:rPr>
            </w:pPr>
            <w:r>
              <w:rPr>
                <w:bCs/>
                <w:color w:val="000000"/>
                <w:sz w:val="21"/>
                <w:szCs w:val="21"/>
                <w:lang w:bidi="ar"/>
              </w:rPr>
              <w:t>0.9587</w:t>
            </w:r>
          </w:p>
        </w:tc>
      </w:tr>
      <w:tr w14:paraId="3A587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rHeight w:val="0" w:hRule="atLeast"/>
        </w:trPr>
        <w:tc>
          <w:tcPr>
            <w:tcW w:w="821" w:type="dxa"/>
            <w:tcBorders>
              <w:top w:val="nil"/>
              <w:left w:val="nil"/>
              <w:bottom w:val="nil"/>
              <w:right w:val="nil"/>
            </w:tcBorders>
            <w:tcMar>
              <w:top w:w="-1" w:type="dxa"/>
              <w:left w:w="-1" w:type="dxa"/>
              <w:bottom w:w="-1" w:type="dxa"/>
              <w:right w:w="-1" w:type="dxa"/>
            </w:tcMar>
            <w:vAlign w:val="center"/>
          </w:tcPr>
          <w:p w14:paraId="6FA4CBC7">
            <w:pPr>
              <w:keepNext/>
              <w:snapToGrid w:val="0"/>
              <w:spacing w:line="240" w:lineRule="auto"/>
              <w:ind w:firstLine="0" w:firstLineChars="0"/>
              <w:jc w:val="center"/>
              <w:rPr>
                <w:b w:val="0"/>
                <w:bCs/>
                <w:color w:val="000000"/>
                <w:sz w:val="21"/>
                <w:szCs w:val="21"/>
              </w:rPr>
            </w:pPr>
            <w:r>
              <w:rPr>
                <w:bCs/>
                <w:color w:val="000000"/>
                <w:sz w:val="21"/>
                <w:szCs w:val="21"/>
              </w:rPr>
              <w:t>1+3→2</w:t>
            </w:r>
          </w:p>
        </w:tc>
        <w:tc>
          <w:tcPr>
            <w:tcW w:w="1364" w:type="dxa"/>
            <w:tcBorders>
              <w:top w:val="nil"/>
              <w:left w:val="nil"/>
              <w:bottom w:val="nil"/>
              <w:right w:val="nil"/>
            </w:tcBorders>
            <w:tcMar>
              <w:top w:w="-1" w:type="dxa"/>
              <w:left w:w="-1" w:type="dxa"/>
              <w:bottom w:w="-1" w:type="dxa"/>
              <w:right w:w="-1" w:type="dxa"/>
            </w:tcMar>
            <w:vAlign w:val="center"/>
          </w:tcPr>
          <w:p w14:paraId="35954E65">
            <w:pPr>
              <w:keepNext/>
              <w:widowControl/>
              <w:snapToGrid w:val="0"/>
              <w:spacing w:line="240" w:lineRule="auto"/>
              <w:ind w:firstLine="0" w:firstLineChars="0"/>
              <w:jc w:val="center"/>
              <w:textAlignment w:val="center"/>
              <w:rPr>
                <w:b w:val="0"/>
                <w:bCs/>
                <w:color w:val="000000"/>
                <w:sz w:val="21"/>
                <w:szCs w:val="21"/>
                <w:lang w:bidi="ar"/>
              </w:rPr>
            </w:pPr>
            <w:r>
              <w:rPr>
                <w:bCs/>
                <w:color w:val="000000"/>
                <w:sz w:val="21"/>
                <w:szCs w:val="21"/>
                <w:lang w:bidi="ar"/>
              </w:rPr>
              <w:t>1.17</w:t>
            </w:r>
          </w:p>
        </w:tc>
        <w:tc>
          <w:tcPr>
            <w:tcW w:w="2191" w:type="dxa"/>
            <w:tcBorders>
              <w:top w:val="nil"/>
              <w:left w:val="nil"/>
              <w:bottom w:val="nil"/>
              <w:right w:val="nil"/>
            </w:tcBorders>
            <w:tcMar>
              <w:top w:w="-1" w:type="dxa"/>
              <w:left w:w="-1" w:type="dxa"/>
              <w:bottom w:w="-1" w:type="dxa"/>
              <w:right w:w="-1" w:type="dxa"/>
            </w:tcMar>
            <w:vAlign w:val="center"/>
          </w:tcPr>
          <w:p w14:paraId="772BF2B2">
            <w:pPr>
              <w:keepNext/>
              <w:widowControl/>
              <w:snapToGrid w:val="0"/>
              <w:spacing w:line="240" w:lineRule="auto"/>
              <w:ind w:firstLine="0" w:firstLineChars="0"/>
              <w:jc w:val="center"/>
              <w:textAlignment w:val="center"/>
              <w:rPr>
                <w:b w:val="0"/>
                <w:bCs/>
                <w:color w:val="000000"/>
                <w:sz w:val="21"/>
                <w:szCs w:val="21"/>
                <w:lang w:bidi="ar"/>
              </w:rPr>
            </w:pPr>
            <w:r>
              <w:rPr>
                <w:bCs/>
                <w:color w:val="000000"/>
                <w:sz w:val="21"/>
                <w:szCs w:val="21"/>
                <w:lang w:bidi="ar"/>
              </w:rPr>
              <w:t>106.66</w:t>
            </w:r>
          </w:p>
        </w:tc>
        <w:tc>
          <w:tcPr>
            <w:tcW w:w="2072" w:type="dxa"/>
            <w:tcBorders>
              <w:top w:val="nil"/>
              <w:left w:val="nil"/>
              <w:bottom w:val="nil"/>
              <w:right w:val="nil"/>
            </w:tcBorders>
            <w:tcMar>
              <w:top w:w="-1" w:type="dxa"/>
              <w:left w:w="-1" w:type="dxa"/>
              <w:bottom w:w="-1" w:type="dxa"/>
              <w:right w:w="-1" w:type="dxa"/>
            </w:tcMar>
            <w:vAlign w:val="center"/>
          </w:tcPr>
          <w:p w14:paraId="63B0E52E">
            <w:pPr>
              <w:keepNext/>
              <w:widowControl/>
              <w:snapToGrid w:val="0"/>
              <w:spacing w:line="240" w:lineRule="auto"/>
              <w:ind w:firstLine="0" w:firstLineChars="0"/>
              <w:jc w:val="center"/>
              <w:textAlignment w:val="center"/>
              <w:rPr>
                <w:b w:val="0"/>
                <w:bCs/>
                <w:color w:val="000000"/>
                <w:sz w:val="21"/>
                <w:szCs w:val="21"/>
                <w:lang w:bidi="ar"/>
              </w:rPr>
            </w:pPr>
            <w:r>
              <w:rPr>
                <w:bCs/>
                <w:color w:val="000000"/>
                <w:sz w:val="21"/>
                <w:szCs w:val="21"/>
                <w:lang w:bidi="ar"/>
              </w:rPr>
              <w:t>48.05</w:t>
            </w:r>
          </w:p>
        </w:tc>
        <w:tc>
          <w:tcPr>
            <w:tcW w:w="2080" w:type="dxa"/>
            <w:tcBorders>
              <w:top w:val="nil"/>
              <w:left w:val="nil"/>
              <w:bottom w:val="nil"/>
              <w:right w:val="nil"/>
            </w:tcBorders>
            <w:tcMar>
              <w:top w:w="-1" w:type="dxa"/>
              <w:left w:w="-1" w:type="dxa"/>
              <w:bottom w:w="-1" w:type="dxa"/>
              <w:right w:w="-1" w:type="dxa"/>
            </w:tcMar>
            <w:vAlign w:val="center"/>
          </w:tcPr>
          <w:p w14:paraId="085A9C38">
            <w:pPr>
              <w:keepNext/>
              <w:widowControl/>
              <w:snapToGrid w:val="0"/>
              <w:spacing w:line="240" w:lineRule="auto"/>
              <w:ind w:firstLine="0" w:firstLineChars="0"/>
              <w:jc w:val="center"/>
              <w:textAlignment w:val="center"/>
              <w:rPr>
                <w:b w:val="0"/>
                <w:bCs/>
                <w:color w:val="000000"/>
                <w:sz w:val="21"/>
                <w:szCs w:val="21"/>
                <w:lang w:bidi="ar"/>
              </w:rPr>
            </w:pPr>
            <w:r>
              <w:rPr>
                <w:bCs/>
                <w:color w:val="000000"/>
                <w:sz w:val="21"/>
                <w:szCs w:val="21"/>
                <w:lang w:bidi="ar"/>
              </w:rPr>
              <w:t>0.9609</w:t>
            </w:r>
          </w:p>
        </w:tc>
      </w:tr>
      <w:tr w14:paraId="3B8BE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rHeight w:val="0" w:hRule="atLeast"/>
        </w:trPr>
        <w:tc>
          <w:tcPr>
            <w:tcW w:w="821" w:type="dxa"/>
            <w:tcBorders>
              <w:top w:val="nil"/>
              <w:left w:val="nil"/>
              <w:bottom w:val="nil"/>
              <w:right w:val="nil"/>
            </w:tcBorders>
            <w:tcMar>
              <w:top w:w="-1" w:type="dxa"/>
              <w:left w:w="-1" w:type="dxa"/>
              <w:bottom w:w="-1" w:type="dxa"/>
              <w:right w:w="-1" w:type="dxa"/>
            </w:tcMar>
            <w:vAlign w:val="center"/>
          </w:tcPr>
          <w:p w14:paraId="3FBEB889">
            <w:pPr>
              <w:keepNext/>
              <w:snapToGrid w:val="0"/>
              <w:spacing w:line="240" w:lineRule="auto"/>
              <w:ind w:firstLine="0" w:firstLineChars="0"/>
              <w:jc w:val="center"/>
              <w:rPr>
                <w:b w:val="0"/>
                <w:bCs/>
                <w:color w:val="000000"/>
                <w:sz w:val="21"/>
                <w:szCs w:val="21"/>
              </w:rPr>
            </w:pPr>
            <w:r>
              <w:rPr>
                <w:bCs/>
                <w:color w:val="000000"/>
                <w:sz w:val="21"/>
                <w:szCs w:val="21"/>
              </w:rPr>
              <w:t>2+3→1</w:t>
            </w:r>
          </w:p>
        </w:tc>
        <w:tc>
          <w:tcPr>
            <w:tcW w:w="1364" w:type="dxa"/>
            <w:tcBorders>
              <w:top w:val="nil"/>
              <w:left w:val="nil"/>
              <w:bottom w:val="nil"/>
              <w:right w:val="nil"/>
            </w:tcBorders>
            <w:tcMar>
              <w:top w:w="-1" w:type="dxa"/>
              <w:left w:w="-1" w:type="dxa"/>
              <w:bottom w:w="-1" w:type="dxa"/>
              <w:right w:w="-1" w:type="dxa"/>
            </w:tcMar>
            <w:vAlign w:val="center"/>
          </w:tcPr>
          <w:p w14:paraId="5249024E">
            <w:pPr>
              <w:keepNext/>
              <w:widowControl/>
              <w:snapToGrid w:val="0"/>
              <w:spacing w:line="240" w:lineRule="auto"/>
              <w:ind w:firstLine="0" w:firstLineChars="0"/>
              <w:jc w:val="center"/>
              <w:textAlignment w:val="center"/>
              <w:rPr>
                <w:b w:val="0"/>
                <w:bCs/>
                <w:color w:val="000000"/>
                <w:sz w:val="21"/>
                <w:szCs w:val="21"/>
                <w:lang w:bidi="ar"/>
              </w:rPr>
            </w:pPr>
            <w:r>
              <w:rPr>
                <w:bCs/>
                <w:color w:val="000000"/>
                <w:sz w:val="21"/>
                <w:szCs w:val="21"/>
                <w:lang w:bidi="ar"/>
              </w:rPr>
              <w:t>0.913</w:t>
            </w:r>
          </w:p>
        </w:tc>
        <w:tc>
          <w:tcPr>
            <w:tcW w:w="2191" w:type="dxa"/>
            <w:tcBorders>
              <w:top w:val="nil"/>
              <w:left w:val="nil"/>
              <w:bottom w:val="nil"/>
              <w:right w:val="nil"/>
            </w:tcBorders>
            <w:tcMar>
              <w:top w:w="-1" w:type="dxa"/>
              <w:left w:w="-1" w:type="dxa"/>
              <w:bottom w:w="-1" w:type="dxa"/>
              <w:right w:w="-1" w:type="dxa"/>
            </w:tcMar>
            <w:vAlign w:val="center"/>
          </w:tcPr>
          <w:p w14:paraId="5D6E7209">
            <w:pPr>
              <w:keepNext/>
              <w:widowControl/>
              <w:snapToGrid w:val="0"/>
              <w:spacing w:line="240" w:lineRule="auto"/>
              <w:ind w:firstLine="0" w:firstLineChars="0"/>
              <w:jc w:val="center"/>
              <w:textAlignment w:val="center"/>
              <w:rPr>
                <w:b w:val="0"/>
                <w:bCs/>
                <w:color w:val="000000"/>
                <w:sz w:val="21"/>
                <w:szCs w:val="21"/>
                <w:lang w:bidi="ar"/>
              </w:rPr>
            </w:pPr>
            <w:r>
              <w:rPr>
                <w:bCs/>
                <w:color w:val="000000"/>
                <w:sz w:val="21"/>
                <w:szCs w:val="21"/>
                <w:lang w:bidi="ar"/>
              </w:rPr>
              <w:t>32.49</w:t>
            </w:r>
          </w:p>
        </w:tc>
        <w:tc>
          <w:tcPr>
            <w:tcW w:w="2072" w:type="dxa"/>
            <w:tcBorders>
              <w:top w:val="nil"/>
              <w:left w:val="nil"/>
              <w:bottom w:val="nil"/>
              <w:right w:val="nil"/>
            </w:tcBorders>
            <w:tcMar>
              <w:top w:w="-1" w:type="dxa"/>
              <w:left w:w="-1" w:type="dxa"/>
              <w:bottom w:w="-1" w:type="dxa"/>
              <w:right w:w="-1" w:type="dxa"/>
            </w:tcMar>
            <w:vAlign w:val="center"/>
          </w:tcPr>
          <w:p w14:paraId="01D20F30">
            <w:pPr>
              <w:keepNext/>
              <w:widowControl/>
              <w:snapToGrid w:val="0"/>
              <w:spacing w:line="240" w:lineRule="auto"/>
              <w:ind w:firstLine="0" w:firstLineChars="0"/>
              <w:jc w:val="center"/>
              <w:textAlignment w:val="center"/>
              <w:rPr>
                <w:b w:val="0"/>
                <w:bCs/>
                <w:color w:val="000000"/>
                <w:sz w:val="21"/>
                <w:szCs w:val="21"/>
                <w:lang w:bidi="ar"/>
              </w:rPr>
            </w:pPr>
            <w:r>
              <w:rPr>
                <w:bCs/>
                <w:color w:val="000000"/>
                <w:sz w:val="21"/>
                <w:szCs w:val="21"/>
                <w:lang w:bidi="ar"/>
              </w:rPr>
              <w:t>20.3</w:t>
            </w:r>
          </w:p>
        </w:tc>
        <w:tc>
          <w:tcPr>
            <w:tcW w:w="2080" w:type="dxa"/>
            <w:tcBorders>
              <w:top w:val="nil"/>
              <w:left w:val="nil"/>
              <w:bottom w:val="nil"/>
              <w:right w:val="nil"/>
            </w:tcBorders>
            <w:tcMar>
              <w:top w:w="-1" w:type="dxa"/>
              <w:left w:w="-1" w:type="dxa"/>
              <w:bottom w:w="-1" w:type="dxa"/>
              <w:right w:w="-1" w:type="dxa"/>
            </w:tcMar>
            <w:vAlign w:val="center"/>
          </w:tcPr>
          <w:p w14:paraId="69161BF2">
            <w:pPr>
              <w:keepNext/>
              <w:widowControl/>
              <w:snapToGrid w:val="0"/>
              <w:spacing w:line="240" w:lineRule="auto"/>
              <w:ind w:firstLine="0" w:firstLineChars="0"/>
              <w:jc w:val="center"/>
              <w:textAlignment w:val="center"/>
              <w:rPr>
                <w:b w:val="0"/>
                <w:bCs/>
                <w:color w:val="000000"/>
                <w:sz w:val="21"/>
                <w:szCs w:val="21"/>
                <w:lang w:bidi="ar"/>
              </w:rPr>
            </w:pPr>
            <w:r>
              <w:rPr>
                <w:bCs/>
                <w:color w:val="000000"/>
                <w:sz w:val="21"/>
                <w:szCs w:val="21"/>
                <w:lang w:bidi="ar"/>
              </w:rPr>
              <w:t>0.9603</w:t>
            </w:r>
          </w:p>
        </w:tc>
      </w:tr>
      <w:tr w14:paraId="76295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rHeight w:val="0" w:hRule="atLeast"/>
        </w:trPr>
        <w:tc>
          <w:tcPr>
            <w:tcW w:w="821" w:type="dxa"/>
            <w:tcBorders>
              <w:top w:val="nil"/>
              <w:left w:val="nil"/>
              <w:bottom w:val="single" w:color="auto" w:sz="4" w:space="0"/>
              <w:right w:val="nil"/>
            </w:tcBorders>
            <w:tcMar>
              <w:top w:w="-1" w:type="dxa"/>
              <w:left w:w="-1" w:type="dxa"/>
              <w:bottom w:w="-1" w:type="dxa"/>
              <w:right w:w="-1" w:type="dxa"/>
            </w:tcMar>
            <w:vAlign w:val="center"/>
          </w:tcPr>
          <w:p w14:paraId="0A3BD632">
            <w:pPr>
              <w:keepNext/>
              <w:snapToGrid w:val="0"/>
              <w:spacing w:line="240" w:lineRule="auto"/>
              <w:ind w:firstLine="0" w:firstLineChars="0"/>
              <w:jc w:val="center"/>
              <w:rPr>
                <w:b w:val="0"/>
                <w:bCs/>
                <w:color w:val="000000"/>
                <w:sz w:val="21"/>
                <w:szCs w:val="21"/>
              </w:rPr>
            </w:pPr>
            <w:r>
              <w:rPr>
                <w:bCs/>
                <w:color w:val="000000"/>
                <w:sz w:val="21"/>
                <w:szCs w:val="21"/>
              </w:rPr>
              <w:t>平均</w:t>
            </w:r>
          </w:p>
        </w:tc>
        <w:tc>
          <w:tcPr>
            <w:tcW w:w="1364" w:type="dxa"/>
            <w:tcBorders>
              <w:top w:val="nil"/>
              <w:left w:val="nil"/>
              <w:bottom w:val="single" w:color="auto" w:sz="4" w:space="0"/>
              <w:right w:val="nil"/>
            </w:tcBorders>
            <w:tcMar>
              <w:top w:w="-1" w:type="dxa"/>
              <w:left w:w="-1" w:type="dxa"/>
              <w:bottom w:w="-1" w:type="dxa"/>
              <w:right w:w="-1" w:type="dxa"/>
            </w:tcMar>
            <w:vAlign w:val="center"/>
          </w:tcPr>
          <w:p w14:paraId="4F3CF72A">
            <w:pPr>
              <w:keepNext/>
              <w:widowControl/>
              <w:snapToGrid w:val="0"/>
              <w:spacing w:line="240" w:lineRule="auto"/>
              <w:ind w:firstLine="0" w:firstLineChars="0"/>
              <w:jc w:val="center"/>
              <w:textAlignment w:val="center"/>
              <w:rPr>
                <w:b w:val="0"/>
                <w:bCs/>
                <w:color w:val="000000"/>
                <w:sz w:val="21"/>
                <w:szCs w:val="21"/>
                <w:lang w:bidi="ar"/>
              </w:rPr>
            </w:pPr>
            <w:r>
              <w:rPr>
                <w:bCs/>
                <w:color w:val="000000"/>
                <w:sz w:val="21"/>
                <w:szCs w:val="21"/>
                <w:lang w:bidi="ar"/>
              </w:rPr>
              <w:t>-</w:t>
            </w:r>
          </w:p>
        </w:tc>
        <w:tc>
          <w:tcPr>
            <w:tcW w:w="2191" w:type="dxa"/>
            <w:tcBorders>
              <w:top w:val="nil"/>
              <w:left w:val="nil"/>
              <w:bottom w:val="single" w:color="auto" w:sz="4" w:space="0"/>
              <w:right w:val="nil"/>
            </w:tcBorders>
            <w:tcMar>
              <w:top w:w="-1" w:type="dxa"/>
              <w:left w:w="-1" w:type="dxa"/>
              <w:bottom w:w="-1" w:type="dxa"/>
              <w:right w:w="-1" w:type="dxa"/>
            </w:tcMar>
            <w:vAlign w:val="center"/>
          </w:tcPr>
          <w:p w14:paraId="7D2754C1">
            <w:pPr>
              <w:keepNext/>
              <w:widowControl/>
              <w:snapToGrid w:val="0"/>
              <w:spacing w:line="240" w:lineRule="auto"/>
              <w:ind w:firstLine="0" w:firstLineChars="0"/>
              <w:jc w:val="center"/>
              <w:textAlignment w:val="center"/>
              <w:rPr>
                <w:b w:val="0"/>
                <w:bCs/>
                <w:color w:val="000000"/>
                <w:sz w:val="21"/>
                <w:szCs w:val="21"/>
                <w:lang w:bidi="ar"/>
              </w:rPr>
            </w:pPr>
            <w:r>
              <w:rPr>
                <w:bCs/>
                <w:color w:val="000000"/>
                <w:sz w:val="21"/>
                <w:szCs w:val="21"/>
                <w:lang w:bidi="ar"/>
              </w:rPr>
              <w:t>208.51</w:t>
            </w:r>
          </w:p>
        </w:tc>
        <w:tc>
          <w:tcPr>
            <w:tcW w:w="2072" w:type="dxa"/>
            <w:tcBorders>
              <w:top w:val="nil"/>
              <w:left w:val="nil"/>
              <w:bottom w:val="single" w:color="auto" w:sz="4" w:space="0"/>
              <w:right w:val="nil"/>
            </w:tcBorders>
            <w:tcMar>
              <w:top w:w="-1" w:type="dxa"/>
              <w:left w:w="-1" w:type="dxa"/>
              <w:bottom w:w="-1" w:type="dxa"/>
              <w:right w:w="-1" w:type="dxa"/>
            </w:tcMar>
            <w:vAlign w:val="center"/>
          </w:tcPr>
          <w:p w14:paraId="3C1B9F6F">
            <w:pPr>
              <w:keepNext/>
              <w:widowControl/>
              <w:snapToGrid w:val="0"/>
              <w:spacing w:line="240" w:lineRule="auto"/>
              <w:ind w:firstLine="0" w:firstLineChars="0"/>
              <w:jc w:val="center"/>
              <w:textAlignment w:val="center"/>
              <w:rPr>
                <w:b w:val="0"/>
                <w:bCs/>
                <w:color w:val="000000"/>
                <w:sz w:val="21"/>
                <w:szCs w:val="21"/>
                <w:lang w:bidi="ar"/>
              </w:rPr>
            </w:pPr>
            <w:r>
              <w:rPr>
                <w:bCs/>
                <w:color w:val="000000"/>
                <w:sz w:val="21"/>
                <w:szCs w:val="21"/>
                <w:lang w:bidi="ar"/>
              </w:rPr>
              <w:t>109.7</w:t>
            </w:r>
          </w:p>
        </w:tc>
        <w:tc>
          <w:tcPr>
            <w:tcW w:w="2080" w:type="dxa"/>
            <w:tcBorders>
              <w:top w:val="nil"/>
              <w:left w:val="nil"/>
              <w:bottom w:val="single" w:color="auto" w:sz="4" w:space="0"/>
              <w:right w:val="nil"/>
            </w:tcBorders>
            <w:tcMar>
              <w:top w:w="-1" w:type="dxa"/>
              <w:left w:w="-1" w:type="dxa"/>
              <w:bottom w:w="-1" w:type="dxa"/>
              <w:right w:w="-1" w:type="dxa"/>
            </w:tcMar>
            <w:vAlign w:val="center"/>
          </w:tcPr>
          <w:p w14:paraId="2866BF5E">
            <w:pPr>
              <w:keepNext/>
              <w:widowControl/>
              <w:snapToGrid w:val="0"/>
              <w:spacing w:line="240" w:lineRule="auto"/>
              <w:ind w:firstLine="0" w:firstLineChars="0"/>
              <w:jc w:val="center"/>
              <w:textAlignment w:val="center"/>
              <w:rPr>
                <w:b w:val="0"/>
                <w:bCs/>
                <w:color w:val="000000"/>
                <w:sz w:val="21"/>
                <w:szCs w:val="21"/>
                <w:lang w:bidi="ar"/>
              </w:rPr>
            </w:pPr>
            <w:r>
              <w:rPr>
                <w:bCs/>
                <w:color w:val="000000"/>
                <w:sz w:val="21"/>
                <w:szCs w:val="21"/>
                <w:lang w:bidi="ar"/>
              </w:rPr>
              <w:t>0.9597</w:t>
            </w:r>
          </w:p>
        </w:tc>
      </w:tr>
    </w:tbl>
    <w:p w14:paraId="79FB6229">
      <w:pPr>
        <w:pStyle w:val="8"/>
      </w:pPr>
      <w:r>
        <w:rPr>
          <w:rFonts w:ascii="Times New Roman" w:hAnsi="Times New Roman"/>
        </w:rPr>
        <w:t>表4-6跨工况后处理校正后性能</w:t>
      </w:r>
    </w:p>
    <w:p w14:paraId="04325113">
      <w:pPr>
        <w:ind w:firstLine="480"/>
        <w:rPr>
          <w:rFonts w:hint="eastAsia"/>
        </w:rPr>
      </w:pPr>
      <w:r>
        <w:rPr>
          <w:rFonts w:hint="eastAsia"/>
        </w:rPr>
        <w:t>校正后，全部任务的PHM Score都上了0.94，整体预测可靠性撑住了。多源域训练的三个任务（1+2→3、1+3→2、2+3→1）校正后的表现比单源域更稳，说明多源域融合确实</w:t>
      </w:r>
      <w:r>
        <w:rPr>
          <w:rFonts w:hint="eastAsia"/>
          <w:lang w:eastAsia="zh-CN"/>
        </w:rPr>
        <w:t>使</w:t>
      </w:r>
      <w:r>
        <w:rPr>
          <w:rFonts w:hint="eastAsia"/>
        </w:rPr>
        <w:t>模型学到了更鲁棒的域不变特征，工况差异带来的分布偏移被削弱了不少。</w:t>
      </w:r>
    </w:p>
    <w:p w14:paraId="6C0E95E5">
      <w:pPr>
        <w:ind w:firstLine="480"/>
        <w:rPr>
          <w:rFonts w:hint="eastAsia"/>
        </w:rPr>
      </w:pPr>
      <w:r>
        <w:rPr>
          <w:rFonts w:hint="eastAsia"/>
        </w:rPr>
        <w:t>值得注意</w:t>
      </w:r>
      <w:r>
        <w:rPr>
          <w:rFonts w:hint="eastAsia"/>
          <w:lang w:val="en-US" w:eastAsia="zh-CN"/>
        </w:rPr>
        <w:t>的是</w:t>
      </w:r>
      <w:r>
        <w:rPr>
          <w:rFonts w:hint="eastAsia"/>
        </w:rPr>
        <w:t>：9组任务的缩放因子s全在0.913到1.17之间，整体挨着1，校正前后RMSE平均只降了0.33%。这反过来恰好说明，MK-MMD在深层特征空间的对齐工作已经做得很到位了——源域和目标域之间的系统性偏差在训练阶段就被</w:t>
      </w:r>
      <w:r>
        <w:rPr>
          <w:rFonts w:hint="eastAsia"/>
          <w:lang w:val="en-US" w:eastAsia="zh-CN"/>
        </w:rPr>
        <w:t>降低</w:t>
      </w:r>
      <w:r>
        <w:rPr>
          <w:rFonts w:hint="eastAsia"/>
        </w:rPr>
        <w:t>到了很低的水平，留给后处理校正的发挥空间自然就不大了。</w:t>
      </w:r>
    </w:p>
    <w:p w14:paraId="4E6C3495">
      <w:pPr>
        <w:ind w:firstLine="480"/>
      </w:pPr>
      <w:r>
        <w:rPr>
          <w:rFonts w:hint="eastAsia"/>
        </w:rPr>
        <w:t>总的来看，MK-MMD和缩放校正构成了一个</w:t>
      </w:r>
      <w:r>
        <w:rPr>
          <w:rFonts w:hint="eastAsia"/>
          <w:lang w:val="en-US" w:eastAsia="zh-CN"/>
        </w:rPr>
        <w:t>以</w:t>
      </w:r>
      <w:r>
        <w:rPr>
          <w:rFonts w:hint="eastAsia"/>
        </w:rPr>
        <w:t>域适应为主</w:t>
      </w:r>
      <w:r>
        <w:rPr>
          <w:rFonts w:hint="eastAsia"/>
          <w:lang w:val="en-US" w:eastAsia="zh-CN"/>
        </w:rPr>
        <w:t>和用</w:t>
      </w:r>
      <w:r>
        <w:rPr>
          <w:rFonts w:hint="eastAsia"/>
        </w:rPr>
        <w:t>校正兜底的双层机制。前者在训练阶段从特征空间对齐分布，从根上抑制域漂移；后者在推理阶段几乎不花什么计算代价，给预测值再做最后一道线性校准，保证所有迁移任务在工程安全准则下稳定可用。两者配合，</w:t>
      </w:r>
      <w:r>
        <w:rPr>
          <w:rFonts w:hint="eastAsia"/>
          <w:lang w:eastAsia="zh-CN"/>
        </w:rPr>
        <w:t>使</w:t>
      </w:r>
      <w:r>
        <w:rPr>
          <w:rFonts w:hint="eastAsia"/>
        </w:rPr>
        <w:t>模型在复杂的跨工况场景下不至于掉链子。</w:t>
      </w:r>
    </w:p>
    <w:p w14:paraId="282A14AB">
      <w:pPr>
        <w:pStyle w:val="3"/>
        <w:spacing w:before="120" w:after="120"/>
      </w:pPr>
      <w:bookmarkStart w:id="124" w:name="_Toc8579"/>
      <w:bookmarkStart w:id="125" w:name="_Toc28827"/>
      <w:r>
        <w:t>4.5 对比实验结果与分析</w:t>
      </w:r>
      <w:bookmarkEnd w:id="124"/>
      <w:bookmarkEnd w:id="125"/>
    </w:p>
    <w:p w14:paraId="7167A41B">
      <w:pPr>
        <w:pStyle w:val="4"/>
        <w:spacing w:before="120" w:after="120"/>
      </w:pPr>
      <w:bookmarkStart w:id="126" w:name="_Toc4797"/>
      <w:bookmarkStart w:id="127" w:name="_Toc20287"/>
      <w:r>
        <w:t>4.5.1 与基础深度学习模型（CNN、LSTM、GRU）的对比</w:t>
      </w:r>
      <w:bookmarkEnd w:id="126"/>
      <w:bookmarkEnd w:id="127"/>
    </w:p>
    <w:p w14:paraId="300FA4A8">
      <w:pPr>
        <w:ind w:firstLine="480"/>
      </w:pPr>
      <w:r>
        <w:t>在单工况设置下，本文对比了SE-ResNet+BiGRU与基础CNN、LSTM、GRU模型的性能，这些模型是滚动轴承RUL预测领域最常用的基线模型</w:t>
      </w:r>
      <w:r>
        <w:rPr>
          <w:vertAlign w:val="superscript"/>
        </w:rPr>
        <w:fldChar w:fldCharType="begin"/>
      </w:r>
      <w:r>
        <w:instrText xml:space="preserve"> REF _Ref3500 \r \h  \* MERGEFORMAT</w:instrText>
      </w:r>
      <w:r>
        <w:rPr>
          <w:vertAlign w:val="superscript"/>
        </w:rPr>
        <w:fldChar w:fldCharType="separate"/>
      </w:r>
      <w:r>
        <w:rPr>
          <w:vertAlign w:val="superscript"/>
        </w:rPr>
        <w:t>[1]</w:t>
      </w:r>
      <w:r>
        <w:rPr>
          <w:vertAlign w:val="superscript"/>
        </w:rPr>
        <w:fldChar w:fldCharType="end"/>
      </w:r>
      <w:r>
        <w:rPr>
          <w:vertAlign w:val="superscript"/>
        </w:rPr>
        <w:fldChar w:fldCharType="begin"/>
      </w:r>
      <w:r>
        <w:instrText xml:space="preserve"> REF _Ref6423 \r \h  \* MERGEFORMAT</w:instrText>
      </w:r>
      <w:r>
        <w:rPr>
          <w:vertAlign w:val="superscript"/>
        </w:rPr>
        <w:fldChar w:fldCharType="separate"/>
      </w:r>
      <w:r>
        <w:rPr>
          <w:vertAlign w:val="superscript"/>
        </w:rPr>
        <w:t>[39]</w:t>
      </w:r>
      <w:r>
        <w:rPr>
          <w:vertAlign w:val="superscript"/>
        </w:rPr>
        <w:fldChar w:fldCharType="end"/>
      </w:r>
      <w:r>
        <w:t>结果如下。</w:t>
      </w:r>
    </w:p>
    <w:p w14:paraId="632C9CD1">
      <w:pPr>
        <w:pStyle w:val="8"/>
        <w:rPr>
          <w:rFonts w:ascii="Times New Roman" w:hAnsi="Times New Roman"/>
        </w:rPr>
      </w:pPr>
      <w:r>
        <w:rPr>
          <w:rFonts w:ascii="Times New Roman" w:hAnsi="Times New Roman"/>
        </w:rPr>
        <w:t>表4-7单工况下基础模型对比（平均RMSE，单位：min）</w:t>
      </w:r>
    </w:p>
    <w:tbl>
      <w:tblPr>
        <w:tblStyle w:val="21"/>
        <w:tblW w:w="4998" w:type="pct"/>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80" w:type="dxa"/>
          <w:left w:w="120" w:type="dxa"/>
          <w:bottom w:w="80" w:type="dxa"/>
          <w:right w:w="120" w:type="dxa"/>
        </w:tblCellMar>
      </w:tblPr>
      <w:tblGrid>
        <w:gridCol w:w="2041"/>
        <w:gridCol w:w="1627"/>
        <w:gridCol w:w="1627"/>
        <w:gridCol w:w="1627"/>
        <w:gridCol w:w="1627"/>
      </w:tblGrid>
      <w:tr w14:paraId="42F9DC0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80" w:type="dxa"/>
            <w:left w:w="120" w:type="dxa"/>
            <w:bottom w:w="80" w:type="dxa"/>
            <w:right w:w="120" w:type="dxa"/>
          </w:tblCellMar>
        </w:tblPrEx>
        <w:trPr>
          <w:tblHeader/>
          <w:jc w:val="center"/>
        </w:trPr>
        <w:tc>
          <w:tcPr>
            <w:tcW w:w="1194" w:type="pct"/>
            <w:tcBorders>
              <w:top w:val="single" w:color="auto" w:sz="12" w:space="0"/>
              <w:left w:val="nil"/>
              <w:bottom w:val="nil"/>
              <w:right w:val="nil"/>
            </w:tcBorders>
            <w:tcMar>
              <w:top w:w="-1" w:type="dxa"/>
              <w:left w:w="-1" w:type="dxa"/>
              <w:bottom w:w="-1" w:type="dxa"/>
              <w:right w:w="-1" w:type="dxa"/>
            </w:tcMar>
            <w:vAlign w:val="center"/>
          </w:tcPr>
          <w:p w14:paraId="4188EB52">
            <w:pPr>
              <w:snapToGrid w:val="0"/>
              <w:spacing w:line="240" w:lineRule="auto"/>
              <w:ind w:firstLine="0" w:firstLineChars="0"/>
              <w:jc w:val="center"/>
              <w:rPr>
                <w:sz w:val="21"/>
                <w:szCs w:val="21"/>
              </w:rPr>
            </w:pPr>
            <w:r>
              <w:rPr>
                <w:sz w:val="21"/>
                <w:szCs w:val="21"/>
              </w:rPr>
              <w:t>模型</w:t>
            </w:r>
          </w:p>
        </w:tc>
        <w:tc>
          <w:tcPr>
            <w:tcW w:w="951" w:type="pct"/>
            <w:tcBorders>
              <w:top w:val="single" w:color="auto" w:sz="12" w:space="0"/>
              <w:left w:val="nil"/>
              <w:bottom w:val="nil"/>
              <w:right w:val="nil"/>
            </w:tcBorders>
            <w:tcMar>
              <w:top w:w="-1" w:type="dxa"/>
              <w:left w:w="-1" w:type="dxa"/>
              <w:bottom w:w="-1" w:type="dxa"/>
              <w:right w:w="-1" w:type="dxa"/>
            </w:tcMar>
            <w:vAlign w:val="center"/>
          </w:tcPr>
          <w:p w14:paraId="3CB88A1F">
            <w:pPr>
              <w:snapToGrid w:val="0"/>
              <w:spacing w:line="240" w:lineRule="auto"/>
              <w:ind w:firstLine="0" w:firstLineChars="0"/>
              <w:jc w:val="center"/>
              <w:rPr>
                <w:sz w:val="21"/>
                <w:szCs w:val="21"/>
              </w:rPr>
            </w:pPr>
            <w:r>
              <w:rPr>
                <w:sz w:val="21"/>
                <w:szCs w:val="21"/>
              </w:rPr>
              <w:t>工况1</w:t>
            </w:r>
          </w:p>
        </w:tc>
        <w:tc>
          <w:tcPr>
            <w:tcW w:w="951" w:type="pct"/>
            <w:tcBorders>
              <w:top w:val="single" w:color="auto" w:sz="12" w:space="0"/>
              <w:left w:val="nil"/>
              <w:bottom w:val="nil"/>
              <w:right w:val="nil"/>
            </w:tcBorders>
            <w:tcMar>
              <w:top w:w="-1" w:type="dxa"/>
              <w:left w:w="-1" w:type="dxa"/>
              <w:bottom w:w="-1" w:type="dxa"/>
              <w:right w:w="-1" w:type="dxa"/>
            </w:tcMar>
            <w:vAlign w:val="center"/>
          </w:tcPr>
          <w:p w14:paraId="0E979F3B">
            <w:pPr>
              <w:snapToGrid w:val="0"/>
              <w:spacing w:line="240" w:lineRule="auto"/>
              <w:ind w:firstLine="0" w:firstLineChars="0"/>
              <w:jc w:val="center"/>
              <w:rPr>
                <w:sz w:val="21"/>
                <w:szCs w:val="21"/>
              </w:rPr>
            </w:pPr>
            <w:r>
              <w:rPr>
                <w:sz w:val="21"/>
                <w:szCs w:val="21"/>
              </w:rPr>
              <w:t>工况2</w:t>
            </w:r>
          </w:p>
        </w:tc>
        <w:tc>
          <w:tcPr>
            <w:tcW w:w="951" w:type="pct"/>
            <w:tcBorders>
              <w:top w:val="single" w:color="auto" w:sz="12" w:space="0"/>
              <w:left w:val="nil"/>
              <w:bottom w:val="nil"/>
              <w:right w:val="nil"/>
            </w:tcBorders>
            <w:tcMar>
              <w:top w:w="-1" w:type="dxa"/>
              <w:left w:w="-1" w:type="dxa"/>
              <w:bottom w:w="-1" w:type="dxa"/>
              <w:right w:w="-1" w:type="dxa"/>
            </w:tcMar>
            <w:vAlign w:val="center"/>
          </w:tcPr>
          <w:p w14:paraId="69C45759">
            <w:pPr>
              <w:snapToGrid w:val="0"/>
              <w:spacing w:line="240" w:lineRule="auto"/>
              <w:ind w:firstLine="0" w:firstLineChars="0"/>
              <w:jc w:val="center"/>
              <w:rPr>
                <w:sz w:val="21"/>
                <w:szCs w:val="21"/>
              </w:rPr>
            </w:pPr>
            <w:r>
              <w:rPr>
                <w:sz w:val="21"/>
                <w:szCs w:val="21"/>
              </w:rPr>
              <w:t>工况3</w:t>
            </w:r>
          </w:p>
        </w:tc>
        <w:tc>
          <w:tcPr>
            <w:tcW w:w="951" w:type="pct"/>
            <w:tcBorders>
              <w:top w:val="single" w:color="auto" w:sz="12" w:space="0"/>
              <w:left w:val="nil"/>
              <w:bottom w:val="nil"/>
              <w:right w:val="nil"/>
            </w:tcBorders>
            <w:tcMar>
              <w:top w:w="-1" w:type="dxa"/>
              <w:left w:w="-1" w:type="dxa"/>
              <w:bottom w:w="-1" w:type="dxa"/>
              <w:right w:w="-1" w:type="dxa"/>
            </w:tcMar>
            <w:vAlign w:val="center"/>
          </w:tcPr>
          <w:p w14:paraId="2C57E506">
            <w:pPr>
              <w:snapToGrid w:val="0"/>
              <w:spacing w:line="240" w:lineRule="auto"/>
              <w:ind w:firstLine="0" w:firstLineChars="0"/>
              <w:jc w:val="center"/>
              <w:rPr>
                <w:sz w:val="21"/>
                <w:szCs w:val="21"/>
              </w:rPr>
            </w:pPr>
            <w:r>
              <w:rPr>
                <w:sz w:val="21"/>
                <w:szCs w:val="21"/>
              </w:rPr>
              <w:t>平均</w:t>
            </w:r>
          </w:p>
        </w:tc>
      </w:tr>
      <w:tr w14:paraId="5EF6767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80" w:type="dxa"/>
            <w:left w:w="120" w:type="dxa"/>
            <w:bottom w:w="80" w:type="dxa"/>
            <w:right w:w="120" w:type="dxa"/>
          </w:tblCellMar>
        </w:tblPrEx>
        <w:trPr>
          <w:jc w:val="center"/>
        </w:trPr>
        <w:tc>
          <w:tcPr>
            <w:tcW w:w="1194" w:type="pct"/>
            <w:tcBorders>
              <w:top w:val="single" w:color="auto" w:sz="4" w:space="0"/>
              <w:left w:val="nil"/>
              <w:bottom w:val="nil"/>
              <w:right w:val="nil"/>
            </w:tcBorders>
            <w:tcMar>
              <w:top w:w="-1" w:type="dxa"/>
              <w:left w:w="-1" w:type="dxa"/>
              <w:bottom w:w="-1" w:type="dxa"/>
              <w:right w:w="-1" w:type="dxa"/>
            </w:tcMar>
            <w:vAlign w:val="center"/>
          </w:tcPr>
          <w:p w14:paraId="067B42B4">
            <w:pPr>
              <w:snapToGrid w:val="0"/>
              <w:spacing w:line="240" w:lineRule="auto"/>
              <w:ind w:firstLine="0" w:firstLineChars="0"/>
              <w:jc w:val="center"/>
              <w:rPr>
                <w:sz w:val="21"/>
                <w:szCs w:val="21"/>
              </w:rPr>
            </w:pPr>
            <w:r>
              <w:rPr>
                <w:sz w:val="21"/>
                <w:szCs w:val="21"/>
              </w:rPr>
              <w:t>CNN</w:t>
            </w:r>
          </w:p>
        </w:tc>
        <w:tc>
          <w:tcPr>
            <w:tcW w:w="951" w:type="pct"/>
            <w:tcBorders>
              <w:top w:val="single" w:color="auto" w:sz="4" w:space="0"/>
              <w:left w:val="nil"/>
              <w:bottom w:val="nil"/>
              <w:right w:val="nil"/>
            </w:tcBorders>
            <w:tcMar>
              <w:top w:w="-1" w:type="dxa"/>
              <w:left w:w="-1" w:type="dxa"/>
              <w:bottom w:w="-1" w:type="dxa"/>
              <w:right w:w="-1" w:type="dxa"/>
            </w:tcMar>
            <w:vAlign w:val="center"/>
          </w:tcPr>
          <w:p w14:paraId="41BAA96A">
            <w:pPr>
              <w:widowControl/>
              <w:snapToGrid w:val="0"/>
              <w:spacing w:line="240" w:lineRule="auto"/>
              <w:ind w:firstLine="0" w:firstLineChars="0"/>
              <w:jc w:val="center"/>
              <w:textAlignment w:val="center"/>
              <w:rPr>
                <w:sz w:val="21"/>
                <w:szCs w:val="21"/>
              </w:rPr>
            </w:pPr>
            <w:r>
              <w:rPr>
                <w:color w:val="000000"/>
                <w:sz w:val="21"/>
                <w:szCs w:val="21"/>
                <w:lang w:bidi="ar"/>
              </w:rPr>
              <w:t>12.22</w:t>
            </w:r>
          </w:p>
        </w:tc>
        <w:tc>
          <w:tcPr>
            <w:tcW w:w="951" w:type="pct"/>
            <w:tcBorders>
              <w:top w:val="single" w:color="auto" w:sz="4" w:space="0"/>
              <w:left w:val="nil"/>
              <w:bottom w:val="nil"/>
              <w:right w:val="nil"/>
            </w:tcBorders>
            <w:tcMar>
              <w:top w:w="-1" w:type="dxa"/>
              <w:left w:w="-1" w:type="dxa"/>
              <w:bottom w:w="-1" w:type="dxa"/>
              <w:right w:w="-1" w:type="dxa"/>
            </w:tcMar>
            <w:vAlign w:val="center"/>
          </w:tcPr>
          <w:p w14:paraId="31021FED">
            <w:pPr>
              <w:widowControl/>
              <w:snapToGrid w:val="0"/>
              <w:spacing w:line="240" w:lineRule="auto"/>
              <w:ind w:firstLine="0" w:firstLineChars="0"/>
              <w:jc w:val="center"/>
              <w:textAlignment w:val="center"/>
              <w:rPr>
                <w:sz w:val="21"/>
                <w:szCs w:val="21"/>
              </w:rPr>
            </w:pPr>
            <w:r>
              <w:rPr>
                <w:color w:val="000000"/>
                <w:sz w:val="21"/>
                <w:szCs w:val="21"/>
                <w:lang w:bidi="ar"/>
              </w:rPr>
              <w:t>44.4</w:t>
            </w:r>
          </w:p>
        </w:tc>
        <w:tc>
          <w:tcPr>
            <w:tcW w:w="951" w:type="pct"/>
            <w:tcBorders>
              <w:top w:val="single" w:color="auto" w:sz="4" w:space="0"/>
              <w:left w:val="nil"/>
              <w:bottom w:val="nil"/>
              <w:right w:val="nil"/>
            </w:tcBorders>
            <w:tcMar>
              <w:top w:w="-1" w:type="dxa"/>
              <w:left w:w="-1" w:type="dxa"/>
              <w:bottom w:w="-1" w:type="dxa"/>
              <w:right w:w="-1" w:type="dxa"/>
            </w:tcMar>
            <w:vAlign w:val="center"/>
          </w:tcPr>
          <w:p w14:paraId="398F8776">
            <w:pPr>
              <w:widowControl/>
              <w:snapToGrid w:val="0"/>
              <w:spacing w:line="240" w:lineRule="auto"/>
              <w:ind w:firstLine="0" w:firstLineChars="0"/>
              <w:jc w:val="center"/>
              <w:textAlignment w:val="center"/>
              <w:rPr>
                <w:sz w:val="21"/>
                <w:szCs w:val="21"/>
              </w:rPr>
            </w:pPr>
            <w:r>
              <w:rPr>
                <w:color w:val="000000"/>
                <w:sz w:val="21"/>
                <w:szCs w:val="21"/>
                <w:lang w:bidi="ar"/>
              </w:rPr>
              <w:t>30.64</w:t>
            </w:r>
          </w:p>
        </w:tc>
        <w:tc>
          <w:tcPr>
            <w:tcW w:w="951" w:type="pct"/>
            <w:tcBorders>
              <w:top w:val="single" w:color="auto" w:sz="4" w:space="0"/>
              <w:left w:val="nil"/>
              <w:bottom w:val="nil"/>
              <w:right w:val="nil"/>
            </w:tcBorders>
            <w:tcMar>
              <w:top w:w="-1" w:type="dxa"/>
              <w:left w:w="-1" w:type="dxa"/>
              <w:bottom w:w="-1" w:type="dxa"/>
              <w:right w:w="-1" w:type="dxa"/>
            </w:tcMar>
            <w:vAlign w:val="center"/>
          </w:tcPr>
          <w:p w14:paraId="524C94D4">
            <w:pPr>
              <w:widowControl/>
              <w:snapToGrid w:val="0"/>
              <w:spacing w:line="240" w:lineRule="auto"/>
              <w:ind w:firstLine="0" w:firstLineChars="0"/>
              <w:jc w:val="center"/>
              <w:textAlignment w:val="center"/>
              <w:rPr>
                <w:sz w:val="21"/>
                <w:szCs w:val="21"/>
              </w:rPr>
            </w:pPr>
            <w:r>
              <w:rPr>
                <w:color w:val="000000"/>
                <w:sz w:val="21"/>
                <w:szCs w:val="21"/>
                <w:lang w:bidi="ar"/>
              </w:rPr>
              <w:t>29.09</w:t>
            </w:r>
          </w:p>
        </w:tc>
      </w:tr>
      <w:tr w14:paraId="7938481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80" w:type="dxa"/>
            <w:left w:w="120" w:type="dxa"/>
            <w:bottom w:w="80" w:type="dxa"/>
            <w:right w:w="120" w:type="dxa"/>
          </w:tblCellMar>
        </w:tblPrEx>
        <w:trPr>
          <w:jc w:val="center"/>
        </w:trPr>
        <w:tc>
          <w:tcPr>
            <w:tcW w:w="1194" w:type="pct"/>
            <w:tcBorders>
              <w:top w:val="nil"/>
              <w:left w:val="nil"/>
              <w:bottom w:val="nil"/>
              <w:right w:val="nil"/>
            </w:tcBorders>
            <w:tcMar>
              <w:top w:w="-1" w:type="dxa"/>
              <w:left w:w="-1" w:type="dxa"/>
              <w:bottom w:w="-1" w:type="dxa"/>
              <w:right w:w="-1" w:type="dxa"/>
            </w:tcMar>
            <w:vAlign w:val="center"/>
          </w:tcPr>
          <w:p w14:paraId="302C5B59">
            <w:pPr>
              <w:snapToGrid w:val="0"/>
              <w:spacing w:line="240" w:lineRule="auto"/>
              <w:ind w:firstLine="0" w:firstLineChars="0"/>
              <w:jc w:val="center"/>
              <w:rPr>
                <w:sz w:val="21"/>
                <w:szCs w:val="21"/>
              </w:rPr>
            </w:pPr>
            <w:r>
              <w:rPr>
                <w:sz w:val="21"/>
                <w:szCs w:val="21"/>
              </w:rPr>
              <w:t>LSTM</w:t>
            </w:r>
          </w:p>
        </w:tc>
        <w:tc>
          <w:tcPr>
            <w:tcW w:w="951" w:type="pct"/>
            <w:tcBorders>
              <w:top w:val="nil"/>
              <w:left w:val="nil"/>
              <w:bottom w:val="nil"/>
              <w:right w:val="nil"/>
            </w:tcBorders>
            <w:tcMar>
              <w:top w:w="-1" w:type="dxa"/>
              <w:left w:w="-1" w:type="dxa"/>
              <w:bottom w:w="-1" w:type="dxa"/>
              <w:right w:w="-1" w:type="dxa"/>
            </w:tcMar>
            <w:vAlign w:val="center"/>
          </w:tcPr>
          <w:p w14:paraId="30B9392E">
            <w:pPr>
              <w:widowControl/>
              <w:snapToGrid w:val="0"/>
              <w:spacing w:line="240" w:lineRule="auto"/>
              <w:ind w:firstLine="0" w:firstLineChars="0"/>
              <w:jc w:val="center"/>
              <w:textAlignment w:val="center"/>
              <w:rPr>
                <w:sz w:val="21"/>
                <w:szCs w:val="21"/>
              </w:rPr>
            </w:pPr>
            <w:r>
              <w:rPr>
                <w:color w:val="000000"/>
                <w:sz w:val="21"/>
                <w:szCs w:val="21"/>
                <w:lang w:bidi="ar"/>
              </w:rPr>
              <w:t>15.91</w:t>
            </w:r>
          </w:p>
        </w:tc>
        <w:tc>
          <w:tcPr>
            <w:tcW w:w="951" w:type="pct"/>
            <w:tcBorders>
              <w:top w:val="nil"/>
              <w:left w:val="nil"/>
              <w:bottom w:val="nil"/>
              <w:right w:val="nil"/>
            </w:tcBorders>
            <w:tcMar>
              <w:top w:w="-1" w:type="dxa"/>
              <w:left w:w="-1" w:type="dxa"/>
              <w:bottom w:w="-1" w:type="dxa"/>
              <w:right w:w="-1" w:type="dxa"/>
            </w:tcMar>
            <w:vAlign w:val="center"/>
          </w:tcPr>
          <w:p w14:paraId="4CD35700">
            <w:pPr>
              <w:widowControl/>
              <w:snapToGrid w:val="0"/>
              <w:spacing w:line="240" w:lineRule="auto"/>
              <w:ind w:firstLine="0" w:firstLineChars="0"/>
              <w:jc w:val="center"/>
              <w:textAlignment w:val="center"/>
              <w:rPr>
                <w:sz w:val="21"/>
                <w:szCs w:val="21"/>
              </w:rPr>
            </w:pPr>
            <w:r>
              <w:rPr>
                <w:color w:val="000000"/>
                <w:sz w:val="21"/>
                <w:szCs w:val="21"/>
                <w:lang w:bidi="ar"/>
              </w:rPr>
              <w:t>140.25</w:t>
            </w:r>
          </w:p>
        </w:tc>
        <w:tc>
          <w:tcPr>
            <w:tcW w:w="951" w:type="pct"/>
            <w:tcBorders>
              <w:top w:val="nil"/>
              <w:left w:val="nil"/>
              <w:bottom w:val="nil"/>
              <w:right w:val="nil"/>
            </w:tcBorders>
            <w:tcMar>
              <w:top w:w="-1" w:type="dxa"/>
              <w:left w:w="-1" w:type="dxa"/>
              <w:bottom w:w="-1" w:type="dxa"/>
              <w:right w:w="-1" w:type="dxa"/>
            </w:tcMar>
            <w:vAlign w:val="center"/>
          </w:tcPr>
          <w:p w14:paraId="62BD8B2A">
            <w:pPr>
              <w:widowControl/>
              <w:snapToGrid w:val="0"/>
              <w:spacing w:line="240" w:lineRule="auto"/>
              <w:ind w:firstLine="0" w:firstLineChars="0"/>
              <w:jc w:val="center"/>
              <w:textAlignment w:val="center"/>
              <w:rPr>
                <w:sz w:val="21"/>
                <w:szCs w:val="21"/>
              </w:rPr>
            </w:pPr>
            <w:r>
              <w:rPr>
                <w:color w:val="000000"/>
                <w:sz w:val="21"/>
                <w:szCs w:val="21"/>
                <w:lang w:bidi="ar"/>
              </w:rPr>
              <w:t>98.16</w:t>
            </w:r>
          </w:p>
        </w:tc>
        <w:tc>
          <w:tcPr>
            <w:tcW w:w="951" w:type="pct"/>
            <w:tcBorders>
              <w:top w:val="nil"/>
              <w:left w:val="nil"/>
              <w:bottom w:val="nil"/>
              <w:right w:val="nil"/>
            </w:tcBorders>
            <w:tcMar>
              <w:top w:w="-1" w:type="dxa"/>
              <w:left w:w="-1" w:type="dxa"/>
              <w:bottom w:w="-1" w:type="dxa"/>
              <w:right w:w="-1" w:type="dxa"/>
            </w:tcMar>
            <w:vAlign w:val="center"/>
          </w:tcPr>
          <w:p w14:paraId="1C90C73E">
            <w:pPr>
              <w:widowControl/>
              <w:snapToGrid w:val="0"/>
              <w:spacing w:line="240" w:lineRule="auto"/>
              <w:ind w:firstLine="0" w:firstLineChars="0"/>
              <w:jc w:val="center"/>
              <w:textAlignment w:val="center"/>
              <w:rPr>
                <w:sz w:val="21"/>
                <w:szCs w:val="21"/>
              </w:rPr>
            </w:pPr>
            <w:r>
              <w:rPr>
                <w:color w:val="000000"/>
                <w:sz w:val="21"/>
                <w:szCs w:val="21"/>
                <w:lang w:bidi="ar"/>
              </w:rPr>
              <w:t>84.77</w:t>
            </w:r>
          </w:p>
        </w:tc>
      </w:tr>
      <w:tr w14:paraId="7637265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80" w:type="dxa"/>
            <w:left w:w="120" w:type="dxa"/>
            <w:bottom w:w="80" w:type="dxa"/>
            <w:right w:w="120" w:type="dxa"/>
          </w:tblCellMar>
        </w:tblPrEx>
        <w:trPr>
          <w:jc w:val="center"/>
        </w:trPr>
        <w:tc>
          <w:tcPr>
            <w:tcW w:w="1194" w:type="pct"/>
            <w:tcBorders>
              <w:top w:val="nil"/>
              <w:left w:val="nil"/>
              <w:bottom w:val="nil"/>
              <w:right w:val="nil"/>
            </w:tcBorders>
            <w:tcMar>
              <w:top w:w="-1" w:type="dxa"/>
              <w:left w:w="-1" w:type="dxa"/>
              <w:bottom w:w="-1" w:type="dxa"/>
              <w:right w:w="-1" w:type="dxa"/>
            </w:tcMar>
            <w:vAlign w:val="center"/>
          </w:tcPr>
          <w:p w14:paraId="7F32D838">
            <w:pPr>
              <w:snapToGrid w:val="0"/>
              <w:spacing w:line="240" w:lineRule="auto"/>
              <w:ind w:firstLine="0" w:firstLineChars="0"/>
              <w:jc w:val="center"/>
              <w:rPr>
                <w:sz w:val="21"/>
                <w:szCs w:val="21"/>
              </w:rPr>
            </w:pPr>
            <w:r>
              <w:rPr>
                <w:sz w:val="21"/>
                <w:szCs w:val="21"/>
              </w:rPr>
              <w:t>GRU</w:t>
            </w:r>
          </w:p>
        </w:tc>
        <w:tc>
          <w:tcPr>
            <w:tcW w:w="951" w:type="pct"/>
            <w:tcBorders>
              <w:top w:val="nil"/>
              <w:left w:val="nil"/>
              <w:bottom w:val="nil"/>
              <w:right w:val="nil"/>
            </w:tcBorders>
            <w:tcMar>
              <w:top w:w="-1" w:type="dxa"/>
              <w:left w:w="-1" w:type="dxa"/>
              <w:bottom w:w="-1" w:type="dxa"/>
              <w:right w:w="-1" w:type="dxa"/>
            </w:tcMar>
            <w:vAlign w:val="center"/>
          </w:tcPr>
          <w:p w14:paraId="5C9DE756">
            <w:pPr>
              <w:widowControl/>
              <w:snapToGrid w:val="0"/>
              <w:spacing w:line="240" w:lineRule="auto"/>
              <w:ind w:firstLine="0" w:firstLineChars="0"/>
              <w:jc w:val="center"/>
              <w:textAlignment w:val="center"/>
              <w:rPr>
                <w:sz w:val="21"/>
                <w:szCs w:val="21"/>
              </w:rPr>
            </w:pPr>
            <w:r>
              <w:rPr>
                <w:color w:val="000000"/>
                <w:sz w:val="21"/>
                <w:szCs w:val="21"/>
                <w:lang w:bidi="ar"/>
              </w:rPr>
              <w:t>13.74</w:t>
            </w:r>
          </w:p>
        </w:tc>
        <w:tc>
          <w:tcPr>
            <w:tcW w:w="951" w:type="pct"/>
            <w:tcBorders>
              <w:top w:val="nil"/>
              <w:left w:val="nil"/>
              <w:bottom w:val="nil"/>
              <w:right w:val="nil"/>
            </w:tcBorders>
            <w:tcMar>
              <w:top w:w="-1" w:type="dxa"/>
              <w:left w:w="-1" w:type="dxa"/>
              <w:bottom w:w="-1" w:type="dxa"/>
              <w:right w:w="-1" w:type="dxa"/>
            </w:tcMar>
            <w:vAlign w:val="center"/>
          </w:tcPr>
          <w:p w14:paraId="30C0A5FC">
            <w:pPr>
              <w:widowControl/>
              <w:snapToGrid w:val="0"/>
              <w:spacing w:line="240" w:lineRule="auto"/>
              <w:ind w:firstLine="0" w:firstLineChars="0"/>
              <w:jc w:val="center"/>
              <w:textAlignment w:val="center"/>
              <w:rPr>
                <w:sz w:val="21"/>
                <w:szCs w:val="21"/>
              </w:rPr>
            </w:pPr>
            <w:r>
              <w:rPr>
                <w:color w:val="000000"/>
                <w:sz w:val="21"/>
                <w:szCs w:val="21"/>
                <w:lang w:bidi="ar"/>
              </w:rPr>
              <w:t>161.3</w:t>
            </w:r>
          </w:p>
        </w:tc>
        <w:tc>
          <w:tcPr>
            <w:tcW w:w="951" w:type="pct"/>
            <w:tcBorders>
              <w:top w:val="nil"/>
              <w:left w:val="nil"/>
              <w:bottom w:val="nil"/>
              <w:right w:val="nil"/>
            </w:tcBorders>
            <w:tcMar>
              <w:top w:w="-1" w:type="dxa"/>
              <w:left w:w="-1" w:type="dxa"/>
              <w:bottom w:w="-1" w:type="dxa"/>
              <w:right w:w="-1" w:type="dxa"/>
            </w:tcMar>
            <w:vAlign w:val="center"/>
          </w:tcPr>
          <w:p w14:paraId="69AC82EB">
            <w:pPr>
              <w:widowControl/>
              <w:snapToGrid w:val="0"/>
              <w:spacing w:line="240" w:lineRule="auto"/>
              <w:ind w:firstLine="0" w:firstLineChars="0"/>
              <w:jc w:val="center"/>
              <w:textAlignment w:val="center"/>
              <w:rPr>
                <w:sz w:val="21"/>
                <w:szCs w:val="21"/>
              </w:rPr>
            </w:pPr>
            <w:r>
              <w:rPr>
                <w:color w:val="000000"/>
                <w:sz w:val="21"/>
                <w:szCs w:val="21"/>
                <w:lang w:bidi="ar"/>
              </w:rPr>
              <w:t>102.62</w:t>
            </w:r>
          </w:p>
        </w:tc>
        <w:tc>
          <w:tcPr>
            <w:tcW w:w="951" w:type="pct"/>
            <w:tcBorders>
              <w:top w:val="nil"/>
              <w:left w:val="nil"/>
              <w:bottom w:val="nil"/>
              <w:right w:val="nil"/>
            </w:tcBorders>
            <w:tcMar>
              <w:top w:w="-1" w:type="dxa"/>
              <w:left w:w="-1" w:type="dxa"/>
              <w:bottom w:w="-1" w:type="dxa"/>
              <w:right w:w="-1" w:type="dxa"/>
            </w:tcMar>
            <w:vAlign w:val="center"/>
          </w:tcPr>
          <w:p w14:paraId="1A27716D">
            <w:pPr>
              <w:widowControl/>
              <w:snapToGrid w:val="0"/>
              <w:spacing w:line="240" w:lineRule="auto"/>
              <w:ind w:firstLine="0" w:firstLineChars="0"/>
              <w:jc w:val="center"/>
              <w:textAlignment w:val="center"/>
              <w:rPr>
                <w:sz w:val="21"/>
                <w:szCs w:val="21"/>
              </w:rPr>
            </w:pPr>
            <w:r>
              <w:rPr>
                <w:color w:val="000000"/>
                <w:sz w:val="21"/>
                <w:szCs w:val="21"/>
                <w:lang w:bidi="ar"/>
              </w:rPr>
              <w:t>92.55</w:t>
            </w:r>
          </w:p>
        </w:tc>
      </w:tr>
      <w:tr w14:paraId="703A58F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80" w:type="dxa"/>
            <w:left w:w="120" w:type="dxa"/>
            <w:bottom w:w="80" w:type="dxa"/>
            <w:right w:w="120" w:type="dxa"/>
          </w:tblCellMar>
        </w:tblPrEx>
        <w:trPr>
          <w:jc w:val="center"/>
        </w:trPr>
        <w:tc>
          <w:tcPr>
            <w:tcW w:w="1194" w:type="pct"/>
            <w:tcBorders>
              <w:top w:val="nil"/>
              <w:left w:val="nil"/>
              <w:bottom w:val="single" w:color="auto" w:sz="12" w:space="0"/>
              <w:right w:val="nil"/>
            </w:tcBorders>
            <w:tcMar>
              <w:top w:w="-1" w:type="dxa"/>
              <w:left w:w="-1" w:type="dxa"/>
              <w:bottom w:w="-1" w:type="dxa"/>
              <w:right w:w="-1" w:type="dxa"/>
            </w:tcMar>
            <w:vAlign w:val="center"/>
          </w:tcPr>
          <w:p w14:paraId="3CC66C83">
            <w:pPr>
              <w:snapToGrid w:val="0"/>
              <w:spacing w:line="240" w:lineRule="auto"/>
              <w:ind w:firstLine="0" w:firstLineChars="0"/>
              <w:jc w:val="center"/>
              <w:rPr>
                <w:sz w:val="21"/>
                <w:szCs w:val="21"/>
              </w:rPr>
            </w:pPr>
            <w:r>
              <w:rPr>
                <w:sz w:val="21"/>
                <w:szCs w:val="21"/>
              </w:rPr>
              <w:t>SE-ResNet+BiGRU</w:t>
            </w:r>
          </w:p>
        </w:tc>
        <w:tc>
          <w:tcPr>
            <w:tcW w:w="951" w:type="pct"/>
            <w:tcBorders>
              <w:top w:val="nil"/>
              <w:left w:val="nil"/>
              <w:bottom w:val="single" w:color="auto" w:sz="12" w:space="0"/>
              <w:right w:val="nil"/>
            </w:tcBorders>
            <w:tcMar>
              <w:top w:w="-1" w:type="dxa"/>
              <w:left w:w="-1" w:type="dxa"/>
              <w:bottom w:w="-1" w:type="dxa"/>
              <w:right w:w="-1" w:type="dxa"/>
            </w:tcMar>
            <w:vAlign w:val="center"/>
          </w:tcPr>
          <w:p w14:paraId="233DAB25">
            <w:pPr>
              <w:widowControl/>
              <w:snapToGrid w:val="0"/>
              <w:spacing w:line="240" w:lineRule="auto"/>
              <w:ind w:firstLine="0" w:firstLineChars="0"/>
              <w:jc w:val="center"/>
              <w:textAlignment w:val="center"/>
              <w:rPr>
                <w:sz w:val="21"/>
                <w:szCs w:val="21"/>
              </w:rPr>
            </w:pPr>
            <w:r>
              <w:rPr>
                <w:color w:val="000000"/>
                <w:sz w:val="21"/>
                <w:szCs w:val="21"/>
                <w:lang w:bidi="ar"/>
              </w:rPr>
              <w:t>6.52</w:t>
            </w:r>
          </w:p>
        </w:tc>
        <w:tc>
          <w:tcPr>
            <w:tcW w:w="951" w:type="pct"/>
            <w:tcBorders>
              <w:top w:val="nil"/>
              <w:left w:val="nil"/>
              <w:bottom w:val="single" w:color="auto" w:sz="12" w:space="0"/>
              <w:right w:val="nil"/>
            </w:tcBorders>
            <w:tcMar>
              <w:top w:w="-1" w:type="dxa"/>
              <w:left w:w="-1" w:type="dxa"/>
              <w:bottom w:w="-1" w:type="dxa"/>
              <w:right w:w="-1" w:type="dxa"/>
            </w:tcMar>
            <w:vAlign w:val="center"/>
          </w:tcPr>
          <w:p w14:paraId="0FDB5DD8">
            <w:pPr>
              <w:widowControl/>
              <w:snapToGrid w:val="0"/>
              <w:spacing w:line="240" w:lineRule="auto"/>
              <w:ind w:firstLine="0" w:firstLineChars="0"/>
              <w:jc w:val="center"/>
              <w:textAlignment w:val="center"/>
              <w:rPr>
                <w:sz w:val="21"/>
                <w:szCs w:val="21"/>
              </w:rPr>
            </w:pPr>
            <w:r>
              <w:rPr>
                <w:color w:val="000000"/>
                <w:sz w:val="21"/>
                <w:szCs w:val="21"/>
                <w:lang w:bidi="ar"/>
              </w:rPr>
              <w:t>52.44</w:t>
            </w:r>
          </w:p>
        </w:tc>
        <w:tc>
          <w:tcPr>
            <w:tcW w:w="951" w:type="pct"/>
            <w:tcBorders>
              <w:top w:val="nil"/>
              <w:left w:val="nil"/>
              <w:bottom w:val="single" w:color="auto" w:sz="12" w:space="0"/>
              <w:right w:val="nil"/>
            </w:tcBorders>
            <w:tcMar>
              <w:top w:w="-1" w:type="dxa"/>
              <w:left w:w="-1" w:type="dxa"/>
              <w:bottom w:w="-1" w:type="dxa"/>
              <w:right w:w="-1" w:type="dxa"/>
            </w:tcMar>
            <w:vAlign w:val="center"/>
          </w:tcPr>
          <w:p w14:paraId="6DABF22B">
            <w:pPr>
              <w:widowControl/>
              <w:snapToGrid w:val="0"/>
              <w:spacing w:line="240" w:lineRule="auto"/>
              <w:ind w:firstLine="0" w:firstLineChars="0"/>
              <w:jc w:val="center"/>
              <w:textAlignment w:val="center"/>
              <w:rPr>
                <w:sz w:val="21"/>
                <w:szCs w:val="21"/>
              </w:rPr>
            </w:pPr>
            <w:r>
              <w:rPr>
                <w:color w:val="000000"/>
                <w:sz w:val="21"/>
                <w:szCs w:val="21"/>
                <w:lang w:bidi="ar"/>
              </w:rPr>
              <w:t>17.53</w:t>
            </w:r>
          </w:p>
        </w:tc>
        <w:tc>
          <w:tcPr>
            <w:tcW w:w="951" w:type="pct"/>
            <w:tcBorders>
              <w:top w:val="nil"/>
              <w:left w:val="nil"/>
              <w:bottom w:val="single" w:color="auto" w:sz="12" w:space="0"/>
              <w:right w:val="nil"/>
            </w:tcBorders>
            <w:tcMar>
              <w:top w:w="-1" w:type="dxa"/>
              <w:left w:w="-1" w:type="dxa"/>
              <w:bottom w:w="-1" w:type="dxa"/>
              <w:right w:w="-1" w:type="dxa"/>
            </w:tcMar>
            <w:vAlign w:val="center"/>
          </w:tcPr>
          <w:p w14:paraId="78765F7E">
            <w:pPr>
              <w:widowControl/>
              <w:snapToGrid w:val="0"/>
              <w:spacing w:line="240" w:lineRule="auto"/>
              <w:ind w:firstLine="0" w:firstLineChars="0"/>
              <w:jc w:val="center"/>
              <w:textAlignment w:val="center"/>
              <w:rPr>
                <w:sz w:val="21"/>
                <w:szCs w:val="21"/>
              </w:rPr>
            </w:pPr>
            <w:r>
              <w:rPr>
                <w:color w:val="000000"/>
                <w:sz w:val="21"/>
                <w:szCs w:val="21"/>
                <w:lang w:bidi="ar"/>
              </w:rPr>
              <w:t>25.49</w:t>
            </w:r>
          </w:p>
        </w:tc>
      </w:tr>
    </w:tbl>
    <w:p w14:paraId="0974B143">
      <w:pPr>
        <w:ind w:firstLine="480"/>
      </w:pPr>
      <w:r>
        <w:rPr>
          <w:rFonts w:hint="eastAsia"/>
        </w:rPr>
        <w:t>本文模型三工况平均RMSE 25.49 min，比CNN的29.09 min低了一截，跟LSTM和GRU更是拉开了明显差距。单靠CNN的局部特征提取或者RNN的时序建模，都不足以同时兼顾局部退化细节和全局趋势，SE-ResNet加BiGRU的组合在这点上确实有优势。</w:t>
      </w:r>
    </w:p>
    <w:p w14:paraId="5CC1189A">
      <w:pPr>
        <w:pStyle w:val="4"/>
        <w:spacing w:before="120" w:after="120"/>
      </w:pPr>
      <w:bookmarkStart w:id="128" w:name="_Toc9530"/>
      <w:bookmarkStart w:id="129" w:name="_Toc19679"/>
      <w:r>
        <w:t>4.5.2 与融合注意力机制模型（Informer-SEnet）的对比</w:t>
      </w:r>
      <w:bookmarkEnd w:id="128"/>
      <w:bookmarkEnd w:id="129"/>
    </w:p>
    <w:p w14:paraId="0BBD81A5">
      <w:pPr>
        <w:ind w:firstLine="480"/>
        <w:rPr>
          <w:rFonts w:hint="eastAsia"/>
        </w:rPr>
      </w:pPr>
      <w:r>
        <w:t>I</w:t>
      </w:r>
      <w:r>
        <w:rPr>
          <w:rFonts w:hint="eastAsia"/>
        </w:rPr>
        <w:t>nformer-SEnet是结合概率稀疏自注意力和SE模块的时序模型。同等条件下，本文模型平均RMSE 25.49 min，Informer-SEnet则是71.56 min，误差整体低了64.4%。拆开看，工况1本文模型误差只有对方的29.3%，工况2从130.48 min降到52.44 min，工况3从61.94 min降到17.53 min。</w:t>
      </w:r>
    </w:p>
    <w:p w14:paraId="17ED73DB">
      <w:pPr>
        <w:ind w:firstLine="480"/>
      </w:pPr>
      <w:r>
        <w:rPr>
          <w:rFonts w:hint="eastAsia"/>
        </w:rPr>
        <w:t>Transformer那一套稀疏全局注意力，做通用长序列建模很强，但放到轴承RUL预测这里就有点不适用了——它容易把全局的无关噪声也放进来，对早期微弱冲击和单调退化趋势的捕捉不够精准。</w:t>
      </w:r>
      <w:r>
        <w:rPr>
          <w:rFonts w:hint="eastAsia"/>
          <w:lang w:val="en-US" w:eastAsia="zh-CN"/>
        </w:rPr>
        <w:t>相比之下，</w:t>
      </w:r>
      <w:r>
        <w:rPr>
          <w:rFonts w:hint="eastAsia"/>
        </w:rPr>
        <w:t>本文这套架构是顺着轴承退化物理逻辑搭的：先残差卷积抓局部，再SE加权做通道筛选，最后BiGRU做双向时序拟合，在短命、长命、波动大的场景下都能</w:t>
      </w:r>
      <w:r>
        <w:rPr>
          <w:rFonts w:hint="eastAsia"/>
          <w:lang w:val="en-US" w:eastAsia="zh-CN"/>
        </w:rPr>
        <w:t>性能稳定</w:t>
      </w:r>
      <w:r>
        <w:rPr>
          <w:rFonts w:hint="eastAsia"/>
        </w:rPr>
        <w:t>。</w:t>
      </w:r>
    </w:p>
    <w:p w14:paraId="0B825F12">
      <w:pPr>
        <w:pStyle w:val="3"/>
        <w:spacing w:before="120" w:after="120"/>
      </w:pPr>
      <w:bookmarkStart w:id="130" w:name="_Toc12219"/>
      <w:bookmarkStart w:id="131" w:name="_Toc23361"/>
      <w:r>
        <w:t>4.6 消融实验与模块有效性验证</w:t>
      </w:r>
      <w:bookmarkEnd w:id="130"/>
      <w:bookmarkEnd w:id="131"/>
    </w:p>
    <w:p w14:paraId="2385E618">
      <w:pPr>
        <w:pStyle w:val="4"/>
        <w:spacing w:before="120" w:after="120"/>
      </w:pPr>
      <w:bookmarkStart w:id="132" w:name="_Toc10289"/>
      <w:bookmarkStart w:id="133" w:name="_Toc25423"/>
      <w:r>
        <w:t>4.6.1 SE注意力机制消融：ResNetvsSE-ResNet性能对比</w:t>
      </w:r>
      <w:bookmarkEnd w:id="132"/>
      <w:bookmarkEnd w:id="133"/>
    </w:p>
    <w:p w14:paraId="62D8F52B">
      <w:pPr>
        <w:ind w:firstLine="480"/>
      </w:pPr>
      <w:r>
        <w:t>为验证SE模块的贡献，在单工况下对比了ResNetBiGRU（无SE）与SE-ResNet+BiGRU的性能，结果如表4-8所示。</w:t>
      </w:r>
    </w:p>
    <w:p w14:paraId="38425348">
      <w:pPr>
        <w:pStyle w:val="8"/>
        <w:rPr>
          <w:rFonts w:ascii="Times New Roman" w:hAnsi="Times New Roman"/>
        </w:rPr>
      </w:pPr>
      <w:r>
        <w:rPr>
          <w:rFonts w:ascii="Times New Roman" w:hAnsi="Times New Roman"/>
        </w:rPr>
        <w:t>表4-8 SE模块消融实验结果（RMSE，min）</w:t>
      </w:r>
    </w:p>
    <w:tbl>
      <w:tblPr>
        <w:tblStyle w:val="21"/>
        <w:tblW w:w="4998" w:type="pct"/>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80" w:type="dxa"/>
          <w:left w:w="120" w:type="dxa"/>
          <w:bottom w:w="80" w:type="dxa"/>
          <w:right w:w="120" w:type="dxa"/>
        </w:tblCellMar>
      </w:tblPr>
      <w:tblGrid>
        <w:gridCol w:w="2771"/>
        <w:gridCol w:w="1443"/>
        <w:gridCol w:w="1445"/>
        <w:gridCol w:w="1445"/>
        <w:gridCol w:w="1445"/>
      </w:tblGrid>
      <w:tr w14:paraId="0BD559F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blHeader/>
          <w:jc w:val="center"/>
        </w:trPr>
        <w:tc>
          <w:tcPr>
            <w:tcW w:w="1621" w:type="pct"/>
            <w:tcBorders>
              <w:top w:val="single" w:color="auto" w:sz="12" w:space="0"/>
              <w:left w:val="nil"/>
              <w:bottom w:val="nil"/>
              <w:right w:val="nil"/>
            </w:tcBorders>
            <w:tcMar>
              <w:top w:w="-1" w:type="dxa"/>
              <w:left w:w="-1" w:type="dxa"/>
              <w:bottom w:w="-1" w:type="dxa"/>
              <w:right w:w="-1" w:type="dxa"/>
            </w:tcMar>
            <w:vAlign w:val="center"/>
          </w:tcPr>
          <w:p w14:paraId="6381B0C5">
            <w:pPr>
              <w:snapToGrid w:val="0"/>
              <w:spacing w:line="360" w:lineRule="auto"/>
              <w:ind w:firstLine="0" w:firstLineChars="0"/>
              <w:jc w:val="center"/>
              <w:rPr>
                <w:bCs/>
                <w:sz w:val="21"/>
                <w:szCs w:val="21"/>
              </w:rPr>
            </w:pPr>
            <w:r>
              <w:rPr>
                <w:bCs/>
                <w:sz w:val="21"/>
                <w:szCs w:val="21"/>
              </w:rPr>
              <w:t>模型</w:t>
            </w:r>
          </w:p>
        </w:tc>
        <w:tc>
          <w:tcPr>
            <w:tcW w:w="844" w:type="pct"/>
            <w:tcBorders>
              <w:top w:val="single" w:color="auto" w:sz="12" w:space="0"/>
              <w:left w:val="nil"/>
              <w:bottom w:val="nil"/>
              <w:right w:val="nil"/>
            </w:tcBorders>
            <w:tcMar>
              <w:top w:w="-1" w:type="dxa"/>
              <w:left w:w="-1" w:type="dxa"/>
              <w:bottom w:w="-1" w:type="dxa"/>
              <w:right w:w="-1" w:type="dxa"/>
            </w:tcMar>
            <w:vAlign w:val="center"/>
          </w:tcPr>
          <w:p w14:paraId="01675794">
            <w:pPr>
              <w:snapToGrid w:val="0"/>
              <w:spacing w:line="360" w:lineRule="auto"/>
              <w:ind w:firstLine="0" w:firstLineChars="0"/>
              <w:jc w:val="center"/>
              <w:rPr>
                <w:bCs/>
                <w:sz w:val="21"/>
                <w:szCs w:val="21"/>
              </w:rPr>
            </w:pPr>
            <w:r>
              <w:rPr>
                <w:bCs/>
                <w:sz w:val="21"/>
                <w:szCs w:val="21"/>
              </w:rPr>
              <w:t>工况1</w:t>
            </w:r>
          </w:p>
        </w:tc>
        <w:tc>
          <w:tcPr>
            <w:tcW w:w="845" w:type="pct"/>
            <w:tcBorders>
              <w:top w:val="single" w:color="auto" w:sz="12" w:space="0"/>
              <w:left w:val="nil"/>
              <w:bottom w:val="nil"/>
              <w:right w:val="nil"/>
            </w:tcBorders>
            <w:tcMar>
              <w:top w:w="-1" w:type="dxa"/>
              <w:left w:w="-1" w:type="dxa"/>
              <w:bottom w:w="-1" w:type="dxa"/>
              <w:right w:w="-1" w:type="dxa"/>
            </w:tcMar>
            <w:vAlign w:val="center"/>
          </w:tcPr>
          <w:p w14:paraId="74976C5B">
            <w:pPr>
              <w:snapToGrid w:val="0"/>
              <w:spacing w:line="360" w:lineRule="auto"/>
              <w:ind w:firstLine="0" w:firstLineChars="0"/>
              <w:jc w:val="center"/>
              <w:rPr>
                <w:bCs/>
                <w:sz w:val="21"/>
                <w:szCs w:val="21"/>
              </w:rPr>
            </w:pPr>
            <w:r>
              <w:rPr>
                <w:bCs/>
                <w:sz w:val="21"/>
                <w:szCs w:val="21"/>
              </w:rPr>
              <w:t>工况2</w:t>
            </w:r>
          </w:p>
        </w:tc>
        <w:tc>
          <w:tcPr>
            <w:tcW w:w="845" w:type="pct"/>
            <w:tcBorders>
              <w:top w:val="single" w:color="auto" w:sz="12" w:space="0"/>
              <w:left w:val="nil"/>
              <w:bottom w:val="nil"/>
              <w:right w:val="nil"/>
            </w:tcBorders>
            <w:tcMar>
              <w:top w:w="-1" w:type="dxa"/>
              <w:left w:w="-1" w:type="dxa"/>
              <w:bottom w:w="-1" w:type="dxa"/>
              <w:right w:w="-1" w:type="dxa"/>
            </w:tcMar>
            <w:vAlign w:val="center"/>
          </w:tcPr>
          <w:p w14:paraId="7024C39C">
            <w:pPr>
              <w:snapToGrid w:val="0"/>
              <w:spacing w:line="360" w:lineRule="auto"/>
              <w:ind w:firstLine="0" w:firstLineChars="0"/>
              <w:jc w:val="center"/>
              <w:rPr>
                <w:bCs/>
                <w:sz w:val="21"/>
                <w:szCs w:val="21"/>
              </w:rPr>
            </w:pPr>
            <w:r>
              <w:rPr>
                <w:bCs/>
                <w:sz w:val="21"/>
                <w:szCs w:val="21"/>
              </w:rPr>
              <w:t>工况3</w:t>
            </w:r>
          </w:p>
        </w:tc>
        <w:tc>
          <w:tcPr>
            <w:tcW w:w="845" w:type="pct"/>
            <w:tcBorders>
              <w:top w:val="single" w:color="auto" w:sz="12" w:space="0"/>
              <w:left w:val="nil"/>
              <w:bottom w:val="nil"/>
              <w:right w:val="nil"/>
            </w:tcBorders>
            <w:tcMar>
              <w:top w:w="-1" w:type="dxa"/>
              <w:left w:w="-1" w:type="dxa"/>
              <w:bottom w:w="-1" w:type="dxa"/>
              <w:right w:w="-1" w:type="dxa"/>
            </w:tcMar>
            <w:vAlign w:val="center"/>
          </w:tcPr>
          <w:p w14:paraId="4D713A45">
            <w:pPr>
              <w:snapToGrid w:val="0"/>
              <w:spacing w:line="360" w:lineRule="auto"/>
              <w:ind w:firstLine="0" w:firstLineChars="0"/>
              <w:jc w:val="center"/>
              <w:rPr>
                <w:bCs/>
                <w:sz w:val="21"/>
                <w:szCs w:val="21"/>
              </w:rPr>
            </w:pPr>
            <w:r>
              <w:rPr>
                <w:bCs/>
                <w:sz w:val="21"/>
                <w:szCs w:val="21"/>
              </w:rPr>
              <w:t>平均</w:t>
            </w:r>
          </w:p>
        </w:tc>
      </w:tr>
      <w:tr w14:paraId="5182407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80" w:type="dxa"/>
            <w:left w:w="120" w:type="dxa"/>
            <w:bottom w:w="80" w:type="dxa"/>
            <w:right w:w="120" w:type="dxa"/>
          </w:tblCellMar>
        </w:tblPrEx>
        <w:trPr>
          <w:jc w:val="center"/>
        </w:trPr>
        <w:tc>
          <w:tcPr>
            <w:tcW w:w="1621" w:type="pct"/>
            <w:tcBorders>
              <w:top w:val="single" w:color="auto" w:sz="4" w:space="0"/>
              <w:left w:val="nil"/>
              <w:bottom w:val="nil"/>
              <w:right w:val="nil"/>
            </w:tcBorders>
            <w:tcMar>
              <w:top w:w="-1" w:type="dxa"/>
              <w:left w:w="-1" w:type="dxa"/>
              <w:bottom w:w="-1" w:type="dxa"/>
              <w:right w:w="-1" w:type="dxa"/>
            </w:tcMar>
            <w:vAlign w:val="center"/>
          </w:tcPr>
          <w:p w14:paraId="12E9E820">
            <w:pPr>
              <w:snapToGrid w:val="0"/>
              <w:spacing w:line="360" w:lineRule="auto"/>
              <w:ind w:firstLine="0" w:firstLineChars="0"/>
              <w:jc w:val="center"/>
              <w:rPr>
                <w:bCs/>
                <w:sz w:val="21"/>
                <w:szCs w:val="21"/>
              </w:rPr>
            </w:pPr>
            <w:r>
              <w:rPr>
                <w:bCs/>
                <w:sz w:val="21"/>
                <w:szCs w:val="21"/>
              </w:rPr>
              <w:t>ResNetBiGRU</w:t>
            </w:r>
          </w:p>
        </w:tc>
        <w:tc>
          <w:tcPr>
            <w:tcW w:w="844" w:type="pct"/>
            <w:tcBorders>
              <w:top w:val="single" w:color="auto" w:sz="4" w:space="0"/>
              <w:left w:val="nil"/>
              <w:bottom w:val="nil"/>
              <w:right w:val="nil"/>
            </w:tcBorders>
            <w:tcMar>
              <w:top w:w="-1" w:type="dxa"/>
              <w:left w:w="-1" w:type="dxa"/>
              <w:bottom w:w="-1" w:type="dxa"/>
              <w:right w:w="-1" w:type="dxa"/>
            </w:tcMar>
            <w:vAlign w:val="center"/>
          </w:tcPr>
          <w:p w14:paraId="327AC35B">
            <w:pPr>
              <w:widowControl/>
              <w:snapToGrid w:val="0"/>
              <w:spacing w:line="360" w:lineRule="auto"/>
              <w:ind w:firstLine="0" w:firstLineChars="0"/>
              <w:jc w:val="center"/>
              <w:textAlignment w:val="top"/>
              <w:rPr>
                <w:bCs/>
                <w:sz w:val="21"/>
                <w:szCs w:val="21"/>
              </w:rPr>
            </w:pPr>
            <w:r>
              <w:rPr>
                <w:bCs/>
                <w:color w:val="000000"/>
                <w:sz w:val="21"/>
                <w:szCs w:val="21"/>
                <w:lang w:bidi="ar"/>
              </w:rPr>
              <w:t>9.32</w:t>
            </w:r>
          </w:p>
        </w:tc>
        <w:tc>
          <w:tcPr>
            <w:tcW w:w="845" w:type="pct"/>
            <w:tcBorders>
              <w:top w:val="single" w:color="auto" w:sz="4" w:space="0"/>
              <w:left w:val="nil"/>
              <w:bottom w:val="nil"/>
              <w:right w:val="nil"/>
            </w:tcBorders>
            <w:tcMar>
              <w:top w:w="-1" w:type="dxa"/>
              <w:left w:w="-1" w:type="dxa"/>
              <w:bottom w:w="-1" w:type="dxa"/>
              <w:right w:w="-1" w:type="dxa"/>
            </w:tcMar>
            <w:vAlign w:val="center"/>
          </w:tcPr>
          <w:p w14:paraId="2AA54896">
            <w:pPr>
              <w:widowControl/>
              <w:snapToGrid w:val="0"/>
              <w:spacing w:line="360" w:lineRule="auto"/>
              <w:ind w:firstLine="0" w:firstLineChars="0"/>
              <w:jc w:val="center"/>
              <w:textAlignment w:val="top"/>
              <w:rPr>
                <w:bCs/>
                <w:sz w:val="21"/>
                <w:szCs w:val="21"/>
              </w:rPr>
            </w:pPr>
            <w:r>
              <w:rPr>
                <w:bCs/>
                <w:color w:val="000000"/>
                <w:sz w:val="21"/>
                <w:szCs w:val="21"/>
                <w:lang w:bidi="ar"/>
              </w:rPr>
              <w:t>141.77</w:t>
            </w:r>
          </w:p>
        </w:tc>
        <w:tc>
          <w:tcPr>
            <w:tcW w:w="845" w:type="pct"/>
            <w:tcBorders>
              <w:top w:val="single" w:color="auto" w:sz="4" w:space="0"/>
              <w:left w:val="nil"/>
              <w:bottom w:val="nil"/>
              <w:right w:val="nil"/>
            </w:tcBorders>
            <w:tcMar>
              <w:top w:w="-1" w:type="dxa"/>
              <w:left w:w="-1" w:type="dxa"/>
              <w:bottom w:w="-1" w:type="dxa"/>
              <w:right w:w="-1" w:type="dxa"/>
            </w:tcMar>
            <w:vAlign w:val="center"/>
          </w:tcPr>
          <w:p w14:paraId="21DE63C2">
            <w:pPr>
              <w:widowControl/>
              <w:snapToGrid w:val="0"/>
              <w:spacing w:line="360" w:lineRule="auto"/>
              <w:ind w:firstLine="0" w:firstLineChars="0"/>
              <w:jc w:val="center"/>
              <w:textAlignment w:val="top"/>
              <w:rPr>
                <w:bCs/>
                <w:sz w:val="21"/>
                <w:szCs w:val="21"/>
              </w:rPr>
            </w:pPr>
            <w:r>
              <w:rPr>
                <w:bCs/>
                <w:color w:val="000000"/>
                <w:sz w:val="21"/>
                <w:szCs w:val="21"/>
                <w:lang w:bidi="ar"/>
              </w:rPr>
              <w:t>85.48</w:t>
            </w:r>
          </w:p>
        </w:tc>
        <w:tc>
          <w:tcPr>
            <w:tcW w:w="845" w:type="pct"/>
            <w:tcBorders>
              <w:top w:val="single" w:color="auto" w:sz="4" w:space="0"/>
              <w:left w:val="nil"/>
              <w:bottom w:val="nil"/>
              <w:right w:val="nil"/>
            </w:tcBorders>
            <w:tcMar>
              <w:top w:w="-1" w:type="dxa"/>
              <w:left w:w="-1" w:type="dxa"/>
              <w:bottom w:w="-1" w:type="dxa"/>
              <w:right w:w="-1" w:type="dxa"/>
            </w:tcMar>
            <w:vAlign w:val="center"/>
          </w:tcPr>
          <w:p w14:paraId="6BA5C4F8">
            <w:pPr>
              <w:widowControl/>
              <w:snapToGrid w:val="0"/>
              <w:spacing w:line="360" w:lineRule="auto"/>
              <w:ind w:firstLine="0" w:firstLineChars="0"/>
              <w:jc w:val="center"/>
              <w:textAlignment w:val="center"/>
              <w:rPr>
                <w:bCs/>
                <w:sz w:val="21"/>
                <w:szCs w:val="21"/>
              </w:rPr>
            </w:pPr>
            <w:r>
              <w:rPr>
                <w:bCs/>
                <w:color w:val="000000"/>
                <w:sz w:val="21"/>
                <w:szCs w:val="21"/>
                <w:lang w:bidi="ar"/>
              </w:rPr>
              <w:t>78.86</w:t>
            </w:r>
          </w:p>
        </w:tc>
      </w:tr>
      <w:tr w14:paraId="7811ECF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80" w:type="dxa"/>
            <w:left w:w="120" w:type="dxa"/>
            <w:bottom w:w="80" w:type="dxa"/>
            <w:right w:w="120" w:type="dxa"/>
          </w:tblCellMar>
        </w:tblPrEx>
        <w:trPr>
          <w:jc w:val="center"/>
        </w:trPr>
        <w:tc>
          <w:tcPr>
            <w:tcW w:w="1621" w:type="pct"/>
            <w:tcBorders>
              <w:top w:val="nil"/>
              <w:left w:val="nil"/>
              <w:bottom w:val="single" w:color="auto" w:sz="12" w:space="0"/>
              <w:right w:val="nil"/>
            </w:tcBorders>
            <w:tcMar>
              <w:top w:w="-1" w:type="dxa"/>
              <w:left w:w="-1" w:type="dxa"/>
              <w:bottom w:w="-1" w:type="dxa"/>
              <w:right w:w="-1" w:type="dxa"/>
            </w:tcMar>
            <w:vAlign w:val="center"/>
          </w:tcPr>
          <w:p w14:paraId="0CF04ED5">
            <w:pPr>
              <w:snapToGrid w:val="0"/>
              <w:spacing w:line="360" w:lineRule="auto"/>
              <w:ind w:firstLine="0" w:firstLineChars="0"/>
              <w:jc w:val="center"/>
              <w:rPr>
                <w:bCs/>
                <w:sz w:val="21"/>
                <w:szCs w:val="21"/>
              </w:rPr>
            </w:pPr>
            <w:r>
              <w:rPr>
                <w:bCs/>
                <w:sz w:val="21"/>
                <w:szCs w:val="21"/>
              </w:rPr>
              <w:t>SE-ResNet+BiGRU</w:t>
            </w:r>
          </w:p>
        </w:tc>
        <w:tc>
          <w:tcPr>
            <w:tcW w:w="844" w:type="pct"/>
            <w:tcBorders>
              <w:top w:val="nil"/>
              <w:left w:val="nil"/>
              <w:bottom w:val="single" w:color="auto" w:sz="12" w:space="0"/>
              <w:right w:val="nil"/>
            </w:tcBorders>
            <w:tcMar>
              <w:top w:w="-1" w:type="dxa"/>
              <w:left w:w="-1" w:type="dxa"/>
              <w:bottom w:w="-1" w:type="dxa"/>
              <w:right w:w="-1" w:type="dxa"/>
            </w:tcMar>
            <w:vAlign w:val="center"/>
          </w:tcPr>
          <w:p w14:paraId="7A0CF1EE">
            <w:pPr>
              <w:widowControl/>
              <w:snapToGrid w:val="0"/>
              <w:spacing w:line="360" w:lineRule="auto"/>
              <w:ind w:firstLine="0" w:firstLineChars="0"/>
              <w:jc w:val="center"/>
              <w:textAlignment w:val="center"/>
              <w:rPr>
                <w:bCs/>
                <w:sz w:val="21"/>
                <w:szCs w:val="21"/>
              </w:rPr>
            </w:pPr>
            <w:r>
              <w:rPr>
                <w:bCs/>
                <w:color w:val="000000"/>
                <w:sz w:val="21"/>
                <w:szCs w:val="21"/>
                <w:lang w:bidi="ar"/>
              </w:rPr>
              <w:t>6.52</w:t>
            </w:r>
          </w:p>
        </w:tc>
        <w:tc>
          <w:tcPr>
            <w:tcW w:w="845" w:type="pct"/>
            <w:tcBorders>
              <w:top w:val="nil"/>
              <w:left w:val="nil"/>
              <w:bottom w:val="single" w:color="auto" w:sz="12" w:space="0"/>
              <w:right w:val="nil"/>
            </w:tcBorders>
            <w:tcMar>
              <w:top w:w="-1" w:type="dxa"/>
              <w:left w:w="-1" w:type="dxa"/>
              <w:bottom w:w="-1" w:type="dxa"/>
              <w:right w:w="-1" w:type="dxa"/>
            </w:tcMar>
            <w:vAlign w:val="center"/>
          </w:tcPr>
          <w:p w14:paraId="5DAA2C46">
            <w:pPr>
              <w:widowControl/>
              <w:snapToGrid w:val="0"/>
              <w:spacing w:line="360" w:lineRule="auto"/>
              <w:ind w:firstLine="0" w:firstLineChars="0"/>
              <w:jc w:val="center"/>
              <w:textAlignment w:val="center"/>
              <w:rPr>
                <w:bCs/>
                <w:sz w:val="21"/>
                <w:szCs w:val="21"/>
              </w:rPr>
            </w:pPr>
            <w:r>
              <w:rPr>
                <w:bCs/>
                <w:color w:val="000000"/>
                <w:sz w:val="21"/>
                <w:szCs w:val="21"/>
                <w:lang w:bidi="ar"/>
              </w:rPr>
              <w:t>52.44</w:t>
            </w:r>
          </w:p>
        </w:tc>
        <w:tc>
          <w:tcPr>
            <w:tcW w:w="845" w:type="pct"/>
            <w:tcBorders>
              <w:top w:val="nil"/>
              <w:left w:val="nil"/>
              <w:bottom w:val="single" w:color="auto" w:sz="12" w:space="0"/>
              <w:right w:val="nil"/>
            </w:tcBorders>
            <w:tcMar>
              <w:top w:w="-1" w:type="dxa"/>
              <w:left w:w="-1" w:type="dxa"/>
              <w:bottom w:w="-1" w:type="dxa"/>
              <w:right w:w="-1" w:type="dxa"/>
            </w:tcMar>
            <w:vAlign w:val="center"/>
          </w:tcPr>
          <w:p w14:paraId="64715A29">
            <w:pPr>
              <w:widowControl/>
              <w:snapToGrid w:val="0"/>
              <w:spacing w:line="360" w:lineRule="auto"/>
              <w:ind w:firstLine="0" w:firstLineChars="0"/>
              <w:jc w:val="center"/>
              <w:textAlignment w:val="center"/>
              <w:rPr>
                <w:bCs/>
                <w:sz w:val="21"/>
                <w:szCs w:val="21"/>
              </w:rPr>
            </w:pPr>
            <w:r>
              <w:rPr>
                <w:bCs/>
                <w:color w:val="000000"/>
                <w:sz w:val="21"/>
                <w:szCs w:val="21"/>
                <w:lang w:bidi="ar"/>
              </w:rPr>
              <w:t>17.53</w:t>
            </w:r>
          </w:p>
        </w:tc>
        <w:tc>
          <w:tcPr>
            <w:tcW w:w="845" w:type="pct"/>
            <w:tcBorders>
              <w:top w:val="nil"/>
              <w:left w:val="nil"/>
              <w:bottom w:val="single" w:color="auto" w:sz="12" w:space="0"/>
              <w:right w:val="nil"/>
            </w:tcBorders>
            <w:tcMar>
              <w:top w:w="-1" w:type="dxa"/>
              <w:left w:w="-1" w:type="dxa"/>
              <w:bottom w:w="-1" w:type="dxa"/>
              <w:right w:w="-1" w:type="dxa"/>
            </w:tcMar>
            <w:vAlign w:val="center"/>
          </w:tcPr>
          <w:p w14:paraId="6B9CC3D7">
            <w:pPr>
              <w:widowControl/>
              <w:snapToGrid w:val="0"/>
              <w:spacing w:line="360" w:lineRule="auto"/>
              <w:ind w:firstLine="0" w:firstLineChars="0"/>
              <w:jc w:val="center"/>
              <w:textAlignment w:val="center"/>
              <w:rPr>
                <w:bCs/>
                <w:sz w:val="21"/>
                <w:szCs w:val="21"/>
              </w:rPr>
            </w:pPr>
            <w:r>
              <w:rPr>
                <w:bCs/>
                <w:color w:val="000000"/>
                <w:sz w:val="21"/>
                <w:szCs w:val="21"/>
                <w:lang w:bidi="ar"/>
              </w:rPr>
              <w:t>25.49</w:t>
            </w:r>
          </w:p>
        </w:tc>
      </w:tr>
    </w:tbl>
    <w:p w14:paraId="62BD96AD">
      <w:pPr>
        <w:ind w:firstLine="480"/>
      </w:pPr>
      <w:r>
        <w:rPr>
          <w:rFonts w:hint="eastAsia"/>
        </w:rPr>
        <w:t>拿掉SE之后，平均RMSE从25.49 min飙到78.86 min，整体涨了约67.7%。工况2尤其明显——141.77 min对52.44 min。SE模块干的事很明确：自适应通道加权，把跟退化相关的敏感通道拉高，把噪声和冗余压下去。少了这层机制，模型在复杂波动工况下明显吃力，SE模块作为核心组件的价值在这组对比里体现得很直接。</w:t>
      </w:r>
    </w:p>
    <w:p w14:paraId="1E4A52ED">
      <w:pPr>
        <w:pStyle w:val="4"/>
        <w:spacing w:before="120" w:after="120"/>
      </w:pPr>
      <w:bookmarkStart w:id="134" w:name="_Toc17487"/>
      <w:bookmarkStart w:id="135" w:name="_Toc28546"/>
      <w:r>
        <w:t>4.6.2 双向时序模块消融：GRUvsLSTMvsBiGRU性能对比</w:t>
      </w:r>
      <w:bookmarkEnd w:id="134"/>
      <w:bookmarkEnd w:id="135"/>
    </w:p>
    <w:p w14:paraId="245C0D0A">
      <w:pPr>
        <w:ind w:firstLine="480"/>
      </w:pPr>
      <w:r>
        <w:t>下图对比了SE-ResNet分别与GRU、LSTM、BiGRU组合时的单工况平均RMSE。</w:t>
      </w:r>
    </w:p>
    <w:p w14:paraId="7A6D0249">
      <w:pPr>
        <w:pStyle w:val="8"/>
        <w:rPr>
          <w:rFonts w:ascii="Times New Roman" w:hAnsi="Times New Roman"/>
        </w:rPr>
      </w:pPr>
      <w:r>
        <w:rPr>
          <w:rFonts w:ascii="Times New Roman" w:hAnsi="Times New Roman"/>
        </w:rPr>
        <w:t>表4-9 时序模块消融实验结果（平均RMSE，min）</w:t>
      </w:r>
    </w:p>
    <w:tbl>
      <w:tblPr>
        <w:tblStyle w:val="21"/>
        <w:tblW w:w="4999" w:type="pct"/>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80" w:type="dxa"/>
          <w:left w:w="120" w:type="dxa"/>
          <w:bottom w:w="80" w:type="dxa"/>
          <w:right w:w="120" w:type="dxa"/>
        </w:tblCellMar>
      </w:tblPr>
      <w:tblGrid>
        <w:gridCol w:w="4275"/>
        <w:gridCol w:w="4275"/>
      </w:tblGrid>
      <w:tr w14:paraId="0E1A33E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80" w:type="dxa"/>
            <w:left w:w="120" w:type="dxa"/>
            <w:bottom w:w="80" w:type="dxa"/>
            <w:right w:w="120" w:type="dxa"/>
          </w:tblCellMar>
        </w:tblPrEx>
        <w:trPr>
          <w:tblHeader/>
          <w:jc w:val="center"/>
        </w:trPr>
        <w:tc>
          <w:tcPr>
            <w:tcW w:w="2500" w:type="pct"/>
            <w:tcBorders>
              <w:top w:val="single" w:color="auto" w:sz="12" w:space="0"/>
              <w:left w:val="nil"/>
              <w:bottom w:val="nil"/>
              <w:right w:val="nil"/>
            </w:tcBorders>
            <w:tcMar>
              <w:top w:w="-1" w:type="dxa"/>
              <w:left w:w="-1" w:type="dxa"/>
              <w:bottom w:w="-1" w:type="dxa"/>
              <w:right w:w="-1" w:type="dxa"/>
            </w:tcMar>
            <w:vAlign w:val="center"/>
          </w:tcPr>
          <w:p w14:paraId="42FD9990">
            <w:pPr>
              <w:snapToGrid w:val="0"/>
              <w:spacing w:line="360" w:lineRule="auto"/>
              <w:ind w:firstLine="0" w:firstLineChars="0"/>
              <w:jc w:val="center"/>
              <w:rPr>
                <w:bCs/>
                <w:sz w:val="21"/>
                <w:szCs w:val="21"/>
              </w:rPr>
            </w:pPr>
            <w:r>
              <w:rPr>
                <w:bCs/>
                <w:sz w:val="21"/>
                <w:szCs w:val="21"/>
              </w:rPr>
              <w:t>模型</w:t>
            </w:r>
          </w:p>
        </w:tc>
        <w:tc>
          <w:tcPr>
            <w:tcW w:w="2500" w:type="pct"/>
            <w:tcBorders>
              <w:top w:val="single" w:color="auto" w:sz="12" w:space="0"/>
              <w:left w:val="nil"/>
              <w:bottom w:val="nil"/>
              <w:right w:val="nil"/>
            </w:tcBorders>
            <w:tcMar>
              <w:top w:w="-1" w:type="dxa"/>
              <w:left w:w="-1" w:type="dxa"/>
              <w:bottom w:w="-1" w:type="dxa"/>
              <w:right w:w="-1" w:type="dxa"/>
            </w:tcMar>
            <w:vAlign w:val="center"/>
          </w:tcPr>
          <w:p w14:paraId="15F90AA6">
            <w:pPr>
              <w:snapToGrid w:val="0"/>
              <w:spacing w:line="360" w:lineRule="auto"/>
              <w:ind w:firstLine="0" w:firstLineChars="0"/>
              <w:jc w:val="center"/>
              <w:rPr>
                <w:bCs/>
                <w:sz w:val="21"/>
                <w:szCs w:val="21"/>
              </w:rPr>
            </w:pPr>
            <w:r>
              <w:rPr>
                <w:bCs/>
                <w:sz w:val="21"/>
                <w:szCs w:val="21"/>
              </w:rPr>
              <w:t>平均RMSE</w:t>
            </w:r>
          </w:p>
        </w:tc>
      </w:tr>
      <w:tr w14:paraId="7818B36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80" w:type="dxa"/>
            <w:left w:w="120" w:type="dxa"/>
            <w:bottom w:w="80" w:type="dxa"/>
            <w:right w:w="120" w:type="dxa"/>
          </w:tblCellMar>
        </w:tblPrEx>
        <w:trPr>
          <w:jc w:val="center"/>
        </w:trPr>
        <w:tc>
          <w:tcPr>
            <w:tcW w:w="2500" w:type="pct"/>
            <w:tcBorders>
              <w:top w:val="single" w:color="auto" w:sz="4" w:space="0"/>
              <w:left w:val="nil"/>
              <w:bottom w:val="nil"/>
              <w:right w:val="nil"/>
            </w:tcBorders>
            <w:tcMar>
              <w:top w:w="-1" w:type="dxa"/>
              <w:left w:w="-1" w:type="dxa"/>
              <w:bottom w:w="-1" w:type="dxa"/>
              <w:right w:w="-1" w:type="dxa"/>
            </w:tcMar>
            <w:vAlign w:val="center"/>
          </w:tcPr>
          <w:p w14:paraId="1E462E90">
            <w:pPr>
              <w:snapToGrid w:val="0"/>
              <w:spacing w:line="360" w:lineRule="auto"/>
              <w:ind w:firstLine="0" w:firstLineChars="0"/>
              <w:jc w:val="center"/>
              <w:rPr>
                <w:bCs/>
                <w:sz w:val="21"/>
                <w:szCs w:val="21"/>
              </w:rPr>
            </w:pPr>
            <w:r>
              <w:rPr>
                <w:bCs/>
                <w:sz w:val="21"/>
                <w:szCs w:val="21"/>
              </w:rPr>
              <w:t>SE-ResNet+GRU</w:t>
            </w:r>
          </w:p>
        </w:tc>
        <w:tc>
          <w:tcPr>
            <w:tcW w:w="2500" w:type="pct"/>
            <w:tcBorders>
              <w:top w:val="single" w:color="auto" w:sz="4" w:space="0"/>
              <w:left w:val="nil"/>
              <w:bottom w:val="nil"/>
              <w:right w:val="nil"/>
            </w:tcBorders>
            <w:tcMar>
              <w:top w:w="-1" w:type="dxa"/>
              <w:left w:w="-1" w:type="dxa"/>
              <w:bottom w:w="-1" w:type="dxa"/>
              <w:right w:w="-1" w:type="dxa"/>
            </w:tcMar>
            <w:vAlign w:val="center"/>
          </w:tcPr>
          <w:p w14:paraId="057517A4">
            <w:pPr>
              <w:widowControl/>
              <w:snapToGrid w:val="0"/>
              <w:spacing w:line="360" w:lineRule="auto"/>
              <w:ind w:firstLine="0" w:firstLineChars="0"/>
              <w:jc w:val="center"/>
              <w:textAlignment w:val="center"/>
              <w:rPr>
                <w:bCs/>
                <w:sz w:val="21"/>
                <w:szCs w:val="21"/>
              </w:rPr>
            </w:pPr>
            <w:r>
              <w:rPr>
                <w:bCs/>
                <w:color w:val="000000"/>
                <w:sz w:val="21"/>
                <w:szCs w:val="21"/>
                <w:lang w:bidi="ar"/>
              </w:rPr>
              <w:t>67.84</w:t>
            </w:r>
          </w:p>
        </w:tc>
      </w:tr>
      <w:tr w14:paraId="23FBC4A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80" w:type="dxa"/>
            <w:left w:w="120" w:type="dxa"/>
            <w:bottom w:w="80" w:type="dxa"/>
            <w:right w:w="120" w:type="dxa"/>
          </w:tblCellMar>
        </w:tblPrEx>
        <w:trPr>
          <w:jc w:val="center"/>
        </w:trPr>
        <w:tc>
          <w:tcPr>
            <w:tcW w:w="2500" w:type="pct"/>
            <w:tcBorders>
              <w:top w:val="nil"/>
              <w:left w:val="nil"/>
              <w:bottom w:val="nil"/>
              <w:right w:val="nil"/>
            </w:tcBorders>
            <w:tcMar>
              <w:top w:w="-1" w:type="dxa"/>
              <w:left w:w="-1" w:type="dxa"/>
              <w:bottom w:w="-1" w:type="dxa"/>
              <w:right w:w="-1" w:type="dxa"/>
            </w:tcMar>
            <w:vAlign w:val="center"/>
          </w:tcPr>
          <w:p w14:paraId="66A8A6C1">
            <w:pPr>
              <w:snapToGrid w:val="0"/>
              <w:spacing w:line="360" w:lineRule="auto"/>
              <w:ind w:firstLine="0" w:firstLineChars="0"/>
              <w:jc w:val="center"/>
              <w:rPr>
                <w:bCs/>
                <w:sz w:val="21"/>
                <w:szCs w:val="21"/>
              </w:rPr>
            </w:pPr>
            <w:r>
              <w:rPr>
                <w:bCs/>
                <w:sz w:val="21"/>
                <w:szCs w:val="21"/>
              </w:rPr>
              <w:t>SE-ResNet+LSTM</w:t>
            </w:r>
          </w:p>
        </w:tc>
        <w:tc>
          <w:tcPr>
            <w:tcW w:w="2500" w:type="pct"/>
            <w:tcBorders>
              <w:top w:val="nil"/>
              <w:left w:val="nil"/>
              <w:bottom w:val="nil"/>
              <w:right w:val="nil"/>
            </w:tcBorders>
            <w:tcMar>
              <w:top w:w="-1" w:type="dxa"/>
              <w:left w:w="-1" w:type="dxa"/>
              <w:bottom w:w="-1" w:type="dxa"/>
              <w:right w:w="-1" w:type="dxa"/>
            </w:tcMar>
            <w:vAlign w:val="center"/>
          </w:tcPr>
          <w:p w14:paraId="6F1216A6">
            <w:pPr>
              <w:widowControl/>
              <w:snapToGrid w:val="0"/>
              <w:spacing w:line="360" w:lineRule="auto"/>
              <w:ind w:firstLine="0" w:firstLineChars="0"/>
              <w:jc w:val="center"/>
              <w:textAlignment w:val="center"/>
              <w:rPr>
                <w:bCs/>
                <w:sz w:val="21"/>
                <w:szCs w:val="21"/>
              </w:rPr>
            </w:pPr>
            <w:r>
              <w:rPr>
                <w:bCs/>
                <w:color w:val="000000"/>
                <w:sz w:val="21"/>
                <w:szCs w:val="21"/>
                <w:lang w:bidi="ar"/>
              </w:rPr>
              <w:t>59.54</w:t>
            </w:r>
          </w:p>
        </w:tc>
      </w:tr>
      <w:tr w14:paraId="37C8E1F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80" w:type="dxa"/>
            <w:left w:w="120" w:type="dxa"/>
            <w:bottom w:w="80" w:type="dxa"/>
            <w:right w:w="120" w:type="dxa"/>
          </w:tblCellMar>
        </w:tblPrEx>
        <w:trPr>
          <w:jc w:val="center"/>
        </w:trPr>
        <w:tc>
          <w:tcPr>
            <w:tcW w:w="2500" w:type="pct"/>
            <w:tcBorders>
              <w:top w:val="nil"/>
              <w:left w:val="nil"/>
              <w:bottom w:val="single" w:color="auto" w:sz="12" w:space="0"/>
              <w:right w:val="nil"/>
            </w:tcBorders>
            <w:tcMar>
              <w:top w:w="-1" w:type="dxa"/>
              <w:left w:w="-1" w:type="dxa"/>
              <w:bottom w:w="-1" w:type="dxa"/>
              <w:right w:w="-1" w:type="dxa"/>
            </w:tcMar>
            <w:vAlign w:val="center"/>
          </w:tcPr>
          <w:p w14:paraId="0CB43FAB">
            <w:pPr>
              <w:snapToGrid w:val="0"/>
              <w:spacing w:line="360" w:lineRule="auto"/>
              <w:ind w:firstLine="0" w:firstLineChars="0"/>
              <w:jc w:val="center"/>
              <w:rPr>
                <w:bCs/>
                <w:sz w:val="21"/>
                <w:szCs w:val="21"/>
              </w:rPr>
            </w:pPr>
            <w:r>
              <w:rPr>
                <w:bCs/>
                <w:sz w:val="21"/>
                <w:szCs w:val="21"/>
              </w:rPr>
              <w:t>SE-ResNet+BiGRU</w:t>
            </w:r>
          </w:p>
        </w:tc>
        <w:tc>
          <w:tcPr>
            <w:tcW w:w="2500" w:type="pct"/>
            <w:tcBorders>
              <w:top w:val="nil"/>
              <w:left w:val="nil"/>
              <w:bottom w:val="single" w:color="auto" w:sz="12" w:space="0"/>
              <w:right w:val="nil"/>
            </w:tcBorders>
            <w:tcMar>
              <w:top w:w="-1" w:type="dxa"/>
              <w:left w:w="-1" w:type="dxa"/>
              <w:bottom w:w="-1" w:type="dxa"/>
              <w:right w:w="-1" w:type="dxa"/>
            </w:tcMar>
            <w:vAlign w:val="center"/>
          </w:tcPr>
          <w:p w14:paraId="79FB4667">
            <w:pPr>
              <w:snapToGrid w:val="0"/>
              <w:spacing w:line="360" w:lineRule="auto"/>
              <w:ind w:firstLine="0" w:firstLineChars="0"/>
              <w:jc w:val="center"/>
              <w:rPr>
                <w:bCs/>
                <w:sz w:val="21"/>
                <w:szCs w:val="21"/>
              </w:rPr>
            </w:pPr>
            <w:r>
              <w:rPr>
                <w:bCs/>
                <w:sz w:val="21"/>
                <w:szCs w:val="21"/>
              </w:rPr>
              <w:t>25.49</w:t>
            </w:r>
          </w:p>
        </w:tc>
      </w:tr>
    </w:tbl>
    <w:p w14:paraId="3091A702">
      <w:pPr>
        <w:ind w:firstLine="480"/>
      </w:pPr>
      <w:r>
        <w:rPr>
          <w:rFonts w:hint="eastAsia"/>
        </w:rPr>
        <w:t>单向GRU和LSTM分别比BiGRU高出了167.4%和134.7%。有意思的是，LSTM虽然门控机制更复杂，但平均RMSE还是比双向GRU高出</w:t>
      </w:r>
      <w:r>
        <w:rPr>
          <w:rFonts w:hint="eastAsia"/>
          <w:lang w:val="en-US" w:eastAsia="zh-CN"/>
        </w:rPr>
        <w:t>许多</w:t>
      </w:r>
      <w:r>
        <w:rPr>
          <w:rFonts w:hint="eastAsia"/>
        </w:rPr>
        <w:t>——说明在退化趋势建模上，双向结构比堆更多的记忆门</w:t>
      </w:r>
      <w:r>
        <w:rPr>
          <w:rFonts w:hint="eastAsia"/>
          <w:lang w:val="en-US" w:eastAsia="zh-CN"/>
        </w:rPr>
        <w:t>更加有效</w:t>
      </w:r>
      <w:r>
        <w:rPr>
          <w:rFonts w:hint="eastAsia"/>
        </w:rPr>
        <w:t>。轴承的退化特征不是单向因果序列，早期微弱故障的征兆有时得靠后面的剧烈退化信号来回溯确认，BiGRU前向和后向隐状态拼接恰好</w:t>
      </w:r>
      <w:r>
        <w:rPr>
          <w:rFonts w:hint="eastAsia"/>
          <w:lang w:eastAsia="zh-CN"/>
        </w:rPr>
        <w:t>使</w:t>
      </w:r>
      <w:r>
        <w:rPr>
          <w:rFonts w:hint="eastAsia"/>
        </w:rPr>
        <w:t>每个时间步都融进了全局上下文。GRU本身结构精简，两个门控单元就够了，搭上双向机制既不担心过参数化，也保留了足够的时序建模弹性</w:t>
      </w:r>
      <w:r>
        <w:t>。</w:t>
      </w:r>
    </w:p>
    <w:p w14:paraId="5EC0CF3E">
      <w:pPr>
        <w:pStyle w:val="4"/>
        <w:spacing w:before="120" w:after="120"/>
      </w:pPr>
      <w:bookmarkStart w:id="136" w:name="_Toc23965"/>
      <w:bookmarkStart w:id="137" w:name="_Toc15750"/>
      <w:r>
        <w:t>4.6.3 特征提取模块有效性验证：SE-ResNet+BiGRUvs纯BiGRU</w:t>
      </w:r>
      <w:bookmarkEnd w:id="136"/>
      <w:bookmarkEnd w:id="137"/>
    </w:p>
    <w:p w14:paraId="25DB5D5C">
      <w:pPr>
        <w:ind w:firstLine="480"/>
      </w:pPr>
      <w:r>
        <w:t>为验证SE-ResNet特征提取模块对多工况RUL预测的增益，本文将完整模型与去除SE-ResNet的纯BiGRU模型进行对比。</w:t>
      </w:r>
      <w:r>
        <w:rPr>
          <w:rFonts w:hint="eastAsia"/>
        </w:rPr>
        <w:t>表4-10是把SE-ResNet整个特征提取端拿掉，直接用纯BiGRU对140维原始特征做时序建模的对比结果。</w:t>
      </w:r>
    </w:p>
    <w:p w14:paraId="6B99521C">
      <w:pPr>
        <w:pStyle w:val="8"/>
        <w:rPr>
          <w:rFonts w:ascii="Times New Roman" w:hAnsi="Times New Roman"/>
        </w:rPr>
      </w:pPr>
      <w:r>
        <w:rPr>
          <w:rFonts w:ascii="Times New Roman" w:hAnsi="Times New Roman"/>
        </w:rPr>
        <w:t>表4-10 SE-ResNet特征提取模块消融实验结果（NRMSE，%）</w:t>
      </w:r>
    </w:p>
    <w:tbl>
      <w:tblPr>
        <w:tblStyle w:val="21"/>
        <w:tblW w:w="4998" w:type="pct"/>
        <w:jc w:val="center"/>
        <w:tblLayout w:type="autofit"/>
        <w:tblCellMar>
          <w:top w:w="0" w:type="dxa"/>
          <w:left w:w="108" w:type="dxa"/>
          <w:bottom w:w="0" w:type="dxa"/>
          <w:right w:w="108" w:type="dxa"/>
        </w:tblCellMar>
      </w:tblPr>
      <w:tblGrid>
        <w:gridCol w:w="2131"/>
        <w:gridCol w:w="2131"/>
        <w:gridCol w:w="2131"/>
        <w:gridCol w:w="2132"/>
      </w:tblGrid>
      <w:tr w14:paraId="7C99E6C6">
        <w:tblPrEx>
          <w:tblCellMar>
            <w:top w:w="0" w:type="dxa"/>
            <w:left w:w="108" w:type="dxa"/>
            <w:bottom w:w="0" w:type="dxa"/>
            <w:right w:w="108" w:type="dxa"/>
          </w:tblCellMar>
        </w:tblPrEx>
        <w:trPr>
          <w:tblHeader/>
          <w:jc w:val="center"/>
        </w:trPr>
        <w:tc>
          <w:tcPr>
            <w:tcW w:w="1250" w:type="pct"/>
            <w:tcBorders>
              <w:top w:val="single" w:color="auto" w:sz="12" w:space="0"/>
              <w:left w:val="nil"/>
              <w:bottom w:val="nil"/>
              <w:right w:val="nil"/>
            </w:tcBorders>
            <w:tcMar>
              <w:top w:w="-1" w:type="dxa"/>
              <w:left w:w="-1" w:type="dxa"/>
              <w:bottom w:w="-1" w:type="dxa"/>
              <w:right w:w="-1" w:type="dxa"/>
            </w:tcMar>
            <w:vAlign w:val="center"/>
          </w:tcPr>
          <w:p w14:paraId="73EFE525">
            <w:pPr>
              <w:widowControl/>
              <w:snapToGrid w:val="0"/>
              <w:spacing w:line="360" w:lineRule="auto"/>
              <w:ind w:firstLine="0" w:firstLineChars="0"/>
              <w:jc w:val="center"/>
              <w:textAlignment w:val="center"/>
              <w:rPr>
                <w:bCs/>
                <w:color w:val="000000"/>
                <w:sz w:val="21"/>
                <w:szCs w:val="21"/>
              </w:rPr>
            </w:pPr>
            <w:r>
              <w:rPr>
                <w:bCs/>
                <w:color w:val="000000"/>
                <w:sz w:val="21"/>
                <w:szCs w:val="21"/>
                <w:lang w:bidi="ar"/>
              </w:rPr>
              <w:t>任务</w:t>
            </w:r>
          </w:p>
        </w:tc>
        <w:tc>
          <w:tcPr>
            <w:tcW w:w="1250" w:type="pct"/>
            <w:tcBorders>
              <w:top w:val="single" w:color="auto" w:sz="12" w:space="0"/>
              <w:left w:val="nil"/>
              <w:bottom w:val="nil"/>
              <w:right w:val="nil"/>
            </w:tcBorders>
            <w:tcMar>
              <w:top w:w="-1" w:type="dxa"/>
              <w:left w:w="-1" w:type="dxa"/>
              <w:bottom w:w="-1" w:type="dxa"/>
              <w:right w:w="-1" w:type="dxa"/>
            </w:tcMar>
            <w:vAlign w:val="center"/>
          </w:tcPr>
          <w:p w14:paraId="5536A8B6">
            <w:pPr>
              <w:widowControl/>
              <w:snapToGrid w:val="0"/>
              <w:spacing w:line="360" w:lineRule="auto"/>
              <w:ind w:firstLine="0" w:firstLineChars="0"/>
              <w:jc w:val="center"/>
              <w:textAlignment w:val="center"/>
              <w:rPr>
                <w:bCs/>
                <w:color w:val="0F1115"/>
                <w:sz w:val="21"/>
                <w:szCs w:val="21"/>
              </w:rPr>
            </w:pPr>
            <w:r>
              <w:rPr>
                <w:bCs/>
                <w:color w:val="0F1115"/>
                <w:sz w:val="21"/>
                <w:szCs w:val="21"/>
                <w:lang w:bidi="ar"/>
              </w:rPr>
              <w:t>纯BiGRU</w:t>
            </w:r>
          </w:p>
        </w:tc>
        <w:tc>
          <w:tcPr>
            <w:tcW w:w="1250" w:type="pct"/>
            <w:tcBorders>
              <w:top w:val="single" w:color="auto" w:sz="12" w:space="0"/>
              <w:left w:val="nil"/>
              <w:bottom w:val="nil"/>
              <w:right w:val="nil"/>
            </w:tcBorders>
            <w:tcMar>
              <w:top w:w="-1" w:type="dxa"/>
              <w:left w:w="-1" w:type="dxa"/>
              <w:bottom w:w="-1" w:type="dxa"/>
              <w:right w:w="-1" w:type="dxa"/>
            </w:tcMar>
            <w:vAlign w:val="center"/>
          </w:tcPr>
          <w:p w14:paraId="2CF33A17">
            <w:pPr>
              <w:widowControl/>
              <w:snapToGrid w:val="0"/>
              <w:spacing w:line="360" w:lineRule="auto"/>
              <w:ind w:firstLine="0" w:firstLineChars="0"/>
              <w:jc w:val="center"/>
              <w:textAlignment w:val="top"/>
              <w:rPr>
                <w:bCs/>
                <w:color w:val="000000"/>
                <w:sz w:val="21"/>
                <w:szCs w:val="21"/>
              </w:rPr>
            </w:pPr>
            <w:r>
              <w:rPr>
                <w:bCs/>
                <w:color w:val="000000"/>
                <w:sz w:val="21"/>
                <w:szCs w:val="21"/>
                <w:lang w:bidi="ar"/>
              </w:rPr>
              <w:t>SEResNetBiGRU</w:t>
            </w:r>
          </w:p>
        </w:tc>
        <w:tc>
          <w:tcPr>
            <w:tcW w:w="1250" w:type="pct"/>
            <w:tcBorders>
              <w:top w:val="single" w:color="auto" w:sz="12" w:space="0"/>
              <w:left w:val="nil"/>
              <w:bottom w:val="nil"/>
              <w:right w:val="nil"/>
            </w:tcBorders>
            <w:tcMar>
              <w:top w:w="-1" w:type="dxa"/>
              <w:left w:w="-1" w:type="dxa"/>
              <w:bottom w:w="-1" w:type="dxa"/>
              <w:right w:w="-1" w:type="dxa"/>
            </w:tcMar>
            <w:vAlign w:val="center"/>
          </w:tcPr>
          <w:p w14:paraId="0A085462">
            <w:pPr>
              <w:widowControl/>
              <w:snapToGrid w:val="0"/>
              <w:spacing w:line="360" w:lineRule="auto"/>
              <w:ind w:firstLine="0" w:firstLineChars="0"/>
              <w:jc w:val="center"/>
              <w:textAlignment w:val="center"/>
              <w:rPr>
                <w:bCs/>
                <w:color w:val="000000"/>
                <w:sz w:val="21"/>
                <w:szCs w:val="21"/>
              </w:rPr>
            </w:pPr>
            <w:r>
              <w:rPr>
                <w:bCs/>
                <w:color w:val="000000"/>
                <w:sz w:val="21"/>
                <w:szCs w:val="21"/>
                <w:lang w:bidi="ar"/>
              </w:rPr>
              <w:t>降幅</w:t>
            </w:r>
          </w:p>
        </w:tc>
      </w:tr>
      <w:tr w14:paraId="4621274D">
        <w:tblPrEx>
          <w:tblCellMar>
            <w:top w:w="0" w:type="dxa"/>
            <w:left w:w="108" w:type="dxa"/>
            <w:bottom w:w="0" w:type="dxa"/>
            <w:right w:w="108" w:type="dxa"/>
          </w:tblCellMar>
        </w:tblPrEx>
        <w:trPr>
          <w:jc w:val="center"/>
        </w:trPr>
        <w:tc>
          <w:tcPr>
            <w:tcW w:w="1250" w:type="pct"/>
            <w:tcBorders>
              <w:top w:val="single" w:color="auto" w:sz="4" w:space="0"/>
              <w:left w:val="nil"/>
              <w:bottom w:val="nil"/>
              <w:right w:val="nil"/>
            </w:tcBorders>
            <w:tcMar>
              <w:top w:w="-1" w:type="dxa"/>
              <w:left w:w="-1" w:type="dxa"/>
              <w:bottom w:w="-1" w:type="dxa"/>
              <w:right w:w="-1" w:type="dxa"/>
            </w:tcMar>
            <w:vAlign w:val="center"/>
          </w:tcPr>
          <w:p w14:paraId="37373C75">
            <w:pPr>
              <w:widowControl/>
              <w:snapToGrid w:val="0"/>
              <w:spacing w:line="360" w:lineRule="auto"/>
              <w:ind w:firstLine="0" w:firstLineChars="0"/>
              <w:jc w:val="center"/>
              <w:textAlignment w:val="top"/>
              <w:rPr>
                <w:bCs/>
                <w:color w:val="000000"/>
                <w:sz w:val="21"/>
                <w:szCs w:val="21"/>
              </w:rPr>
            </w:pPr>
            <w:r>
              <w:rPr>
                <w:bCs/>
                <w:color w:val="000000"/>
                <w:sz w:val="21"/>
                <w:szCs w:val="21"/>
                <w:lang w:bidi="ar"/>
              </w:rPr>
              <w:t>1</w:t>
            </w:r>
            <w:r>
              <w:rPr>
                <w:rStyle w:val="37"/>
                <w:rFonts w:hint="default" w:ascii="Times New Roman" w:hAnsi="Times New Roman" w:cs="Times New Roman"/>
                <w:bCs/>
                <w:sz w:val="21"/>
                <w:szCs w:val="21"/>
                <w:lang w:bidi="ar"/>
              </w:rPr>
              <w:t>→</w:t>
            </w:r>
            <w:r>
              <w:rPr>
                <w:rStyle w:val="38"/>
                <w:rFonts w:ascii="Times New Roman" w:hAnsi="Times New Roman" w:cs="Times New Roman"/>
                <w:bCs/>
                <w:sz w:val="21"/>
                <w:szCs w:val="21"/>
                <w:lang w:bidi="ar"/>
              </w:rPr>
              <w:t>2</w:t>
            </w:r>
          </w:p>
        </w:tc>
        <w:tc>
          <w:tcPr>
            <w:tcW w:w="1250" w:type="pct"/>
            <w:tcBorders>
              <w:top w:val="single" w:color="auto" w:sz="4" w:space="0"/>
              <w:left w:val="nil"/>
              <w:bottom w:val="nil"/>
              <w:right w:val="nil"/>
            </w:tcBorders>
            <w:tcMar>
              <w:top w:w="-1" w:type="dxa"/>
              <w:left w:w="-1" w:type="dxa"/>
              <w:bottom w:w="-1" w:type="dxa"/>
              <w:right w:w="-1" w:type="dxa"/>
            </w:tcMar>
            <w:vAlign w:val="center"/>
          </w:tcPr>
          <w:p w14:paraId="5D17182A">
            <w:pPr>
              <w:widowControl/>
              <w:snapToGrid w:val="0"/>
              <w:spacing w:line="360" w:lineRule="auto"/>
              <w:ind w:firstLine="0" w:firstLineChars="0"/>
              <w:jc w:val="center"/>
              <w:textAlignment w:val="top"/>
              <w:rPr>
                <w:bCs/>
                <w:color w:val="000000"/>
                <w:sz w:val="21"/>
                <w:szCs w:val="21"/>
              </w:rPr>
            </w:pPr>
            <w:r>
              <w:rPr>
                <w:bCs/>
                <w:color w:val="000000"/>
                <w:sz w:val="21"/>
                <w:szCs w:val="21"/>
                <w:lang w:bidi="ar"/>
              </w:rPr>
              <w:t>32.32</w:t>
            </w:r>
          </w:p>
        </w:tc>
        <w:tc>
          <w:tcPr>
            <w:tcW w:w="1250" w:type="pct"/>
            <w:tcBorders>
              <w:top w:val="single" w:color="auto" w:sz="4" w:space="0"/>
              <w:left w:val="nil"/>
              <w:bottom w:val="nil"/>
              <w:right w:val="nil"/>
            </w:tcBorders>
            <w:tcMar>
              <w:top w:w="-1" w:type="dxa"/>
              <w:left w:w="-1" w:type="dxa"/>
              <w:bottom w:w="-1" w:type="dxa"/>
              <w:right w:w="-1" w:type="dxa"/>
            </w:tcMar>
            <w:vAlign w:val="center"/>
          </w:tcPr>
          <w:p w14:paraId="5A06DDEB">
            <w:pPr>
              <w:widowControl/>
              <w:snapToGrid w:val="0"/>
              <w:spacing w:line="360" w:lineRule="auto"/>
              <w:ind w:firstLine="0" w:firstLineChars="0"/>
              <w:jc w:val="center"/>
              <w:textAlignment w:val="top"/>
              <w:rPr>
                <w:bCs/>
                <w:color w:val="000000"/>
                <w:sz w:val="21"/>
                <w:szCs w:val="21"/>
              </w:rPr>
            </w:pPr>
            <w:r>
              <w:rPr>
                <w:bCs/>
                <w:color w:val="000000"/>
                <w:sz w:val="21"/>
                <w:szCs w:val="21"/>
                <w:lang w:bidi="ar"/>
              </w:rPr>
              <w:t>18.00</w:t>
            </w:r>
          </w:p>
        </w:tc>
        <w:tc>
          <w:tcPr>
            <w:tcW w:w="1250" w:type="pct"/>
            <w:tcBorders>
              <w:top w:val="single" w:color="auto" w:sz="4" w:space="0"/>
              <w:left w:val="nil"/>
              <w:bottom w:val="nil"/>
              <w:right w:val="nil"/>
            </w:tcBorders>
            <w:tcMar>
              <w:top w:w="-1" w:type="dxa"/>
              <w:left w:w="-1" w:type="dxa"/>
              <w:bottom w:w="-1" w:type="dxa"/>
              <w:right w:w="-1" w:type="dxa"/>
            </w:tcMar>
            <w:vAlign w:val="center"/>
          </w:tcPr>
          <w:p w14:paraId="547C7855">
            <w:pPr>
              <w:widowControl/>
              <w:snapToGrid w:val="0"/>
              <w:spacing w:line="360" w:lineRule="auto"/>
              <w:ind w:firstLine="0" w:firstLineChars="0"/>
              <w:jc w:val="center"/>
              <w:textAlignment w:val="center"/>
              <w:rPr>
                <w:bCs/>
                <w:color w:val="000000"/>
                <w:sz w:val="21"/>
                <w:szCs w:val="21"/>
              </w:rPr>
            </w:pPr>
            <w:r>
              <w:rPr>
                <w:bCs/>
                <w:color w:val="000000"/>
                <w:sz w:val="21"/>
                <w:szCs w:val="21"/>
                <w:lang w:bidi="ar"/>
              </w:rPr>
              <w:t>44.30693069</w:t>
            </w:r>
          </w:p>
        </w:tc>
      </w:tr>
      <w:tr w14:paraId="23A0B1CC">
        <w:tblPrEx>
          <w:tblCellMar>
            <w:top w:w="0" w:type="dxa"/>
            <w:left w:w="108" w:type="dxa"/>
            <w:bottom w:w="0" w:type="dxa"/>
            <w:right w:w="108" w:type="dxa"/>
          </w:tblCellMar>
        </w:tblPrEx>
        <w:trPr>
          <w:jc w:val="center"/>
        </w:trPr>
        <w:tc>
          <w:tcPr>
            <w:tcW w:w="1250" w:type="pct"/>
            <w:tcBorders>
              <w:top w:val="nil"/>
              <w:left w:val="nil"/>
              <w:bottom w:val="nil"/>
              <w:right w:val="nil"/>
            </w:tcBorders>
            <w:tcMar>
              <w:top w:w="-1" w:type="dxa"/>
              <w:left w:w="-1" w:type="dxa"/>
              <w:bottom w:w="-1" w:type="dxa"/>
              <w:right w:w="-1" w:type="dxa"/>
            </w:tcMar>
            <w:vAlign w:val="center"/>
          </w:tcPr>
          <w:p w14:paraId="00ED8753">
            <w:pPr>
              <w:widowControl/>
              <w:snapToGrid w:val="0"/>
              <w:spacing w:line="360" w:lineRule="auto"/>
              <w:ind w:firstLine="0" w:firstLineChars="0"/>
              <w:jc w:val="center"/>
              <w:textAlignment w:val="top"/>
              <w:rPr>
                <w:bCs/>
                <w:color w:val="000000"/>
                <w:sz w:val="21"/>
                <w:szCs w:val="21"/>
              </w:rPr>
            </w:pPr>
            <w:r>
              <w:rPr>
                <w:bCs/>
                <w:color w:val="000000"/>
                <w:sz w:val="21"/>
                <w:szCs w:val="21"/>
                <w:lang w:bidi="ar"/>
              </w:rPr>
              <w:t>1</w:t>
            </w:r>
            <w:r>
              <w:rPr>
                <w:rStyle w:val="37"/>
                <w:rFonts w:hint="default" w:ascii="Times New Roman" w:hAnsi="Times New Roman" w:cs="Times New Roman"/>
                <w:bCs/>
                <w:sz w:val="21"/>
                <w:szCs w:val="21"/>
                <w:lang w:bidi="ar"/>
              </w:rPr>
              <w:t>→</w:t>
            </w:r>
            <w:r>
              <w:rPr>
                <w:rStyle w:val="38"/>
                <w:rFonts w:ascii="Times New Roman" w:hAnsi="Times New Roman" w:cs="Times New Roman"/>
                <w:bCs/>
                <w:sz w:val="21"/>
                <w:szCs w:val="21"/>
                <w:lang w:bidi="ar"/>
              </w:rPr>
              <w:t>3</w:t>
            </w:r>
          </w:p>
        </w:tc>
        <w:tc>
          <w:tcPr>
            <w:tcW w:w="1250" w:type="pct"/>
            <w:tcBorders>
              <w:top w:val="nil"/>
              <w:left w:val="nil"/>
              <w:bottom w:val="nil"/>
              <w:right w:val="nil"/>
            </w:tcBorders>
            <w:tcMar>
              <w:top w:w="-1" w:type="dxa"/>
              <w:left w:w="-1" w:type="dxa"/>
              <w:bottom w:w="-1" w:type="dxa"/>
              <w:right w:w="-1" w:type="dxa"/>
            </w:tcMar>
            <w:vAlign w:val="center"/>
          </w:tcPr>
          <w:p w14:paraId="336D202B">
            <w:pPr>
              <w:widowControl/>
              <w:snapToGrid w:val="0"/>
              <w:spacing w:line="360" w:lineRule="auto"/>
              <w:ind w:firstLine="0" w:firstLineChars="0"/>
              <w:jc w:val="center"/>
              <w:textAlignment w:val="top"/>
              <w:rPr>
                <w:bCs/>
                <w:color w:val="000000"/>
                <w:sz w:val="21"/>
                <w:szCs w:val="21"/>
              </w:rPr>
            </w:pPr>
            <w:r>
              <w:rPr>
                <w:bCs/>
                <w:color w:val="000000"/>
                <w:sz w:val="21"/>
                <w:szCs w:val="21"/>
                <w:lang w:bidi="ar"/>
              </w:rPr>
              <w:t>76.18</w:t>
            </w:r>
          </w:p>
        </w:tc>
        <w:tc>
          <w:tcPr>
            <w:tcW w:w="1250" w:type="pct"/>
            <w:tcBorders>
              <w:top w:val="nil"/>
              <w:left w:val="nil"/>
              <w:bottom w:val="nil"/>
              <w:right w:val="nil"/>
            </w:tcBorders>
            <w:tcMar>
              <w:top w:w="-1" w:type="dxa"/>
              <w:left w:w="-1" w:type="dxa"/>
              <w:bottom w:w="-1" w:type="dxa"/>
              <w:right w:w="-1" w:type="dxa"/>
            </w:tcMar>
            <w:vAlign w:val="center"/>
          </w:tcPr>
          <w:p w14:paraId="7C77E11E">
            <w:pPr>
              <w:widowControl/>
              <w:snapToGrid w:val="0"/>
              <w:spacing w:line="360" w:lineRule="auto"/>
              <w:ind w:firstLine="0" w:firstLineChars="0"/>
              <w:jc w:val="center"/>
              <w:textAlignment w:val="top"/>
              <w:rPr>
                <w:bCs/>
                <w:color w:val="000000"/>
                <w:sz w:val="21"/>
                <w:szCs w:val="21"/>
              </w:rPr>
            </w:pPr>
            <w:r>
              <w:rPr>
                <w:bCs/>
                <w:color w:val="000000"/>
                <w:sz w:val="21"/>
                <w:szCs w:val="21"/>
                <w:lang w:bidi="ar"/>
              </w:rPr>
              <w:t>20.24</w:t>
            </w:r>
          </w:p>
        </w:tc>
        <w:tc>
          <w:tcPr>
            <w:tcW w:w="1250" w:type="pct"/>
            <w:tcBorders>
              <w:top w:val="nil"/>
              <w:left w:val="nil"/>
              <w:bottom w:val="nil"/>
              <w:right w:val="nil"/>
            </w:tcBorders>
            <w:tcMar>
              <w:top w:w="-1" w:type="dxa"/>
              <w:left w:w="-1" w:type="dxa"/>
              <w:bottom w:w="-1" w:type="dxa"/>
              <w:right w:w="-1" w:type="dxa"/>
            </w:tcMar>
            <w:vAlign w:val="center"/>
          </w:tcPr>
          <w:p w14:paraId="1E043CE4">
            <w:pPr>
              <w:widowControl/>
              <w:snapToGrid w:val="0"/>
              <w:spacing w:line="360" w:lineRule="auto"/>
              <w:ind w:firstLine="0" w:firstLineChars="0"/>
              <w:jc w:val="center"/>
              <w:textAlignment w:val="center"/>
              <w:rPr>
                <w:bCs/>
                <w:color w:val="000000"/>
                <w:sz w:val="21"/>
                <w:szCs w:val="21"/>
              </w:rPr>
            </w:pPr>
            <w:r>
              <w:rPr>
                <w:bCs/>
                <w:color w:val="000000"/>
                <w:sz w:val="21"/>
                <w:szCs w:val="21"/>
                <w:lang w:bidi="ar"/>
              </w:rPr>
              <w:t>73.43134681</w:t>
            </w:r>
          </w:p>
        </w:tc>
      </w:tr>
      <w:tr w14:paraId="2D2109DC">
        <w:tblPrEx>
          <w:tblCellMar>
            <w:top w:w="0" w:type="dxa"/>
            <w:left w:w="108" w:type="dxa"/>
            <w:bottom w:w="0" w:type="dxa"/>
            <w:right w:w="108" w:type="dxa"/>
          </w:tblCellMar>
        </w:tblPrEx>
        <w:trPr>
          <w:jc w:val="center"/>
        </w:trPr>
        <w:tc>
          <w:tcPr>
            <w:tcW w:w="1250" w:type="pct"/>
            <w:tcBorders>
              <w:top w:val="nil"/>
              <w:left w:val="nil"/>
              <w:bottom w:val="nil"/>
              <w:right w:val="nil"/>
            </w:tcBorders>
            <w:tcMar>
              <w:top w:w="-1" w:type="dxa"/>
              <w:left w:w="-1" w:type="dxa"/>
              <w:bottom w:w="-1" w:type="dxa"/>
              <w:right w:w="-1" w:type="dxa"/>
            </w:tcMar>
            <w:vAlign w:val="center"/>
          </w:tcPr>
          <w:p w14:paraId="66D1B713">
            <w:pPr>
              <w:widowControl/>
              <w:snapToGrid w:val="0"/>
              <w:spacing w:line="360" w:lineRule="auto"/>
              <w:ind w:firstLine="0" w:firstLineChars="0"/>
              <w:jc w:val="center"/>
              <w:textAlignment w:val="top"/>
              <w:rPr>
                <w:bCs/>
                <w:color w:val="000000"/>
                <w:sz w:val="21"/>
                <w:szCs w:val="21"/>
              </w:rPr>
            </w:pPr>
            <w:r>
              <w:rPr>
                <w:bCs/>
                <w:color w:val="000000"/>
                <w:sz w:val="21"/>
                <w:szCs w:val="21"/>
                <w:lang w:bidi="ar"/>
              </w:rPr>
              <w:t>2</w:t>
            </w:r>
            <w:r>
              <w:rPr>
                <w:rStyle w:val="37"/>
                <w:rFonts w:hint="default" w:ascii="Times New Roman" w:hAnsi="Times New Roman" w:cs="Times New Roman"/>
                <w:bCs/>
                <w:sz w:val="21"/>
                <w:szCs w:val="21"/>
                <w:lang w:bidi="ar"/>
              </w:rPr>
              <w:t>→</w:t>
            </w:r>
            <w:r>
              <w:rPr>
                <w:rStyle w:val="38"/>
                <w:rFonts w:ascii="Times New Roman" w:hAnsi="Times New Roman" w:cs="Times New Roman"/>
                <w:bCs/>
                <w:sz w:val="21"/>
                <w:szCs w:val="21"/>
                <w:lang w:bidi="ar"/>
              </w:rPr>
              <w:t>1</w:t>
            </w:r>
          </w:p>
        </w:tc>
        <w:tc>
          <w:tcPr>
            <w:tcW w:w="1250" w:type="pct"/>
            <w:tcBorders>
              <w:top w:val="nil"/>
              <w:left w:val="nil"/>
              <w:bottom w:val="nil"/>
              <w:right w:val="nil"/>
            </w:tcBorders>
            <w:tcMar>
              <w:top w:w="-1" w:type="dxa"/>
              <w:left w:w="-1" w:type="dxa"/>
              <w:bottom w:w="-1" w:type="dxa"/>
              <w:right w:w="-1" w:type="dxa"/>
            </w:tcMar>
            <w:vAlign w:val="center"/>
          </w:tcPr>
          <w:p w14:paraId="1669372F">
            <w:pPr>
              <w:widowControl/>
              <w:snapToGrid w:val="0"/>
              <w:spacing w:line="360" w:lineRule="auto"/>
              <w:ind w:firstLine="0" w:firstLineChars="0"/>
              <w:jc w:val="center"/>
              <w:textAlignment w:val="top"/>
              <w:rPr>
                <w:bCs/>
                <w:color w:val="000000"/>
                <w:sz w:val="21"/>
                <w:szCs w:val="21"/>
              </w:rPr>
            </w:pPr>
            <w:r>
              <w:rPr>
                <w:bCs/>
                <w:color w:val="000000"/>
                <w:sz w:val="21"/>
                <w:szCs w:val="21"/>
                <w:lang w:bidi="ar"/>
              </w:rPr>
              <w:t>35.22</w:t>
            </w:r>
          </w:p>
        </w:tc>
        <w:tc>
          <w:tcPr>
            <w:tcW w:w="1250" w:type="pct"/>
            <w:tcBorders>
              <w:top w:val="nil"/>
              <w:left w:val="nil"/>
              <w:bottom w:val="nil"/>
              <w:right w:val="nil"/>
            </w:tcBorders>
            <w:tcMar>
              <w:top w:w="-1" w:type="dxa"/>
              <w:left w:w="-1" w:type="dxa"/>
              <w:bottom w:w="-1" w:type="dxa"/>
              <w:right w:w="-1" w:type="dxa"/>
            </w:tcMar>
            <w:vAlign w:val="center"/>
          </w:tcPr>
          <w:p w14:paraId="5D76D366">
            <w:pPr>
              <w:widowControl/>
              <w:snapToGrid w:val="0"/>
              <w:spacing w:line="360" w:lineRule="auto"/>
              <w:ind w:firstLine="0" w:firstLineChars="0"/>
              <w:jc w:val="center"/>
              <w:textAlignment w:val="top"/>
              <w:rPr>
                <w:bCs/>
                <w:color w:val="000000"/>
                <w:sz w:val="21"/>
                <w:szCs w:val="21"/>
              </w:rPr>
            </w:pPr>
            <w:r>
              <w:rPr>
                <w:bCs/>
                <w:color w:val="000000"/>
                <w:sz w:val="21"/>
                <w:szCs w:val="21"/>
                <w:lang w:bidi="ar"/>
              </w:rPr>
              <w:t>21.09</w:t>
            </w:r>
          </w:p>
        </w:tc>
        <w:tc>
          <w:tcPr>
            <w:tcW w:w="1250" w:type="pct"/>
            <w:tcBorders>
              <w:top w:val="nil"/>
              <w:left w:val="nil"/>
              <w:bottom w:val="nil"/>
              <w:right w:val="nil"/>
            </w:tcBorders>
            <w:tcMar>
              <w:top w:w="-1" w:type="dxa"/>
              <w:left w:w="-1" w:type="dxa"/>
              <w:bottom w:w="-1" w:type="dxa"/>
              <w:right w:w="-1" w:type="dxa"/>
            </w:tcMar>
            <w:vAlign w:val="center"/>
          </w:tcPr>
          <w:p w14:paraId="3298DB47">
            <w:pPr>
              <w:widowControl/>
              <w:snapToGrid w:val="0"/>
              <w:spacing w:line="360" w:lineRule="auto"/>
              <w:ind w:firstLine="0" w:firstLineChars="0"/>
              <w:jc w:val="center"/>
              <w:textAlignment w:val="center"/>
              <w:rPr>
                <w:bCs/>
                <w:color w:val="000000"/>
                <w:sz w:val="21"/>
                <w:szCs w:val="21"/>
              </w:rPr>
            </w:pPr>
            <w:r>
              <w:rPr>
                <w:bCs/>
                <w:color w:val="000000"/>
                <w:sz w:val="21"/>
                <w:szCs w:val="21"/>
                <w:lang w:bidi="ar"/>
              </w:rPr>
              <w:t>40.11925043</w:t>
            </w:r>
          </w:p>
        </w:tc>
      </w:tr>
      <w:tr w14:paraId="2B8FF372">
        <w:tblPrEx>
          <w:tblCellMar>
            <w:top w:w="0" w:type="dxa"/>
            <w:left w:w="108" w:type="dxa"/>
            <w:bottom w:w="0" w:type="dxa"/>
            <w:right w:w="108" w:type="dxa"/>
          </w:tblCellMar>
        </w:tblPrEx>
        <w:trPr>
          <w:jc w:val="center"/>
        </w:trPr>
        <w:tc>
          <w:tcPr>
            <w:tcW w:w="1250" w:type="pct"/>
            <w:tcBorders>
              <w:top w:val="nil"/>
              <w:left w:val="nil"/>
              <w:bottom w:val="nil"/>
              <w:right w:val="nil"/>
            </w:tcBorders>
            <w:tcMar>
              <w:top w:w="-1" w:type="dxa"/>
              <w:left w:w="-1" w:type="dxa"/>
              <w:bottom w:w="-1" w:type="dxa"/>
              <w:right w:w="-1" w:type="dxa"/>
            </w:tcMar>
            <w:vAlign w:val="center"/>
          </w:tcPr>
          <w:p w14:paraId="6784194E">
            <w:pPr>
              <w:widowControl/>
              <w:snapToGrid w:val="0"/>
              <w:spacing w:line="360" w:lineRule="auto"/>
              <w:ind w:firstLine="0" w:firstLineChars="0"/>
              <w:jc w:val="center"/>
              <w:textAlignment w:val="top"/>
              <w:rPr>
                <w:bCs/>
                <w:color w:val="000000"/>
                <w:sz w:val="21"/>
                <w:szCs w:val="21"/>
              </w:rPr>
            </w:pPr>
            <w:r>
              <w:rPr>
                <w:bCs/>
                <w:color w:val="000000"/>
                <w:sz w:val="21"/>
                <w:szCs w:val="21"/>
                <w:lang w:bidi="ar"/>
              </w:rPr>
              <w:t>2</w:t>
            </w:r>
            <w:r>
              <w:rPr>
                <w:rStyle w:val="37"/>
                <w:rFonts w:hint="default" w:ascii="Times New Roman" w:hAnsi="Times New Roman" w:cs="Times New Roman"/>
                <w:bCs/>
                <w:sz w:val="21"/>
                <w:szCs w:val="21"/>
                <w:lang w:bidi="ar"/>
              </w:rPr>
              <w:t>→</w:t>
            </w:r>
            <w:r>
              <w:rPr>
                <w:rStyle w:val="38"/>
                <w:rFonts w:ascii="Times New Roman" w:hAnsi="Times New Roman" w:cs="Times New Roman"/>
                <w:bCs/>
                <w:sz w:val="21"/>
                <w:szCs w:val="21"/>
                <w:lang w:bidi="ar"/>
              </w:rPr>
              <w:t>3</w:t>
            </w:r>
          </w:p>
        </w:tc>
        <w:tc>
          <w:tcPr>
            <w:tcW w:w="1250" w:type="pct"/>
            <w:tcBorders>
              <w:top w:val="nil"/>
              <w:left w:val="nil"/>
              <w:bottom w:val="nil"/>
              <w:right w:val="nil"/>
            </w:tcBorders>
            <w:tcMar>
              <w:top w:w="-1" w:type="dxa"/>
              <w:left w:w="-1" w:type="dxa"/>
              <w:bottom w:w="-1" w:type="dxa"/>
              <w:right w:w="-1" w:type="dxa"/>
            </w:tcMar>
            <w:vAlign w:val="center"/>
          </w:tcPr>
          <w:p w14:paraId="51CBC41D">
            <w:pPr>
              <w:widowControl/>
              <w:snapToGrid w:val="0"/>
              <w:spacing w:line="360" w:lineRule="auto"/>
              <w:ind w:firstLine="0" w:firstLineChars="0"/>
              <w:jc w:val="center"/>
              <w:textAlignment w:val="top"/>
              <w:rPr>
                <w:bCs/>
                <w:color w:val="000000"/>
                <w:sz w:val="21"/>
                <w:szCs w:val="21"/>
              </w:rPr>
            </w:pPr>
            <w:r>
              <w:rPr>
                <w:bCs/>
                <w:color w:val="000000"/>
                <w:sz w:val="21"/>
                <w:szCs w:val="21"/>
                <w:lang w:bidi="ar"/>
              </w:rPr>
              <w:t>77.99</w:t>
            </w:r>
          </w:p>
        </w:tc>
        <w:tc>
          <w:tcPr>
            <w:tcW w:w="1250" w:type="pct"/>
            <w:tcBorders>
              <w:top w:val="nil"/>
              <w:left w:val="nil"/>
              <w:bottom w:val="nil"/>
              <w:right w:val="nil"/>
            </w:tcBorders>
            <w:tcMar>
              <w:top w:w="-1" w:type="dxa"/>
              <w:left w:w="-1" w:type="dxa"/>
              <w:bottom w:w="-1" w:type="dxa"/>
              <w:right w:w="-1" w:type="dxa"/>
            </w:tcMar>
            <w:vAlign w:val="center"/>
          </w:tcPr>
          <w:p w14:paraId="112F7344">
            <w:pPr>
              <w:widowControl/>
              <w:snapToGrid w:val="0"/>
              <w:spacing w:line="360" w:lineRule="auto"/>
              <w:ind w:firstLine="0" w:firstLineChars="0"/>
              <w:jc w:val="center"/>
              <w:textAlignment w:val="top"/>
              <w:rPr>
                <w:bCs/>
                <w:color w:val="000000"/>
                <w:sz w:val="21"/>
                <w:szCs w:val="21"/>
              </w:rPr>
            </w:pPr>
            <w:r>
              <w:rPr>
                <w:bCs/>
                <w:color w:val="000000"/>
                <w:sz w:val="21"/>
                <w:szCs w:val="21"/>
                <w:lang w:bidi="ar"/>
              </w:rPr>
              <w:t>19.83</w:t>
            </w:r>
          </w:p>
        </w:tc>
        <w:tc>
          <w:tcPr>
            <w:tcW w:w="1250" w:type="pct"/>
            <w:tcBorders>
              <w:top w:val="nil"/>
              <w:left w:val="nil"/>
              <w:bottom w:val="nil"/>
              <w:right w:val="nil"/>
            </w:tcBorders>
            <w:tcMar>
              <w:top w:w="-1" w:type="dxa"/>
              <w:left w:w="-1" w:type="dxa"/>
              <w:bottom w:w="-1" w:type="dxa"/>
              <w:right w:w="-1" w:type="dxa"/>
            </w:tcMar>
            <w:vAlign w:val="center"/>
          </w:tcPr>
          <w:p w14:paraId="6465AC4D">
            <w:pPr>
              <w:widowControl/>
              <w:snapToGrid w:val="0"/>
              <w:spacing w:line="360" w:lineRule="auto"/>
              <w:ind w:firstLine="0" w:firstLineChars="0"/>
              <w:jc w:val="center"/>
              <w:textAlignment w:val="center"/>
              <w:rPr>
                <w:bCs/>
                <w:color w:val="000000"/>
                <w:sz w:val="21"/>
                <w:szCs w:val="21"/>
              </w:rPr>
            </w:pPr>
            <w:r>
              <w:rPr>
                <w:bCs/>
                <w:color w:val="000000"/>
                <w:sz w:val="21"/>
                <w:szCs w:val="21"/>
                <w:lang w:bidi="ar"/>
              </w:rPr>
              <w:t>74.57366329</w:t>
            </w:r>
          </w:p>
        </w:tc>
      </w:tr>
      <w:tr w14:paraId="61F3620E">
        <w:tblPrEx>
          <w:tblCellMar>
            <w:top w:w="0" w:type="dxa"/>
            <w:left w:w="108" w:type="dxa"/>
            <w:bottom w:w="0" w:type="dxa"/>
            <w:right w:w="108" w:type="dxa"/>
          </w:tblCellMar>
        </w:tblPrEx>
        <w:trPr>
          <w:jc w:val="center"/>
        </w:trPr>
        <w:tc>
          <w:tcPr>
            <w:tcW w:w="1250" w:type="pct"/>
            <w:tcBorders>
              <w:top w:val="nil"/>
              <w:left w:val="nil"/>
              <w:bottom w:val="nil"/>
              <w:right w:val="nil"/>
            </w:tcBorders>
            <w:tcMar>
              <w:top w:w="-1" w:type="dxa"/>
              <w:left w:w="-1" w:type="dxa"/>
              <w:bottom w:w="-1" w:type="dxa"/>
              <w:right w:w="-1" w:type="dxa"/>
            </w:tcMar>
            <w:vAlign w:val="center"/>
          </w:tcPr>
          <w:p w14:paraId="4C7B1E5A">
            <w:pPr>
              <w:widowControl/>
              <w:snapToGrid w:val="0"/>
              <w:spacing w:line="360" w:lineRule="auto"/>
              <w:ind w:firstLine="0" w:firstLineChars="0"/>
              <w:jc w:val="center"/>
              <w:textAlignment w:val="top"/>
              <w:rPr>
                <w:bCs/>
                <w:color w:val="000000"/>
                <w:sz w:val="21"/>
                <w:szCs w:val="21"/>
              </w:rPr>
            </w:pPr>
            <w:r>
              <w:rPr>
                <w:bCs/>
                <w:color w:val="000000"/>
                <w:sz w:val="21"/>
                <w:szCs w:val="21"/>
                <w:lang w:bidi="ar"/>
              </w:rPr>
              <w:t>3</w:t>
            </w:r>
            <w:r>
              <w:rPr>
                <w:rStyle w:val="37"/>
                <w:rFonts w:hint="default" w:ascii="Times New Roman" w:hAnsi="Times New Roman" w:cs="Times New Roman"/>
                <w:bCs/>
                <w:sz w:val="21"/>
                <w:szCs w:val="21"/>
                <w:lang w:bidi="ar"/>
              </w:rPr>
              <w:t>→</w:t>
            </w:r>
            <w:r>
              <w:rPr>
                <w:rStyle w:val="38"/>
                <w:rFonts w:ascii="Times New Roman" w:hAnsi="Times New Roman" w:cs="Times New Roman"/>
                <w:bCs/>
                <w:sz w:val="21"/>
                <w:szCs w:val="21"/>
                <w:lang w:bidi="ar"/>
              </w:rPr>
              <w:t>1</w:t>
            </w:r>
          </w:p>
        </w:tc>
        <w:tc>
          <w:tcPr>
            <w:tcW w:w="1250" w:type="pct"/>
            <w:tcBorders>
              <w:top w:val="nil"/>
              <w:left w:val="nil"/>
              <w:bottom w:val="nil"/>
              <w:right w:val="nil"/>
            </w:tcBorders>
            <w:tcMar>
              <w:top w:w="-1" w:type="dxa"/>
              <w:left w:w="-1" w:type="dxa"/>
              <w:bottom w:w="-1" w:type="dxa"/>
              <w:right w:w="-1" w:type="dxa"/>
            </w:tcMar>
            <w:vAlign w:val="center"/>
          </w:tcPr>
          <w:p w14:paraId="2A48368B">
            <w:pPr>
              <w:widowControl/>
              <w:snapToGrid w:val="0"/>
              <w:spacing w:line="360" w:lineRule="auto"/>
              <w:ind w:firstLine="0" w:firstLineChars="0"/>
              <w:jc w:val="center"/>
              <w:textAlignment w:val="top"/>
              <w:rPr>
                <w:bCs/>
                <w:color w:val="000000"/>
                <w:sz w:val="21"/>
                <w:szCs w:val="21"/>
              </w:rPr>
            </w:pPr>
            <w:r>
              <w:rPr>
                <w:bCs/>
                <w:color w:val="000000"/>
                <w:sz w:val="21"/>
                <w:szCs w:val="21"/>
                <w:lang w:bidi="ar"/>
              </w:rPr>
              <w:t>80.25</w:t>
            </w:r>
          </w:p>
        </w:tc>
        <w:tc>
          <w:tcPr>
            <w:tcW w:w="1250" w:type="pct"/>
            <w:tcBorders>
              <w:top w:val="nil"/>
              <w:left w:val="nil"/>
              <w:bottom w:val="nil"/>
              <w:right w:val="nil"/>
            </w:tcBorders>
            <w:tcMar>
              <w:top w:w="-1" w:type="dxa"/>
              <w:left w:w="-1" w:type="dxa"/>
              <w:bottom w:w="-1" w:type="dxa"/>
              <w:right w:w="-1" w:type="dxa"/>
            </w:tcMar>
            <w:vAlign w:val="center"/>
          </w:tcPr>
          <w:p w14:paraId="2F612FCA">
            <w:pPr>
              <w:widowControl/>
              <w:snapToGrid w:val="0"/>
              <w:spacing w:line="360" w:lineRule="auto"/>
              <w:ind w:firstLine="0" w:firstLineChars="0"/>
              <w:jc w:val="center"/>
              <w:textAlignment w:val="top"/>
              <w:rPr>
                <w:bCs/>
                <w:color w:val="000000"/>
                <w:sz w:val="21"/>
                <w:szCs w:val="21"/>
              </w:rPr>
            </w:pPr>
            <w:r>
              <w:rPr>
                <w:bCs/>
                <w:color w:val="000000"/>
                <w:sz w:val="21"/>
                <w:szCs w:val="21"/>
                <w:lang w:bidi="ar"/>
              </w:rPr>
              <w:t>20.90</w:t>
            </w:r>
          </w:p>
        </w:tc>
        <w:tc>
          <w:tcPr>
            <w:tcW w:w="1250" w:type="pct"/>
            <w:tcBorders>
              <w:top w:val="nil"/>
              <w:left w:val="nil"/>
              <w:bottom w:val="nil"/>
              <w:right w:val="nil"/>
            </w:tcBorders>
            <w:tcMar>
              <w:top w:w="-1" w:type="dxa"/>
              <w:left w:w="-1" w:type="dxa"/>
              <w:bottom w:w="-1" w:type="dxa"/>
              <w:right w:w="-1" w:type="dxa"/>
            </w:tcMar>
            <w:vAlign w:val="center"/>
          </w:tcPr>
          <w:p w14:paraId="3E732230">
            <w:pPr>
              <w:widowControl/>
              <w:snapToGrid w:val="0"/>
              <w:spacing w:line="360" w:lineRule="auto"/>
              <w:ind w:firstLine="0" w:firstLineChars="0"/>
              <w:jc w:val="center"/>
              <w:textAlignment w:val="center"/>
              <w:rPr>
                <w:bCs/>
                <w:color w:val="000000"/>
                <w:sz w:val="21"/>
                <w:szCs w:val="21"/>
              </w:rPr>
            </w:pPr>
            <w:r>
              <w:rPr>
                <w:bCs/>
                <w:color w:val="000000"/>
                <w:sz w:val="21"/>
                <w:szCs w:val="21"/>
                <w:lang w:bidi="ar"/>
              </w:rPr>
              <w:t>73.95638629</w:t>
            </w:r>
          </w:p>
        </w:tc>
      </w:tr>
      <w:tr w14:paraId="7E259EC1">
        <w:tblPrEx>
          <w:tblCellMar>
            <w:top w:w="0" w:type="dxa"/>
            <w:left w:w="108" w:type="dxa"/>
            <w:bottom w:w="0" w:type="dxa"/>
            <w:right w:w="108" w:type="dxa"/>
          </w:tblCellMar>
        </w:tblPrEx>
        <w:trPr>
          <w:jc w:val="center"/>
        </w:trPr>
        <w:tc>
          <w:tcPr>
            <w:tcW w:w="1250" w:type="pct"/>
            <w:tcBorders>
              <w:top w:val="nil"/>
              <w:left w:val="nil"/>
              <w:bottom w:val="nil"/>
              <w:right w:val="nil"/>
            </w:tcBorders>
            <w:tcMar>
              <w:top w:w="-1" w:type="dxa"/>
              <w:left w:w="-1" w:type="dxa"/>
              <w:bottom w:w="-1" w:type="dxa"/>
              <w:right w:w="-1" w:type="dxa"/>
            </w:tcMar>
            <w:vAlign w:val="center"/>
          </w:tcPr>
          <w:p w14:paraId="51058C06">
            <w:pPr>
              <w:widowControl/>
              <w:snapToGrid w:val="0"/>
              <w:spacing w:line="360" w:lineRule="auto"/>
              <w:ind w:firstLine="0" w:firstLineChars="0"/>
              <w:jc w:val="center"/>
              <w:textAlignment w:val="top"/>
              <w:rPr>
                <w:bCs/>
                <w:color w:val="000000"/>
                <w:sz w:val="21"/>
                <w:szCs w:val="21"/>
              </w:rPr>
            </w:pPr>
            <w:r>
              <w:rPr>
                <w:bCs/>
                <w:color w:val="000000"/>
                <w:sz w:val="21"/>
                <w:szCs w:val="21"/>
                <w:lang w:bidi="ar"/>
              </w:rPr>
              <w:t>3</w:t>
            </w:r>
            <w:r>
              <w:rPr>
                <w:rStyle w:val="37"/>
                <w:rFonts w:hint="default" w:ascii="Times New Roman" w:hAnsi="Times New Roman" w:cs="Times New Roman"/>
                <w:bCs/>
                <w:sz w:val="21"/>
                <w:szCs w:val="21"/>
                <w:lang w:bidi="ar"/>
              </w:rPr>
              <w:t>→</w:t>
            </w:r>
            <w:r>
              <w:rPr>
                <w:rStyle w:val="38"/>
                <w:rFonts w:ascii="Times New Roman" w:hAnsi="Times New Roman" w:cs="Times New Roman"/>
                <w:bCs/>
                <w:sz w:val="21"/>
                <w:szCs w:val="21"/>
                <w:lang w:bidi="ar"/>
              </w:rPr>
              <w:t>2</w:t>
            </w:r>
          </w:p>
        </w:tc>
        <w:tc>
          <w:tcPr>
            <w:tcW w:w="1250" w:type="pct"/>
            <w:tcBorders>
              <w:top w:val="nil"/>
              <w:left w:val="nil"/>
              <w:bottom w:val="nil"/>
              <w:right w:val="nil"/>
            </w:tcBorders>
            <w:tcMar>
              <w:top w:w="-1" w:type="dxa"/>
              <w:left w:w="-1" w:type="dxa"/>
              <w:bottom w:w="-1" w:type="dxa"/>
              <w:right w:w="-1" w:type="dxa"/>
            </w:tcMar>
            <w:vAlign w:val="center"/>
          </w:tcPr>
          <w:p w14:paraId="5CD9B352">
            <w:pPr>
              <w:widowControl/>
              <w:snapToGrid w:val="0"/>
              <w:spacing w:line="360" w:lineRule="auto"/>
              <w:ind w:firstLine="0" w:firstLineChars="0"/>
              <w:jc w:val="center"/>
              <w:textAlignment w:val="top"/>
              <w:rPr>
                <w:bCs/>
                <w:color w:val="000000"/>
                <w:sz w:val="21"/>
                <w:szCs w:val="21"/>
              </w:rPr>
            </w:pPr>
            <w:r>
              <w:rPr>
                <w:bCs/>
                <w:color w:val="000000"/>
                <w:sz w:val="21"/>
                <w:szCs w:val="21"/>
                <w:lang w:bidi="ar"/>
              </w:rPr>
              <w:t>76.66</w:t>
            </w:r>
          </w:p>
        </w:tc>
        <w:tc>
          <w:tcPr>
            <w:tcW w:w="1250" w:type="pct"/>
            <w:tcBorders>
              <w:top w:val="nil"/>
              <w:left w:val="nil"/>
              <w:bottom w:val="nil"/>
              <w:right w:val="nil"/>
            </w:tcBorders>
            <w:tcMar>
              <w:top w:w="-1" w:type="dxa"/>
              <w:left w:w="-1" w:type="dxa"/>
              <w:bottom w:w="-1" w:type="dxa"/>
              <w:right w:w="-1" w:type="dxa"/>
            </w:tcMar>
            <w:vAlign w:val="center"/>
          </w:tcPr>
          <w:p w14:paraId="26C13545">
            <w:pPr>
              <w:widowControl/>
              <w:snapToGrid w:val="0"/>
              <w:spacing w:line="360" w:lineRule="auto"/>
              <w:ind w:firstLine="0" w:firstLineChars="0"/>
              <w:jc w:val="center"/>
              <w:textAlignment w:val="top"/>
              <w:rPr>
                <w:bCs/>
                <w:color w:val="000000"/>
                <w:sz w:val="21"/>
                <w:szCs w:val="21"/>
              </w:rPr>
            </w:pPr>
            <w:r>
              <w:rPr>
                <w:bCs/>
                <w:color w:val="000000"/>
                <w:sz w:val="21"/>
                <w:szCs w:val="21"/>
                <w:lang w:bidi="ar"/>
              </w:rPr>
              <w:t>18.83</w:t>
            </w:r>
          </w:p>
        </w:tc>
        <w:tc>
          <w:tcPr>
            <w:tcW w:w="1250" w:type="pct"/>
            <w:tcBorders>
              <w:top w:val="nil"/>
              <w:left w:val="nil"/>
              <w:bottom w:val="nil"/>
              <w:right w:val="nil"/>
            </w:tcBorders>
            <w:tcMar>
              <w:top w:w="-1" w:type="dxa"/>
              <w:left w:w="-1" w:type="dxa"/>
              <w:bottom w:w="-1" w:type="dxa"/>
              <w:right w:w="-1" w:type="dxa"/>
            </w:tcMar>
            <w:vAlign w:val="center"/>
          </w:tcPr>
          <w:p w14:paraId="5D2561CB">
            <w:pPr>
              <w:widowControl/>
              <w:snapToGrid w:val="0"/>
              <w:spacing w:line="360" w:lineRule="auto"/>
              <w:ind w:firstLine="0" w:firstLineChars="0"/>
              <w:jc w:val="center"/>
              <w:textAlignment w:val="center"/>
              <w:rPr>
                <w:bCs/>
                <w:color w:val="000000"/>
                <w:sz w:val="21"/>
                <w:szCs w:val="21"/>
              </w:rPr>
            </w:pPr>
            <w:r>
              <w:rPr>
                <w:bCs/>
                <w:color w:val="000000"/>
                <w:sz w:val="21"/>
                <w:szCs w:val="21"/>
                <w:lang w:bidi="ar"/>
              </w:rPr>
              <w:t>75.43699452</w:t>
            </w:r>
          </w:p>
        </w:tc>
      </w:tr>
      <w:tr w14:paraId="66BAE719">
        <w:tblPrEx>
          <w:tblCellMar>
            <w:top w:w="0" w:type="dxa"/>
            <w:left w:w="108" w:type="dxa"/>
            <w:bottom w:w="0" w:type="dxa"/>
            <w:right w:w="108" w:type="dxa"/>
          </w:tblCellMar>
        </w:tblPrEx>
        <w:trPr>
          <w:jc w:val="center"/>
        </w:trPr>
        <w:tc>
          <w:tcPr>
            <w:tcW w:w="1250" w:type="pct"/>
            <w:tcBorders>
              <w:top w:val="nil"/>
              <w:left w:val="nil"/>
              <w:bottom w:val="single" w:color="auto" w:sz="12" w:space="0"/>
              <w:right w:val="nil"/>
            </w:tcBorders>
            <w:tcMar>
              <w:top w:w="-1" w:type="dxa"/>
              <w:left w:w="-1" w:type="dxa"/>
              <w:bottom w:w="-1" w:type="dxa"/>
              <w:right w:w="-1" w:type="dxa"/>
            </w:tcMar>
            <w:vAlign w:val="center"/>
          </w:tcPr>
          <w:p w14:paraId="0448558B">
            <w:pPr>
              <w:widowControl/>
              <w:snapToGrid w:val="0"/>
              <w:spacing w:line="360" w:lineRule="auto"/>
              <w:ind w:firstLine="0" w:firstLineChars="0"/>
              <w:jc w:val="center"/>
              <w:textAlignment w:val="center"/>
              <w:rPr>
                <w:bCs/>
                <w:color w:val="000000"/>
                <w:sz w:val="21"/>
                <w:szCs w:val="21"/>
              </w:rPr>
            </w:pPr>
            <w:r>
              <w:rPr>
                <w:bCs/>
                <w:color w:val="000000"/>
                <w:sz w:val="21"/>
                <w:szCs w:val="21"/>
                <w:lang w:bidi="ar"/>
              </w:rPr>
              <w:t>平均</w:t>
            </w:r>
          </w:p>
        </w:tc>
        <w:tc>
          <w:tcPr>
            <w:tcW w:w="1250" w:type="pct"/>
            <w:tcBorders>
              <w:top w:val="nil"/>
              <w:left w:val="nil"/>
              <w:bottom w:val="single" w:color="auto" w:sz="12" w:space="0"/>
              <w:right w:val="nil"/>
            </w:tcBorders>
            <w:tcMar>
              <w:top w:w="-1" w:type="dxa"/>
              <w:left w:w="-1" w:type="dxa"/>
              <w:bottom w:w="-1" w:type="dxa"/>
              <w:right w:w="-1" w:type="dxa"/>
            </w:tcMar>
            <w:vAlign w:val="center"/>
          </w:tcPr>
          <w:p w14:paraId="660659AF">
            <w:pPr>
              <w:widowControl/>
              <w:snapToGrid w:val="0"/>
              <w:spacing w:line="360" w:lineRule="auto"/>
              <w:ind w:firstLine="0" w:firstLineChars="0"/>
              <w:jc w:val="center"/>
              <w:textAlignment w:val="center"/>
              <w:rPr>
                <w:bCs/>
                <w:color w:val="000000"/>
                <w:sz w:val="21"/>
                <w:szCs w:val="21"/>
              </w:rPr>
            </w:pPr>
            <w:r>
              <w:rPr>
                <w:bCs/>
                <w:color w:val="000000"/>
                <w:sz w:val="21"/>
                <w:szCs w:val="21"/>
                <w:lang w:bidi="ar"/>
              </w:rPr>
              <w:t>63.103</w:t>
            </w:r>
          </w:p>
        </w:tc>
        <w:tc>
          <w:tcPr>
            <w:tcW w:w="1250" w:type="pct"/>
            <w:tcBorders>
              <w:top w:val="nil"/>
              <w:left w:val="nil"/>
              <w:bottom w:val="single" w:color="auto" w:sz="12" w:space="0"/>
              <w:right w:val="nil"/>
            </w:tcBorders>
            <w:tcMar>
              <w:top w:w="-1" w:type="dxa"/>
              <w:left w:w="-1" w:type="dxa"/>
              <w:bottom w:w="-1" w:type="dxa"/>
              <w:right w:w="-1" w:type="dxa"/>
            </w:tcMar>
            <w:vAlign w:val="center"/>
          </w:tcPr>
          <w:p w14:paraId="1CAB8484">
            <w:pPr>
              <w:widowControl/>
              <w:snapToGrid w:val="0"/>
              <w:spacing w:line="360" w:lineRule="auto"/>
              <w:ind w:firstLine="0" w:firstLineChars="0"/>
              <w:jc w:val="center"/>
              <w:textAlignment w:val="center"/>
              <w:rPr>
                <w:bCs/>
                <w:color w:val="000000"/>
                <w:sz w:val="21"/>
                <w:szCs w:val="21"/>
              </w:rPr>
            </w:pPr>
            <w:r>
              <w:rPr>
                <w:bCs/>
                <w:color w:val="000000"/>
                <w:sz w:val="21"/>
                <w:szCs w:val="21"/>
                <w:lang w:bidi="ar"/>
              </w:rPr>
              <w:t>19.815</w:t>
            </w:r>
          </w:p>
        </w:tc>
        <w:tc>
          <w:tcPr>
            <w:tcW w:w="1250" w:type="pct"/>
            <w:tcBorders>
              <w:top w:val="nil"/>
              <w:left w:val="nil"/>
              <w:bottom w:val="single" w:color="auto" w:sz="12" w:space="0"/>
              <w:right w:val="nil"/>
            </w:tcBorders>
            <w:tcMar>
              <w:top w:w="-1" w:type="dxa"/>
              <w:left w:w="-1" w:type="dxa"/>
              <w:bottom w:w="-1" w:type="dxa"/>
              <w:right w:w="-1" w:type="dxa"/>
            </w:tcMar>
            <w:vAlign w:val="center"/>
          </w:tcPr>
          <w:p w14:paraId="7B076BAE">
            <w:pPr>
              <w:widowControl/>
              <w:snapToGrid w:val="0"/>
              <w:spacing w:line="360" w:lineRule="auto"/>
              <w:ind w:firstLine="0" w:firstLineChars="0"/>
              <w:jc w:val="center"/>
              <w:textAlignment w:val="center"/>
              <w:rPr>
                <w:bCs/>
                <w:color w:val="000000"/>
                <w:sz w:val="21"/>
                <w:szCs w:val="21"/>
              </w:rPr>
            </w:pPr>
            <w:r>
              <w:rPr>
                <w:bCs/>
                <w:color w:val="000000"/>
                <w:sz w:val="21"/>
                <w:szCs w:val="21"/>
                <w:lang w:bidi="ar"/>
              </w:rPr>
              <w:t>68.599</w:t>
            </w:r>
          </w:p>
        </w:tc>
      </w:tr>
    </w:tbl>
    <w:p w14:paraId="2B4091B6">
      <w:pPr>
        <w:ind w:firstLine="480"/>
      </w:pPr>
      <w:r>
        <w:rPr>
          <w:rFonts w:hint="eastAsia"/>
        </w:rPr>
        <w:t>不经过特征提取，直接拿140维原始特征喂给BiGRU，跨工况NRMSE平均高达63.10%。一加上SE-ResNet，直接拉到19.82%，降幅接近七成。在工况差异大的2→3和3→2任务上，降幅更是超过74%。这说明高维原始特征里夹着大量冗余和工况噪声，纯靠时序建模消化不了，SE-ResNet的残差结构和通道注意力机制在筛选域不变退化特征这件事上，确实起到了决定性的作用。</w:t>
      </w:r>
    </w:p>
    <w:p w14:paraId="6722AE9C">
      <w:pPr>
        <w:pStyle w:val="3"/>
        <w:spacing w:before="120" w:after="120"/>
      </w:pPr>
      <w:bookmarkStart w:id="138" w:name="_Toc7125"/>
      <w:bookmarkStart w:id="139" w:name="_Toc3815"/>
      <w:r>
        <w:t>4.7 本章小结</w:t>
      </w:r>
      <w:bookmarkEnd w:id="138"/>
      <w:bookmarkEnd w:id="139"/>
    </w:p>
    <w:p w14:paraId="5A68748E">
      <w:pPr>
        <w:ind w:firstLine="480"/>
        <w:rPr>
          <w:rFonts w:hint="eastAsia"/>
        </w:rPr>
      </w:pPr>
      <w:r>
        <w:rPr>
          <w:rFonts w:hint="eastAsia"/>
        </w:rPr>
        <w:t>本章在XJTU-SY数据集上对SE-ResNet+BiGRU模型做了系统验证，覆盖了单工况预测、跨工况泛化、对比和消融四组实验。</w:t>
      </w:r>
    </w:p>
    <w:p w14:paraId="2336CB32">
      <w:pPr>
        <w:ind w:firstLine="480"/>
        <w:rPr>
          <w:rFonts w:hint="eastAsia"/>
        </w:rPr>
      </w:pPr>
      <w:r>
        <w:rPr>
          <w:rFonts w:hint="eastAsia"/>
        </w:rPr>
        <w:t>单工况下，模型较好地复现了轴承“平稳—缓退—急变”的退化节奏，三个工况平均RMSE 25.49 min，PHM Score 0.9724，PICP超74%，在寿命尺度差异显著的工况间保持了稳定的精度。</w:t>
      </w:r>
    </w:p>
    <w:p w14:paraId="78A17B0B">
      <w:pPr>
        <w:ind w:firstLine="480"/>
        <w:rPr>
          <w:rFonts w:hint="eastAsia"/>
        </w:rPr>
      </w:pPr>
      <w:r>
        <w:rPr>
          <w:rFonts w:hint="eastAsia"/>
        </w:rPr>
        <w:t>跨工况方面，域偏移虽然</w:t>
      </w:r>
      <w:r>
        <w:rPr>
          <w:rFonts w:hint="eastAsia"/>
          <w:lang w:eastAsia="zh-CN"/>
        </w:rPr>
        <w:t>使</w:t>
      </w:r>
      <w:r>
        <w:rPr>
          <w:rFonts w:hint="eastAsia"/>
        </w:rPr>
        <w:t>误差有所上升，但经缩放因子校正后，全部任务的PHM Score都稳在0.94以上，多源域融合训练的稳定性明显好于单源域迁移，说明MK-MMD和多源域策略的组合对泛化是有效的。</w:t>
      </w:r>
    </w:p>
    <w:p w14:paraId="2EA22398">
      <w:pPr>
        <w:ind w:firstLine="480"/>
        <w:rPr>
          <w:rFonts w:hint="eastAsia"/>
        </w:rPr>
      </w:pPr>
      <w:r>
        <w:rPr>
          <w:rFonts w:hint="eastAsia"/>
        </w:rPr>
        <w:t>对比实验中，本文模型较CNN、LSTM、GRU等基线有明显优势，相比Informer-SEnet平均误差下降了近六成。消融实验则逐个确认了SE模块、BiGRU双向结构和SE-ResNet特征提取模块的贡献——三者在单工况和跨工况场景下都带来了实质性的精度增益。</w:t>
      </w:r>
    </w:p>
    <w:p w14:paraId="6A21E808">
      <w:pPr>
        <w:ind w:firstLine="480"/>
        <w:rPr>
          <w:rFonts w:hint="eastAsia"/>
        </w:rPr>
      </w:pPr>
      <w:r>
        <w:rPr>
          <w:rFonts w:hint="eastAsia"/>
        </w:rPr>
        <w:t>总的来看，本章的实验结果基本支撑了模型设计的预期，各模块的协同是有效的，方法在预测精度和跨工况泛化上达到了设计目标。</w:t>
      </w:r>
    </w:p>
    <w:p w14:paraId="04351D9F">
      <w:pPr>
        <w:ind w:firstLine="480"/>
      </w:pPr>
      <w:r>
        <w:br w:type="page"/>
      </w:r>
    </w:p>
    <w:p w14:paraId="04BE06A7">
      <w:pPr>
        <w:pStyle w:val="2"/>
        <w:spacing w:after="120"/>
        <w:rPr>
          <w:rFonts w:ascii="Times New Roman" w:hAnsi="Times New Roman"/>
        </w:rPr>
      </w:pPr>
      <w:bookmarkStart w:id="140" w:name="_Toc2438"/>
      <w:bookmarkStart w:id="141" w:name="_Toc28324"/>
      <w:r>
        <w:rPr>
          <w:rFonts w:hint="eastAsia" w:ascii="Times New Roman" w:hAnsi="Times New Roman"/>
          <w:lang w:val="en-US" w:eastAsia="zh-CN"/>
        </w:rPr>
        <w:t>结论</w:t>
      </w:r>
      <w:r>
        <w:rPr>
          <w:rFonts w:ascii="Times New Roman" w:hAnsi="Times New Roman"/>
        </w:rPr>
        <w:t>与展望</w:t>
      </w:r>
      <w:bookmarkEnd w:id="140"/>
      <w:bookmarkEnd w:id="141"/>
    </w:p>
    <w:p w14:paraId="0911D664">
      <w:pPr>
        <w:pStyle w:val="3"/>
        <w:spacing w:before="120" w:after="120"/>
        <w:rPr>
          <w:rFonts w:hint="default" w:eastAsia="宋体"/>
          <w:lang w:val="en-US" w:eastAsia="zh-CN"/>
        </w:rPr>
      </w:pPr>
      <w:bookmarkStart w:id="142" w:name="_Toc29443"/>
      <w:bookmarkStart w:id="143" w:name="_Toc16791"/>
      <w:r>
        <w:t xml:space="preserve">5.1 </w:t>
      </w:r>
      <w:bookmarkEnd w:id="142"/>
      <w:r>
        <w:rPr>
          <w:rFonts w:hint="eastAsia"/>
          <w:lang w:val="en-US" w:eastAsia="zh-CN"/>
        </w:rPr>
        <w:t>主要结论</w:t>
      </w:r>
      <w:bookmarkEnd w:id="143"/>
    </w:p>
    <w:p w14:paraId="367C31F3">
      <w:pPr>
        <w:ind w:firstLine="480"/>
        <w:rPr>
          <w:rFonts w:hint="eastAsia"/>
        </w:rPr>
      </w:pPr>
      <w:r>
        <w:rPr>
          <w:rFonts w:hint="eastAsia"/>
        </w:rPr>
        <w:t>本文围绕滚动轴承在多工况下特征分布偏移、RUL预测精度退化的问题，以XJTU-SY数据集为对象，沿着“跨工况域适应”和“退化特征鲁棒提取”两条线展开了系统研究。主要工作总结如下。</w:t>
      </w:r>
    </w:p>
    <w:p w14:paraId="2ED89D49">
      <w:pPr>
        <w:ind w:firstLine="480"/>
        <w:rPr>
          <w:rFonts w:hint="eastAsia"/>
        </w:rPr>
      </w:pPr>
      <w:r>
        <w:rPr>
          <w:rFonts w:hint="eastAsia"/>
        </w:rPr>
        <w:t>在数据预处理方面，针对工业振动信号噪声强、早期故障特征微弱的问题，本文采用db4小波三层软阈值降噪对原始信号进行预处理，在抑制环境噪声的同时尽量保留故障冲击成分。然后通过FFT频谱分析、时域统计、频域统计、小波包能量和信息熵等手段，构建了128维频域幅值加42维多域统计共170维的原始特征空间，再用mRMR筛出12维与退化最相关的多域特征，最终形成140维融合特征向量。这套流程对放大早期故障征兆是有帮助的，给后面模型提供了比较干净的输入。</w:t>
      </w:r>
    </w:p>
    <w:p w14:paraId="76536A50">
      <w:pPr>
        <w:ind w:firstLine="480"/>
        <w:rPr>
          <w:rFonts w:hint="eastAsia"/>
        </w:rPr>
      </w:pPr>
      <w:r>
        <w:rPr>
          <w:rFonts w:hint="eastAsia"/>
        </w:rPr>
        <w:t>标签策略上，传统的线性递减标签跟轴承实际的退化节奏对不上，而且跨工况时标签分布还不一致，直接拖累了域适应效果。</w:t>
      </w:r>
      <w:r>
        <w:rPr>
          <w:rFonts w:hint="eastAsia"/>
          <w:lang w:val="en-US" w:eastAsia="zh-CN"/>
        </w:rPr>
        <w:t>本文</w:t>
      </w:r>
      <w:r>
        <w:rPr>
          <w:rFonts w:hint="eastAsia"/>
        </w:rPr>
        <w:t>改用了一种工况无关的分段线性构造方式：前80%寿命标签恒定在1.0，后20%线性递减到0。这么一来，标签与具体工况的退化模式就解耦了，源域和目标域之间的标签分布保持了一致，域适应的基础算是打牢了。</w:t>
      </w:r>
    </w:p>
    <w:p w14:paraId="3EC42FFA">
      <w:pPr>
        <w:ind w:firstLine="480"/>
        <w:rPr>
          <w:rFonts w:hint="eastAsia"/>
        </w:rPr>
      </w:pPr>
      <w:r>
        <w:rPr>
          <w:rFonts w:hint="eastAsia"/>
        </w:rPr>
        <w:t>模型设计上，核心思路是</w:t>
      </w:r>
      <w:r>
        <w:rPr>
          <w:rFonts w:hint="eastAsia"/>
          <w:lang w:eastAsia="zh-CN"/>
        </w:rPr>
        <w:t>使</w:t>
      </w:r>
      <w:r>
        <w:rPr>
          <w:rFonts w:hint="eastAsia"/>
        </w:rPr>
        <w:t>SE通道注意力、一维残差卷积和BiGRU协同工作。残差卷积用两层1D卷积抓局部多尺度特征，跳跃连接缓解了深层训练的梯度问题；SE模块通过全局池化和两层全连接自适应地调整通道权重，把敏感通道拉高、噪声压下去；BiGRU从前后两个方向捕捉退化趋势的长程依赖。训练时以源域加权MSE为主监督，MK-MMD域适应损失做正则项，联合优化来对齐源域和目标域的特征分布。单工况下，三工况平均RMSE 25.49 min，PHM Score 0.9724，PICP 0.745；跨工况下，缩放因子校正后所有任务的PHM Score都在0.94以上，泛化能力是稳住的。</w:t>
      </w:r>
    </w:p>
    <w:p w14:paraId="2EF44091">
      <w:pPr>
        <w:ind w:firstLine="480"/>
        <w:rPr>
          <w:rFonts w:hint="eastAsia"/>
        </w:rPr>
      </w:pPr>
      <w:r>
        <w:rPr>
          <w:rFonts w:hint="eastAsia"/>
        </w:rPr>
        <w:t>对比和消融实验也支撑了上述设计的合理性。相比Informer-SEnet，本文模型单工况平均RMSE降了64.4%。消融实验三个维度逐层剥离：SE模块使单工况RMSE从78.86 min降到25.49 min（降67.7%），BiGRU双向结构比单向GRU和LSTM精度分别提升了62.6%和57.2%，SE-ResNet特征提取模块把跨工况NRMSE从63.10%</w:t>
      </w:r>
      <w:r>
        <w:rPr>
          <w:rFonts w:hint="eastAsia"/>
          <w:lang w:val="en-US" w:eastAsia="zh-CN"/>
        </w:rPr>
        <w:t>降</w:t>
      </w:r>
      <w:r>
        <w:rPr>
          <w:rFonts w:hint="eastAsia"/>
        </w:rPr>
        <w:t>到19.82%（降68.6%）。各模块的协同效果是实实在在的。</w:t>
      </w:r>
    </w:p>
    <w:p w14:paraId="19314344">
      <w:pPr>
        <w:ind w:firstLine="480"/>
        <w:rPr>
          <w:rFonts w:hint="eastAsia"/>
        </w:rPr>
      </w:pPr>
      <w:r>
        <w:rPr>
          <w:rFonts w:hint="eastAsia"/>
        </w:rPr>
        <w:t>不确定性量化方面，</w:t>
      </w:r>
      <w:r>
        <w:rPr>
          <w:rFonts w:hint="eastAsia"/>
          <w:lang w:val="en-US" w:eastAsia="zh-CN"/>
        </w:rPr>
        <w:t>本文</w:t>
      </w:r>
      <w:r>
        <w:rPr>
          <w:rFonts w:hint="eastAsia"/>
        </w:rPr>
        <w:t>用MC Dropout在推理时保持Dropout激活、50次随机前向传播来估计预测分布，构建95%置信区间。单工况PICP均值0.745，工况1的MPIW只有15.78 min，短期预测的置信度很高；工况2的PICP到了0.847，复杂波动的区间覆盖也做得不错。</w:t>
      </w:r>
    </w:p>
    <w:p w14:paraId="51B117D9">
      <w:pPr>
        <w:ind w:firstLine="480"/>
      </w:pPr>
      <w:r>
        <w:rPr>
          <w:rFonts w:hint="eastAsia"/>
        </w:rPr>
        <w:t>总的来看，本文这套SE-ResNet+BiGRU跨工况RUL预测方法，在数据、标签、模型、域适应和不确定性量化这几个环节上都做了针对性设计，实验也验证了它在单工况精度和多工况泛化上的优势，算是给复杂工况下轴承剩余寿命预测提供了一个比较完整的方案</w:t>
      </w:r>
      <w:r>
        <w:t>。</w:t>
      </w:r>
    </w:p>
    <w:p w14:paraId="11ECAF1C">
      <w:pPr>
        <w:pStyle w:val="3"/>
        <w:spacing w:before="120" w:after="120"/>
      </w:pPr>
      <w:bookmarkStart w:id="144" w:name="_Toc26467"/>
      <w:bookmarkStart w:id="145" w:name="_Toc23955"/>
      <w:r>
        <w:t>5.2 后续工作展望</w:t>
      </w:r>
      <w:bookmarkEnd w:id="144"/>
      <w:bookmarkEnd w:id="145"/>
    </w:p>
    <w:p w14:paraId="09CE111C">
      <w:pPr>
        <w:ind w:firstLine="480"/>
        <w:rPr>
          <w:rFonts w:hint="eastAsia"/>
        </w:rPr>
      </w:pPr>
      <w:r>
        <w:rPr>
          <w:rFonts w:hint="eastAsia"/>
        </w:rPr>
        <w:t>受限于实验条件和研究时间，本文的工作还有几个方向值得继续</w:t>
      </w:r>
      <w:r>
        <w:rPr>
          <w:rFonts w:hint="eastAsia"/>
          <w:lang w:val="en-US" w:eastAsia="zh-CN"/>
        </w:rPr>
        <w:t>研究</w:t>
      </w:r>
      <w:r>
        <w:rPr>
          <w:rFonts w:hint="eastAsia"/>
        </w:rPr>
        <w:t>。</w:t>
      </w:r>
    </w:p>
    <w:p w14:paraId="12B29522">
      <w:pPr>
        <w:ind w:firstLine="480"/>
        <w:rPr>
          <w:rFonts w:hint="eastAsia"/>
        </w:rPr>
      </w:pPr>
      <w:r>
        <w:rPr>
          <w:rFonts w:hint="eastAsia"/>
        </w:rPr>
        <w:t>域适应方面，目前MK-MMD的核带宽得靠人工预设，不同任务调起来比较麻烦。下一步如果能引入对抗训练的域判别器来动态调对齐强度，或者用最优传输理论做更细粒度的特征匹配，模型的自动化适应能力应该能再上一个台阶。</w:t>
      </w:r>
    </w:p>
    <w:p w14:paraId="3024D4F2">
      <w:pPr>
        <w:ind w:firstLine="480"/>
        <w:rPr>
          <w:rFonts w:hint="eastAsia"/>
        </w:rPr>
      </w:pPr>
      <w:r>
        <w:rPr>
          <w:rFonts w:hint="eastAsia"/>
        </w:rPr>
        <w:t>半监督和自监督学习这块也有空间。现在是无监督域适应的路子，只用目标域的无标签数据打辅助。实际工业里偶尔也能拿到少量标注样本，这时候上个半监督策略做个微调，迁移误差估计能往下</w:t>
      </w:r>
      <w:r>
        <w:rPr>
          <w:rFonts w:hint="eastAsia"/>
          <w:lang w:val="en-US" w:eastAsia="zh-CN"/>
        </w:rPr>
        <w:t>降低</w:t>
      </w:r>
      <w:r>
        <w:rPr>
          <w:rFonts w:hint="eastAsia"/>
        </w:rPr>
        <w:t>不少。另外，用对比学习或掩码重构从大量无标签振动数据里预训练出一个通用的退化表征，也许能给下游任务提供一个更强的起点。</w:t>
      </w:r>
    </w:p>
    <w:p w14:paraId="6E5E321E">
      <w:pPr>
        <w:ind w:firstLine="480"/>
        <w:rPr>
          <w:rFonts w:hint="eastAsia"/>
        </w:rPr>
      </w:pPr>
      <w:r>
        <w:rPr>
          <w:rFonts w:hint="eastAsia"/>
        </w:rPr>
        <w:t>多模态融合是一个比较好的方向。本文只用了单轴振动信号，但工业现场同步采集的还有多轴振动、温度、转速这些，温度和振动在物理上就有耦合。以后可以试试基于注意力的多模态融合网络，从不同物理维度交叉刻画轴承退化状态，信息量会更丰富。</w:t>
      </w:r>
    </w:p>
    <w:p w14:paraId="618484A3">
      <w:pPr>
        <w:ind w:firstLine="480"/>
        <w:rPr>
          <w:rFonts w:hint="eastAsia"/>
        </w:rPr>
      </w:pPr>
      <w:r>
        <w:rPr>
          <w:rFonts w:hint="eastAsia"/>
        </w:rPr>
        <w:t>在线增量学习的问题也很现实。本文是离线训好再部署，参数就固定了。可真实工况是会随时间变的，固定参数的模型迟早跟不上。后续可以研究在线增量更新机制，</w:t>
      </w:r>
      <w:r>
        <w:rPr>
          <w:rFonts w:hint="eastAsia"/>
          <w:lang w:eastAsia="zh-CN"/>
        </w:rPr>
        <w:t>使</w:t>
      </w:r>
      <w:r>
        <w:rPr>
          <w:rFonts w:hint="eastAsia"/>
        </w:rPr>
        <w:t>模型跟着新数据持续进化，同时想办法</w:t>
      </w:r>
      <w:r>
        <w:rPr>
          <w:rFonts w:hint="eastAsia"/>
          <w:lang w:val="en-US" w:eastAsia="zh-CN"/>
        </w:rPr>
        <w:t>减少</w:t>
      </w:r>
      <w:r>
        <w:rPr>
          <w:rFonts w:hint="eastAsia"/>
        </w:rPr>
        <w:t>灾难性遗忘，别</w:t>
      </w:r>
      <w:r>
        <w:rPr>
          <w:rFonts w:hint="eastAsia"/>
          <w:lang w:eastAsia="zh-CN"/>
        </w:rPr>
        <w:t>使</w:t>
      </w:r>
      <w:r>
        <w:rPr>
          <w:rFonts w:hint="eastAsia"/>
        </w:rPr>
        <w:t>模型学新忘旧。</w:t>
      </w:r>
    </w:p>
    <w:p w14:paraId="13EED330">
      <w:pPr>
        <w:ind w:firstLine="480"/>
        <w:rPr>
          <w:rFonts w:hint="eastAsia"/>
        </w:rPr>
      </w:pPr>
      <w:r>
        <w:rPr>
          <w:rFonts w:hint="eastAsia"/>
        </w:rPr>
        <w:t>再往后一步，预测本身不是终点，怎么用它来指导维护决策才是。后面可以把贝叶斯决策和序贯优化的方法引进来，以RUL预测及其不确定性作为输入，去动态优化视情维护策略——在精度、成本和可用度之间找个最优平衡，把“预测还剩多少寿命”和“什么时候该修”真正闭环起来。</w:t>
      </w:r>
    </w:p>
    <w:p w14:paraId="6A053E5B">
      <w:pPr>
        <w:ind w:firstLine="480"/>
      </w:pPr>
      <w:r>
        <w:rPr>
          <w:rFonts w:hint="eastAsia"/>
        </w:rPr>
        <w:t>物理信息融合方面，纯数据驱动对退化机理缺乏显式建模，数据一稀疏或者工况一极端就吃力。后面可以试着把轴承动力学模型、疲劳退化方程跟深度网络揉到一起，搭一个物理信息引导的混合框架。再配上数字孪生做虚实融合，说不定能在小样本甚至零样本的极限迁移场景里找到突破口</w:t>
      </w:r>
      <w:r>
        <w:t>。</w:t>
      </w:r>
    </w:p>
    <w:p w14:paraId="6636182D">
      <w:pPr>
        <w:ind w:firstLine="480"/>
      </w:pPr>
      <w:r>
        <w:br w:type="page"/>
      </w:r>
    </w:p>
    <w:p w14:paraId="444A5E7F">
      <w:pPr>
        <w:pStyle w:val="2"/>
        <w:numPr>
          <w:ilvl w:val="0"/>
          <w:numId w:val="0"/>
        </w:numPr>
        <w:spacing w:after="120"/>
        <w:ind w:left="402"/>
        <w:rPr>
          <w:rFonts w:ascii="Times New Roman" w:hAnsi="Times New Roman"/>
        </w:rPr>
      </w:pPr>
      <w:bookmarkStart w:id="146" w:name="_Toc20359"/>
      <w:bookmarkStart w:id="147" w:name="_Toc22451"/>
      <w:r>
        <w:rPr>
          <w:rFonts w:ascii="Times New Roman" w:hAnsi="Times New Roman"/>
        </w:rPr>
        <w:t>参考文献</w:t>
      </w:r>
      <w:bookmarkEnd w:id="146"/>
      <w:bookmarkEnd w:id="147"/>
    </w:p>
    <w:p w14:paraId="74181A68">
      <w:pPr>
        <w:numPr>
          <w:ilvl w:val="0"/>
          <w:numId w:val="4"/>
        </w:numPr>
        <w:snapToGrid w:val="0"/>
        <w:ind w:firstLineChars="0"/>
        <w:rPr>
          <w:rFonts w:eastAsiaTheme="minorEastAsia"/>
          <w:sz w:val="21"/>
          <w:szCs w:val="21"/>
        </w:rPr>
      </w:pPr>
      <w:bookmarkStart w:id="148" w:name="_Ref3500"/>
      <w:r>
        <w:rPr>
          <w:rFonts w:eastAsiaTheme="minorEastAsia"/>
          <w:sz w:val="21"/>
          <w:szCs w:val="21"/>
        </w:rPr>
        <w:t>张金豹,邹天刚,王敏,等.滚动轴承剩余使用寿命预测综述[J].机械科学与技  术,2023,42(01):1-23.</w:t>
      </w:r>
      <w:bookmarkEnd w:id="148"/>
    </w:p>
    <w:p w14:paraId="5BB9F3AD">
      <w:pPr>
        <w:numPr>
          <w:ilvl w:val="0"/>
          <w:numId w:val="4"/>
        </w:numPr>
        <w:snapToGrid w:val="0"/>
        <w:ind w:firstLineChars="0"/>
        <w:rPr>
          <w:rFonts w:eastAsiaTheme="minorEastAsia"/>
          <w:sz w:val="21"/>
          <w:szCs w:val="21"/>
        </w:rPr>
      </w:pPr>
      <w:bookmarkStart w:id="149" w:name="_Ref3719"/>
      <w:r>
        <w:rPr>
          <w:rFonts w:eastAsiaTheme="minorEastAsia"/>
          <w:sz w:val="21"/>
          <w:szCs w:val="21"/>
        </w:rPr>
        <w:t>张松.滚动轴承剩余使用寿命预测综述[J].内燃机与配件,2024,(18):24-26.</w:t>
      </w:r>
      <w:bookmarkEnd w:id="149"/>
    </w:p>
    <w:p w14:paraId="0BCF200C">
      <w:pPr>
        <w:numPr>
          <w:ilvl w:val="0"/>
          <w:numId w:val="4"/>
        </w:numPr>
        <w:snapToGrid w:val="0"/>
        <w:ind w:firstLineChars="0"/>
        <w:rPr>
          <w:rFonts w:eastAsiaTheme="minorEastAsia"/>
          <w:sz w:val="21"/>
          <w:szCs w:val="21"/>
        </w:rPr>
      </w:pPr>
      <w:bookmarkStart w:id="150" w:name="_Ref20047"/>
      <w:r>
        <w:rPr>
          <w:rFonts w:eastAsiaTheme="minorEastAsia"/>
          <w:sz w:val="21"/>
          <w:szCs w:val="21"/>
        </w:rPr>
        <w:t>李云龙,熊鹏伟,李志农.Triz理论在滚动轴承故障诊断中的应用[J].机电工程技术,2023,52(11):232-236.</w:t>
      </w:r>
      <w:bookmarkEnd w:id="150"/>
    </w:p>
    <w:p w14:paraId="14576EE9">
      <w:pPr>
        <w:numPr>
          <w:ilvl w:val="0"/>
          <w:numId w:val="4"/>
        </w:numPr>
        <w:snapToGrid w:val="0"/>
        <w:ind w:firstLineChars="0"/>
        <w:rPr>
          <w:rFonts w:eastAsiaTheme="minorEastAsia"/>
          <w:sz w:val="21"/>
          <w:szCs w:val="21"/>
        </w:rPr>
      </w:pPr>
      <w:bookmarkStart w:id="151" w:name="_Ref20416"/>
      <w:r>
        <w:rPr>
          <w:rFonts w:eastAsiaTheme="minorEastAsia"/>
          <w:sz w:val="21"/>
          <w:szCs w:val="21"/>
        </w:rPr>
        <w:t>黄姗姗,李志农.基于TRIZ理论提高滚动轴承故障检测的准确性[J].机电工程技术,2024,53(01):243-247+290.</w:t>
      </w:r>
      <w:bookmarkEnd w:id="151"/>
    </w:p>
    <w:p w14:paraId="07C62345">
      <w:pPr>
        <w:numPr>
          <w:ilvl w:val="0"/>
          <w:numId w:val="4"/>
        </w:numPr>
        <w:snapToGrid w:val="0"/>
        <w:ind w:firstLineChars="0"/>
        <w:rPr>
          <w:rFonts w:eastAsiaTheme="minorEastAsia"/>
          <w:sz w:val="21"/>
          <w:szCs w:val="21"/>
        </w:rPr>
      </w:pPr>
      <w:bookmarkStart w:id="152" w:name="_Ref3821"/>
      <w:r>
        <w:rPr>
          <w:rFonts w:eastAsiaTheme="minorEastAsia"/>
          <w:sz w:val="21"/>
          <w:szCs w:val="21"/>
        </w:rPr>
        <w:t>刘洋.基于深度学习的滚动轴承剩余使用寿命预测方法研究[D].西安:西安理工大学,2023.</w:t>
      </w:r>
      <w:bookmarkEnd w:id="152"/>
    </w:p>
    <w:p w14:paraId="5743C55D">
      <w:pPr>
        <w:numPr>
          <w:ilvl w:val="0"/>
          <w:numId w:val="4"/>
        </w:numPr>
        <w:snapToGrid w:val="0"/>
        <w:ind w:firstLineChars="0"/>
        <w:rPr>
          <w:rFonts w:eastAsiaTheme="minorEastAsia"/>
          <w:sz w:val="21"/>
          <w:szCs w:val="21"/>
        </w:rPr>
      </w:pPr>
      <w:bookmarkStart w:id="153" w:name="_Ref4712"/>
      <w:r>
        <w:rPr>
          <w:rFonts w:eastAsiaTheme="minorEastAsia"/>
          <w:sz w:val="21"/>
          <w:szCs w:val="21"/>
        </w:rPr>
        <w:t>蔡薇薇,徐彦伟,颉潭成.基于CNN-LSTM的轴承剩余使用寿命预测[J].机械传动,2022,46(10):17-23.</w:t>
      </w:r>
      <w:bookmarkEnd w:id="153"/>
    </w:p>
    <w:p w14:paraId="5DF75C92">
      <w:pPr>
        <w:numPr>
          <w:ilvl w:val="0"/>
          <w:numId w:val="4"/>
        </w:numPr>
        <w:snapToGrid w:val="0"/>
        <w:ind w:firstLineChars="0"/>
        <w:rPr>
          <w:rFonts w:eastAsiaTheme="minorEastAsia"/>
          <w:sz w:val="21"/>
          <w:szCs w:val="21"/>
        </w:rPr>
      </w:pPr>
      <w:bookmarkStart w:id="154" w:name="_Ref4777"/>
      <w:r>
        <w:rPr>
          <w:rFonts w:eastAsiaTheme="minorEastAsia"/>
          <w:sz w:val="21"/>
          <w:szCs w:val="21"/>
        </w:rPr>
        <w:t>刘尚宗.滚动轴承健康状态评估和剩余寿命预测深度学习方法研究[D].南昌:华东交通大学,2022.</w:t>
      </w:r>
      <w:bookmarkEnd w:id="154"/>
    </w:p>
    <w:p w14:paraId="75A73A6E">
      <w:pPr>
        <w:numPr>
          <w:ilvl w:val="0"/>
          <w:numId w:val="4"/>
        </w:numPr>
        <w:snapToGrid w:val="0"/>
        <w:ind w:firstLineChars="0"/>
        <w:rPr>
          <w:rFonts w:eastAsiaTheme="minorEastAsia"/>
          <w:sz w:val="21"/>
          <w:szCs w:val="21"/>
        </w:rPr>
      </w:pPr>
      <w:bookmarkStart w:id="155" w:name="_Ref4846"/>
      <w:r>
        <w:rPr>
          <w:rFonts w:eastAsiaTheme="minorEastAsia"/>
          <w:sz w:val="21"/>
          <w:szCs w:val="21"/>
        </w:rPr>
        <w:t>田巧萍.含剩余使用寿命的滚动轴承健康管理模型和预测性维护优化策略研究[D].贵阳:贵州大学,2022.</w:t>
      </w:r>
      <w:bookmarkEnd w:id="155"/>
    </w:p>
    <w:p w14:paraId="2B7995A8">
      <w:pPr>
        <w:numPr>
          <w:ilvl w:val="0"/>
          <w:numId w:val="4"/>
        </w:numPr>
        <w:snapToGrid w:val="0"/>
        <w:ind w:firstLineChars="0"/>
        <w:rPr>
          <w:rFonts w:eastAsiaTheme="minorEastAsia"/>
          <w:sz w:val="21"/>
          <w:szCs w:val="21"/>
        </w:rPr>
      </w:pPr>
      <w:bookmarkStart w:id="156" w:name="_Ref4924"/>
      <w:r>
        <w:rPr>
          <w:rFonts w:eastAsiaTheme="minorEastAsia"/>
          <w:sz w:val="21"/>
          <w:szCs w:val="21"/>
        </w:rPr>
        <w:t>Wang Biao,Lei Yaguo,Li Naipeng,Li Ningbo.A Hybrid Prognostics Approach for Estimating Remaining Useful Life of Rolling Element Bearings[J]. IEEE Transactions on Reliability, 2020, 69(1): 207-217.</w:t>
      </w:r>
      <w:bookmarkEnd w:id="156"/>
    </w:p>
    <w:p w14:paraId="726F2612">
      <w:pPr>
        <w:numPr>
          <w:ilvl w:val="0"/>
          <w:numId w:val="4"/>
        </w:numPr>
        <w:snapToGrid w:val="0"/>
        <w:ind w:firstLineChars="0"/>
        <w:rPr>
          <w:rFonts w:eastAsiaTheme="minorEastAsia"/>
          <w:sz w:val="21"/>
          <w:szCs w:val="21"/>
        </w:rPr>
      </w:pPr>
      <w:bookmarkStart w:id="157" w:name="_Ref5006"/>
      <w:r>
        <w:rPr>
          <w:rFonts w:eastAsiaTheme="minorEastAsia"/>
          <w:sz w:val="21"/>
          <w:szCs w:val="21"/>
        </w:rPr>
        <w:t>Pan Haiyang, Tang Anbo, Tong Jinyu, Zheng Jinde. Multi-projection support matrix regression for remaining useful life prediction of roller bearing[J]. Mechanical Systems and Signal Processing, 2025, 238: 111567.</w:t>
      </w:r>
      <w:bookmarkEnd w:id="157"/>
    </w:p>
    <w:p w14:paraId="2D146ACA">
      <w:pPr>
        <w:numPr>
          <w:ilvl w:val="0"/>
          <w:numId w:val="4"/>
        </w:numPr>
        <w:snapToGrid w:val="0"/>
        <w:ind w:firstLineChars="0"/>
        <w:rPr>
          <w:rFonts w:eastAsiaTheme="minorEastAsia"/>
          <w:sz w:val="21"/>
          <w:szCs w:val="21"/>
        </w:rPr>
      </w:pPr>
      <w:bookmarkStart w:id="158" w:name="_Ref5153"/>
      <w:r>
        <w:rPr>
          <w:rFonts w:eastAsiaTheme="minorEastAsia"/>
          <w:sz w:val="21"/>
          <w:szCs w:val="21"/>
        </w:rPr>
        <w:t>Bin Xue, You Li, Zhongbin Xu, Lianna Chen. Remaining useful life prediction for rolling bearing based on a hybrid data-driven method integrating similarity analysis[J]. Measurement Science and Technology, 2025, 36(9): 095106.</w:t>
      </w:r>
      <w:bookmarkEnd w:id="158"/>
    </w:p>
    <w:p w14:paraId="035190BE">
      <w:pPr>
        <w:numPr>
          <w:ilvl w:val="0"/>
          <w:numId w:val="4"/>
        </w:numPr>
        <w:snapToGrid w:val="0"/>
        <w:ind w:firstLineChars="0"/>
        <w:rPr>
          <w:rFonts w:eastAsiaTheme="minorEastAsia"/>
          <w:sz w:val="21"/>
          <w:szCs w:val="21"/>
        </w:rPr>
      </w:pPr>
      <w:bookmarkStart w:id="159" w:name="_Ref5192"/>
      <w:r>
        <w:rPr>
          <w:rFonts w:eastAsiaTheme="minorEastAsia"/>
          <w:sz w:val="21"/>
          <w:szCs w:val="21"/>
        </w:rPr>
        <w:t>Wang Jie, Zhuang Yonghao, Mi Jinhua, Li Yan-Feng, Qiu Gen. Remaining life prediction of rolling bearings based on parallel feature extraction and deep learning[J]. Proceedings of the Institution of Mechanical Engineers, Part C: Journal of Mechanical Engineering Science, 2026, 240(2): 345-358.</w:t>
      </w:r>
      <w:bookmarkEnd w:id="159"/>
    </w:p>
    <w:p w14:paraId="6B2A75D4">
      <w:pPr>
        <w:numPr>
          <w:ilvl w:val="0"/>
          <w:numId w:val="4"/>
        </w:numPr>
        <w:snapToGrid w:val="0"/>
        <w:ind w:firstLineChars="0"/>
        <w:rPr>
          <w:rFonts w:eastAsiaTheme="minorEastAsia"/>
          <w:sz w:val="21"/>
          <w:szCs w:val="21"/>
        </w:rPr>
      </w:pPr>
      <w:bookmarkStart w:id="160" w:name="_Ref5238"/>
      <w:r>
        <w:rPr>
          <w:rFonts w:eastAsiaTheme="minorEastAsia"/>
          <w:sz w:val="21"/>
          <w:szCs w:val="21"/>
        </w:rPr>
        <w:t>Kong Lingbin, Chen Yongqi, Ma Zongcai, Mao Xiaoyan. Rolling bearing remaining useful life prediction via parameter-optimized VMD and hybrid TCN-GRU-self-attention network[J]. Journal of Vibroengineering, 2026, 28(2): 123-137.</w:t>
      </w:r>
      <w:bookmarkEnd w:id="160"/>
    </w:p>
    <w:p w14:paraId="56F737AF">
      <w:pPr>
        <w:numPr>
          <w:ilvl w:val="0"/>
          <w:numId w:val="4"/>
        </w:numPr>
        <w:snapToGrid w:val="0"/>
        <w:ind w:firstLineChars="0"/>
        <w:rPr>
          <w:rFonts w:eastAsiaTheme="minorEastAsia"/>
          <w:sz w:val="21"/>
          <w:szCs w:val="21"/>
        </w:rPr>
      </w:pPr>
      <w:bookmarkStart w:id="161" w:name="_Ref5280"/>
      <w:r>
        <w:rPr>
          <w:rFonts w:eastAsiaTheme="minorEastAsia"/>
          <w:sz w:val="21"/>
          <w:szCs w:val="21"/>
        </w:rPr>
        <w:t>Fangcheng Shi, Fang Yi, Jingsong Xie, Tiantian Wang, Yuyan Li, Buyao Yang. Integrating frequency domain reconstruction with time-adaptive fusion network for rolling bearing remaining useful life prediction[J]. Measurement Science and Technology, 2026, 37(10): 105112.</w:t>
      </w:r>
      <w:bookmarkEnd w:id="161"/>
    </w:p>
    <w:p w14:paraId="6520141B">
      <w:pPr>
        <w:numPr>
          <w:ilvl w:val="0"/>
          <w:numId w:val="4"/>
        </w:numPr>
        <w:snapToGrid w:val="0"/>
        <w:ind w:firstLineChars="0"/>
        <w:rPr>
          <w:rFonts w:eastAsiaTheme="minorEastAsia"/>
          <w:sz w:val="21"/>
          <w:szCs w:val="21"/>
        </w:rPr>
      </w:pPr>
      <w:bookmarkStart w:id="162" w:name="_Ref5310"/>
      <w:r>
        <w:rPr>
          <w:rFonts w:eastAsiaTheme="minorEastAsia"/>
          <w:sz w:val="21"/>
          <w:szCs w:val="21"/>
        </w:rPr>
        <w:t>Zhunan Shen, Chenhao Yang, Liu Cheng, Xiangwei Kong, Zhitong Liu, Kaiyu Su. A novel dual-dimensional contrastive self-supervised learning-based framework for rolling bearing remaining useful life prediction[J]. Scientific Reports, 2026, 16(1): 12345.</w:t>
      </w:r>
      <w:bookmarkEnd w:id="162"/>
    </w:p>
    <w:p w14:paraId="1AB0405A">
      <w:pPr>
        <w:numPr>
          <w:ilvl w:val="0"/>
          <w:numId w:val="4"/>
        </w:numPr>
        <w:snapToGrid w:val="0"/>
        <w:ind w:firstLineChars="0"/>
        <w:rPr>
          <w:rFonts w:eastAsiaTheme="minorEastAsia"/>
          <w:sz w:val="21"/>
          <w:szCs w:val="21"/>
        </w:rPr>
      </w:pPr>
      <w:bookmarkStart w:id="163" w:name="_Ref5342"/>
      <w:r>
        <w:rPr>
          <w:rFonts w:eastAsiaTheme="minorEastAsia"/>
          <w:sz w:val="21"/>
          <w:szCs w:val="21"/>
        </w:rPr>
        <w:t>Qiwu Zhao, Xiaoli Zhang, Xin Luo, Wang Liang, Erick Mbeka. A physics-informed recurrent neural network for long sequence remaining useful life prediction of rolling bearing with implicit function[J]. Reliability Engineering and System Safety, 2026, 274: 109123.</w:t>
      </w:r>
      <w:bookmarkEnd w:id="163"/>
    </w:p>
    <w:p w14:paraId="76A18FCA">
      <w:pPr>
        <w:numPr>
          <w:ilvl w:val="0"/>
          <w:numId w:val="4"/>
        </w:numPr>
        <w:snapToGrid w:val="0"/>
        <w:ind w:firstLineChars="0"/>
        <w:rPr>
          <w:rFonts w:eastAsiaTheme="minorEastAsia"/>
          <w:sz w:val="21"/>
          <w:szCs w:val="21"/>
        </w:rPr>
      </w:pPr>
      <w:bookmarkStart w:id="164" w:name="_Ref5411"/>
      <w:r>
        <w:rPr>
          <w:rFonts w:eastAsiaTheme="minorEastAsia"/>
          <w:sz w:val="21"/>
          <w:szCs w:val="21"/>
        </w:rPr>
        <w:t>Xiaoan Yan, Xiaopeng Jin, Dong Jiang, Ling Xiang. Remaining useful life prediction of rolling bearings based on dual-branch global-local cross fusion network[J]. Measurement Science and Technology, 2026, 37(8): 085109.</w:t>
      </w:r>
      <w:bookmarkEnd w:id="164"/>
    </w:p>
    <w:p w14:paraId="2F162315">
      <w:pPr>
        <w:numPr>
          <w:ilvl w:val="0"/>
          <w:numId w:val="4"/>
        </w:numPr>
        <w:snapToGrid w:val="0"/>
        <w:ind w:firstLineChars="0"/>
        <w:rPr>
          <w:rFonts w:eastAsiaTheme="minorEastAsia"/>
          <w:sz w:val="21"/>
          <w:szCs w:val="21"/>
        </w:rPr>
      </w:pPr>
      <w:bookmarkStart w:id="165" w:name="_Ref5447"/>
      <w:r>
        <w:rPr>
          <w:rFonts w:eastAsiaTheme="minorEastAsia"/>
          <w:sz w:val="21"/>
          <w:szCs w:val="21"/>
        </w:rPr>
        <w:t>Yuzhen Chen, Jing Wang, Qi Xi. Dilated attention ConvGRU for remaining useful life prediction of rolling bearings with uncertainty quantification[J]. Measurement Science and Technology, 2026, 37(7): 075107.</w:t>
      </w:r>
      <w:bookmarkEnd w:id="165"/>
    </w:p>
    <w:p w14:paraId="7F4CA947">
      <w:pPr>
        <w:numPr>
          <w:ilvl w:val="0"/>
          <w:numId w:val="4"/>
        </w:numPr>
        <w:snapToGrid w:val="0"/>
        <w:ind w:firstLineChars="0"/>
        <w:rPr>
          <w:rFonts w:eastAsiaTheme="minorEastAsia"/>
          <w:sz w:val="21"/>
          <w:szCs w:val="21"/>
        </w:rPr>
      </w:pPr>
      <w:bookmarkStart w:id="166" w:name="_Ref5496"/>
      <w:r>
        <w:rPr>
          <w:rFonts w:eastAsiaTheme="minorEastAsia"/>
          <w:sz w:val="21"/>
          <w:szCs w:val="21"/>
        </w:rPr>
        <w:t>Shijie Ning, Xiaomin Zhu, Zhizheng Sun, Xiaochen Wang, Runtong Zhang. Multiscale dilated attention convolutional neural network for remaining useful life prediction of rolling bearings in noisy environments[J]. Measurement Science and Technology, 2026, 37(6): 065108.</w:t>
      </w:r>
      <w:bookmarkEnd w:id="166"/>
    </w:p>
    <w:p w14:paraId="3B070207">
      <w:pPr>
        <w:numPr>
          <w:ilvl w:val="0"/>
          <w:numId w:val="4"/>
        </w:numPr>
        <w:snapToGrid w:val="0"/>
        <w:ind w:firstLineChars="0"/>
        <w:rPr>
          <w:rFonts w:eastAsiaTheme="minorEastAsia"/>
          <w:sz w:val="21"/>
          <w:szCs w:val="21"/>
        </w:rPr>
      </w:pPr>
      <w:bookmarkStart w:id="167" w:name="_Ref5535"/>
      <w:r>
        <w:rPr>
          <w:rFonts w:eastAsiaTheme="minorEastAsia"/>
          <w:sz w:val="21"/>
          <w:szCs w:val="21"/>
        </w:rPr>
        <w:t>Xudong Song, Jialiang Sun, Changxian Li. An entire life-cycle rolling bearing remaining useful life prediction method using new degradation feature evaluation indicators[J]. Proceedings of the Institution of Mechanical Engineers, Part E: Journal of Process Mechanical Engineering, 2026, 240(1): 123-135.</w:t>
      </w:r>
      <w:bookmarkEnd w:id="167"/>
    </w:p>
    <w:p w14:paraId="16E59C7D">
      <w:pPr>
        <w:numPr>
          <w:ilvl w:val="0"/>
          <w:numId w:val="4"/>
        </w:numPr>
        <w:snapToGrid w:val="0"/>
        <w:ind w:firstLineChars="0"/>
        <w:rPr>
          <w:rFonts w:eastAsiaTheme="minorEastAsia"/>
          <w:sz w:val="21"/>
          <w:szCs w:val="21"/>
        </w:rPr>
      </w:pPr>
      <w:bookmarkStart w:id="168" w:name="_Ref5574"/>
      <w:r>
        <w:rPr>
          <w:rFonts w:eastAsiaTheme="minorEastAsia"/>
          <w:sz w:val="21"/>
          <w:szCs w:val="21"/>
        </w:rPr>
        <w:t>Jimeng Li, Bixin Yang, Yilong Yao, Zong Meng, Jinfeng Zhang. Remaining useful life prediction of rolling bearings using federated learning with personalized dynamic aggregation and local-adversarial[J]. Engineering Applications of Artificial Intelligence, 2026, 167(P2): 108567.</w:t>
      </w:r>
      <w:bookmarkEnd w:id="168"/>
    </w:p>
    <w:p w14:paraId="01B12801">
      <w:pPr>
        <w:numPr>
          <w:ilvl w:val="0"/>
          <w:numId w:val="4"/>
        </w:numPr>
        <w:snapToGrid w:val="0"/>
        <w:ind w:firstLineChars="0"/>
        <w:rPr>
          <w:rFonts w:eastAsiaTheme="minorEastAsia"/>
          <w:sz w:val="21"/>
          <w:szCs w:val="21"/>
        </w:rPr>
      </w:pPr>
      <w:bookmarkStart w:id="169" w:name="_Ref5604"/>
      <w:r>
        <w:rPr>
          <w:rFonts w:eastAsiaTheme="minorEastAsia"/>
          <w:sz w:val="21"/>
          <w:szCs w:val="21"/>
        </w:rPr>
        <w:t>Yuanhang Fang, Huaitao Shi, Chengying Zhao, Xiaotian Bai, Zhan Wang. Trend-guided deep physics-informed transfer learning method for remaining useful life prediction of rolling bearings across machines[J]. Reliability Engineering and System Safety, 2026, 270: 108987.</w:t>
      </w:r>
      <w:bookmarkEnd w:id="169"/>
    </w:p>
    <w:p w14:paraId="04585182">
      <w:pPr>
        <w:numPr>
          <w:ilvl w:val="0"/>
          <w:numId w:val="4"/>
        </w:numPr>
        <w:snapToGrid w:val="0"/>
        <w:ind w:firstLineChars="0"/>
        <w:rPr>
          <w:rFonts w:eastAsiaTheme="minorEastAsia"/>
          <w:sz w:val="21"/>
          <w:szCs w:val="21"/>
        </w:rPr>
      </w:pPr>
      <w:bookmarkStart w:id="170" w:name="_Ref5633"/>
      <w:r>
        <w:rPr>
          <w:rFonts w:eastAsiaTheme="minorEastAsia"/>
          <w:sz w:val="21"/>
          <w:szCs w:val="21"/>
        </w:rPr>
        <w:t>Daoming She, Yangyang Luo, Yitian Wang, Shuyuan Gan, Xiaoan Yan, Michael G. Pecht. A meta-transfer-driven method for predicting the remaining useful life of rolling bearing with few shot data[J]. Measurement, 2025, 254: 114678.</w:t>
      </w:r>
      <w:bookmarkEnd w:id="170"/>
    </w:p>
    <w:p w14:paraId="4B3BA2F9">
      <w:pPr>
        <w:numPr>
          <w:ilvl w:val="0"/>
          <w:numId w:val="4"/>
        </w:numPr>
        <w:snapToGrid w:val="0"/>
        <w:ind w:firstLineChars="0"/>
        <w:rPr>
          <w:rFonts w:eastAsiaTheme="minorEastAsia"/>
          <w:sz w:val="21"/>
          <w:szCs w:val="21"/>
        </w:rPr>
      </w:pPr>
      <w:bookmarkStart w:id="171" w:name="_Ref5688"/>
      <w:r>
        <w:rPr>
          <w:rFonts w:eastAsiaTheme="minorEastAsia"/>
          <w:sz w:val="21"/>
          <w:szCs w:val="21"/>
        </w:rPr>
        <w:t>Yan Han, Ailin Hu, Qingqing Huang, Yan Zhang, Zhichao Lin, Jinghua Ma. Sinkhorn divergence-based contrast domain adaptation for remaining useful life prediction of rolling bearings under multiple operating conditions[J]. Reliability Engineering and System Safety, 2025, 253: 108456.</w:t>
      </w:r>
      <w:bookmarkEnd w:id="171"/>
    </w:p>
    <w:p w14:paraId="49E80483">
      <w:pPr>
        <w:numPr>
          <w:ilvl w:val="0"/>
          <w:numId w:val="4"/>
        </w:numPr>
        <w:snapToGrid w:val="0"/>
        <w:ind w:firstLineChars="0"/>
        <w:rPr>
          <w:rFonts w:eastAsiaTheme="minorEastAsia"/>
          <w:sz w:val="21"/>
          <w:szCs w:val="21"/>
        </w:rPr>
      </w:pPr>
      <w:bookmarkStart w:id="172" w:name="_Ref5724"/>
      <w:r>
        <w:rPr>
          <w:rFonts w:eastAsiaTheme="minorEastAsia"/>
          <w:sz w:val="21"/>
          <w:szCs w:val="21"/>
        </w:rPr>
        <w:t>Jianghong Yu, Jingwei Shao, Xionglu Peng, Tao Liu, Qishui Yao. Remaining Useful Life of the Rolling Bearings Prediction Method Based on Transfer Learning Integrated with CNN-GRU-MHA[J]. Applied Sciences, 2024, 14(19): 10234.</w:t>
      </w:r>
      <w:bookmarkEnd w:id="172"/>
    </w:p>
    <w:p w14:paraId="6501ECE1">
      <w:pPr>
        <w:numPr>
          <w:ilvl w:val="0"/>
          <w:numId w:val="4"/>
        </w:numPr>
        <w:snapToGrid w:val="0"/>
        <w:ind w:firstLineChars="0"/>
        <w:rPr>
          <w:rFonts w:eastAsiaTheme="minorEastAsia"/>
          <w:sz w:val="21"/>
          <w:szCs w:val="21"/>
        </w:rPr>
      </w:pPr>
      <w:bookmarkStart w:id="173" w:name="_Ref5783"/>
      <w:r>
        <w:rPr>
          <w:rFonts w:eastAsiaTheme="minorEastAsia"/>
          <w:sz w:val="21"/>
          <w:szCs w:val="21"/>
        </w:rPr>
        <w:t>Runyan Zhao, Baoping Tang, Xiaolong Zhang, Lei Deng. Physics-informed cross layer temporal frequency transformer network for remaining useful life prediction of rolling bearings[J]. Engineering Applications of Artificial Intelligence, 2025, 159(PA): 109123.</w:t>
      </w:r>
      <w:bookmarkEnd w:id="173"/>
    </w:p>
    <w:p w14:paraId="15E96508">
      <w:pPr>
        <w:numPr>
          <w:ilvl w:val="0"/>
          <w:numId w:val="4"/>
        </w:numPr>
        <w:snapToGrid w:val="0"/>
        <w:ind w:firstLineChars="0"/>
        <w:rPr>
          <w:rFonts w:eastAsiaTheme="minorEastAsia"/>
          <w:sz w:val="21"/>
          <w:szCs w:val="21"/>
        </w:rPr>
      </w:pPr>
      <w:bookmarkStart w:id="174" w:name="_Ref5819"/>
      <w:r>
        <w:rPr>
          <w:rFonts w:eastAsiaTheme="minorEastAsia"/>
          <w:sz w:val="21"/>
          <w:szCs w:val="21"/>
        </w:rPr>
        <w:t>Hengdi Wang, Aodi Shi. Remaining Useful Life Prediction of Rolling Bearings Based on an Improved U-Net and a Multi-Dimensional Hybrid Gated Attention Mechanism[J]. Applied Sciences, 2025, 15(13): 6789.</w:t>
      </w:r>
      <w:bookmarkEnd w:id="174"/>
    </w:p>
    <w:p w14:paraId="35D5AFF6">
      <w:pPr>
        <w:numPr>
          <w:ilvl w:val="0"/>
          <w:numId w:val="4"/>
        </w:numPr>
        <w:snapToGrid w:val="0"/>
        <w:ind w:firstLineChars="0"/>
        <w:rPr>
          <w:rFonts w:eastAsiaTheme="minorEastAsia"/>
          <w:sz w:val="21"/>
          <w:szCs w:val="21"/>
        </w:rPr>
      </w:pPr>
      <w:bookmarkStart w:id="175" w:name="_Ref5891"/>
      <w:r>
        <w:rPr>
          <w:rFonts w:eastAsiaTheme="minorEastAsia"/>
          <w:sz w:val="21"/>
          <w:szCs w:val="21"/>
        </w:rPr>
        <w:t>Xuewu Pei, Xinyu Li, Jiawei Li, Yiping Gao, Liang Gao. Threshold alignment indicator driven two-phase nonlinear degradation model for remaining useful life prediction of rolling bearing[J]. Advanced Engineering Informatics, 2025, 67: 102345.</w:t>
      </w:r>
      <w:bookmarkEnd w:id="175"/>
    </w:p>
    <w:p w14:paraId="61CC31DA">
      <w:pPr>
        <w:numPr>
          <w:ilvl w:val="0"/>
          <w:numId w:val="4"/>
        </w:numPr>
        <w:snapToGrid w:val="0"/>
        <w:ind w:firstLineChars="0"/>
        <w:rPr>
          <w:rFonts w:eastAsiaTheme="minorEastAsia"/>
          <w:sz w:val="21"/>
          <w:szCs w:val="21"/>
        </w:rPr>
      </w:pPr>
      <w:bookmarkStart w:id="176" w:name="_Ref5943"/>
      <w:r>
        <w:rPr>
          <w:rFonts w:eastAsiaTheme="minorEastAsia"/>
          <w:sz w:val="21"/>
          <w:szCs w:val="21"/>
        </w:rPr>
        <w:t>Wenping Lei, Wangshen Hao, Chenyang Li, Yifei Zhang. A Bayesian change point detection-based method for rolling bearing remaining useful life prediction[J]. Advances in Mechanical Engineering, 2025, 17(11): 16878140251234567.</w:t>
      </w:r>
      <w:bookmarkEnd w:id="176"/>
    </w:p>
    <w:p w14:paraId="71A16EF4">
      <w:pPr>
        <w:numPr>
          <w:ilvl w:val="0"/>
          <w:numId w:val="4"/>
        </w:numPr>
        <w:snapToGrid w:val="0"/>
        <w:ind w:firstLineChars="0"/>
        <w:rPr>
          <w:rFonts w:eastAsiaTheme="minorEastAsia"/>
          <w:sz w:val="21"/>
          <w:szCs w:val="21"/>
        </w:rPr>
      </w:pPr>
      <w:bookmarkStart w:id="177" w:name="_Ref5979"/>
      <w:r>
        <w:rPr>
          <w:rFonts w:eastAsiaTheme="minorEastAsia"/>
          <w:sz w:val="21"/>
          <w:szCs w:val="21"/>
        </w:rPr>
        <w:t>Wenzhe Yin, Hong Xia, Enrico Zio, Xueying Huang. Deep ensemble learning and error correction method for remaining useful life prediction of rolling bearings[J]. Engineering Applications of Artificial Intelligence, 2025, 161(PA): 109234.</w:t>
      </w:r>
      <w:bookmarkEnd w:id="177"/>
    </w:p>
    <w:p w14:paraId="592A8305">
      <w:pPr>
        <w:numPr>
          <w:ilvl w:val="0"/>
          <w:numId w:val="4"/>
        </w:numPr>
        <w:snapToGrid w:val="0"/>
        <w:ind w:firstLineChars="0"/>
        <w:rPr>
          <w:rFonts w:eastAsiaTheme="minorEastAsia"/>
          <w:sz w:val="21"/>
          <w:szCs w:val="21"/>
        </w:rPr>
      </w:pPr>
      <w:bookmarkStart w:id="178" w:name="_Ref6015"/>
      <w:r>
        <w:rPr>
          <w:rFonts w:eastAsiaTheme="minorEastAsia"/>
          <w:sz w:val="21"/>
          <w:szCs w:val="21"/>
        </w:rPr>
        <w:t>Zhuyong Cao, Jianxing Zhou, Ke Xiao, Yadong Zhou, Xiang Fei. Physics-driven digital twin model and CNN-GRU network for remaining useful life prediction in rolling bearings[J]. Measurement Science and Technology, 2025, 36(9): 095107.</w:t>
      </w:r>
      <w:bookmarkEnd w:id="178"/>
    </w:p>
    <w:p w14:paraId="4EF144BC">
      <w:pPr>
        <w:numPr>
          <w:ilvl w:val="0"/>
          <w:numId w:val="4"/>
        </w:numPr>
        <w:snapToGrid w:val="0"/>
        <w:ind w:firstLineChars="0"/>
        <w:rPr>
          <w:rFonts w:eastAsiaTheme="minorEastAsia"/>
          <w:sz w:val="21"/>
          <w:szCs w:val="21"/>
        </w:rPr>
      </w:pPr>
      <w:bookmarkStart w:id="179" w:name="_Ref6054"/>
      <w:r>
        <w:rPr>
          <w:rFonts w:eastAsiaTheme="minorEastAsia"/>
          <w:sz w:val="21"/>
          <w:szCs w:val="21"/>
        </w:rPr>
        <w:t>赖冬梅.基于LSTM与改进iTransformer融合模型的滚动轴承剩余使用寿命预测[D].大连:大连交通大学,2025.</w:t>
      </w:r>
      <w:bookmarkEnd w:id="179"/>
    </w:p>
    <w:p w14:paraId="18E6CC0C">
      <w:pPr>
        <w:numPr>
          <w:ilvl w:val="0"/>
          <w:numId w:val="4"/>
        </w:numPr>
        <w:snapToGrid w:val="0"/>
        <w:ind w:firstLineChars="0"/>
        <w:rPr>
          <w:rFonts w:eastAsiaTheme="minorEastAsia"/>
          <w:sz w:val="21"/>
          <w:szCs w:val="21"/>
        </w:rPr>
      </w:pPr>
      <w:bookmarkStart w:id="180" w:name="_Ref6126"/>
      <w:r>
        <w:rPr>
          <w:rFonts w:eastAsiaTheme="minorEastAsia"/>
          <w:sz w:val="21"/>
          <w:szCs w:val="21"/>
        </w:rPr>
        <w:t>李沁远,雷文平,闫灏,等.基于特征选择与Transformer-LSTM的滚动轴承寿命预测[J].组合机床与自动化加工技术,2025(02):200-206+211.</w:t>
      </w:r>
      <w:bookmarkEnd w:id="180"/>
    </w:p>
    <w:p w14:paraId="692EA37A">
      <w:pPr>
        <w:numPr>
          <w:ilvl w:val="0"/>
          <w:numId w:val="4"/>
        </w:numPr>
        <w:snapToGrid w:val="0"/>
        <w:ind w:firstLineChars="0"/>
        <w:rPr>
          <w:rFonts w:eastAsiaTheme="minorEastAsia"/>
          <w:sz w:val="21"/>
          <w:szCs w:val="21"/>
        </w:rPr>
      </w:pPr>
      <w:bookmarkStart w:id="181" w:name="_Ref6162"/>
      <w:r>
        <w:rPr>
          <w:rFonts w:eastAsiaTheme="minorEastAsia"/>
          <w:sz w:val="21"/>
          <w:szCs w:val="21"/>
        </w:rPr>
        <w:t>唐贵基,刘叔杭,陈锦鹏,等.基于Transformer-GRU并行网络的滚动轴承剩余寿命预测[J].机床与液压,2024,52(19):188-195.</w:t>
      </w:r>
      <w:bookmarkEnd w:id="181"/>
    </w:p>
    <w:p w14:paraId="3D426539">
      <w:pPr>
        <w:numPr>
          <w:ilvl w:val="0"/>
          <w:numId w:val="4"/>
        </w:numPr>
        <w:snapToGrid w:val="0"/>
        <w:ind w:firstLineChars="0"/>
        <w:rPr>
          <w:rFonts w:eastAsiaTheme="minorEastAsia"/>
          <w:sz w:val="21"/>
          <w:szCs w:val="21"/>
        </w:rPr>
      </w:pPr>
      <w:bookmarkStart w:id="182" w:name="_Ref6211"/>
      <w:r>
        <w:rPr>
          <w:rFonts w:eastAsiaTheme="minorEastAsia"/>
          <w:sz w:val="21"/>
          <w:szCs w:val="21"/>
        </w:rPr>
        <w:t>张菀,张泰瑀,贾民平,蔡骏.多传感器融合和MHA-LSTM的电机轴承剩余寿命预测[J].仪器仪表学报,2024,45(03):84-93.</w:t>
      </w:r>
      <w:bookmarkEnd w:id="182"/>
    </w:p>
    <w:p w14:paraId="373216BF">
      <w:pPr>
        <w:numPr>
          <w:ilvl w:val="0"/>
          <w:numId w:val="4"/>
        </w:numPr>
        <w:snapToGrid w:val="0"/>
        <w:ind w:firstLineChars="0"/>
        <w:rPr>
          <w:rFonts w:eastAsiaTheme="minorEastAsia"/>
          <w:sz w:val="21"/>
          <w:szCs w:val="21"/>
        </w:rPr>
      </w:pPr>
      <w:bookmarkStart w:id="183" w:name="_Ref6244"/>
      <w:r>
        <w:rPr>
          <w:rFonts w:eastAsiaTheme="minorEastAsia"/>
          <w:sz w:val="21"/>
          <w:szCs w:val="21"/>
        </w:rPr>
        <w:t>李敬一,苏翔.GWO优化CNN-BiLSTM-Attention的轴承剩余寿命预测方法[J].振动与冲击,2025,44(02):321-332.</w:t>
      </w:r>
      <w:bookmarkEnd w:id="183"/>
    </w:p>
    <w:p w14:paraId="179F6B77">
      <w:pPr>
        <w:numPr>
          <w:ilvl w:val="0"/>
          <w:numId w:val="4"/>
        </w:numPr>
        <w:snapToGrid w:val="0"/>
        <w:ind w:firstLineChars="0"/>
        <w:rPr>
          <w:rFonts w:eastAsiaTheme="minorEastAsia"/>
          <w:sz w:val="21"/>
          <w:szCs w:val="21"/>
        </w:rPr>
      </w:pPr>
      <w:bookmarkStart w:id="184" w:name="_Ref6289"/>
      <w:r>
        <w:rPr>
          <w:rFonts w:eastAsiaTheme="minorEastAsia"/>
          <w:sz w:val="21"/>
          <w:szCs w:val="21"/>
        </w:rPr>
        <w:t>刘业峰,王帅,刘晶晶,马祎航.基于TCN-SA和Bi-GRU的轴承剩余寿命预测[J].计算机集成制造系统,2025,31(05):1234-1245.</w:t>
      </w:r>
      <w:bookmarkEnd w:id="184"/>
    </w:p>
    <w:p w14:paraId="59EA720C">
      <w:pPr>
        <w:numPr>
          <w:ilvl w:val="0"/>
          <w:numId w:val="4"/>
        </w:numPr>
        <w:snapToGrid w:val="0"/>
        <w:ind w:firstLineChars="0"/>
        <w:rPr>
          <w:rFonts w:eastAsiaTheme="minorEastAsia"/>
          <w:sz w:val="21"/>
          <w:szCs w:val="21"/>
        </w:rPr>
      </w:pPr>
      <w:bookmarkStart w:id="185" w:name="_Ref6394"/>
      <w:r>
        <w:rPr>
          <w:rFonts w:eastAsiaTheme="minorEastAsia"/>
          <w:sz w:val="21"/>
          <w:szCs w:val="21"/>
        </w:rPr>
        <w:t>邓飞跃,陈哲,郝如江,杨绍普.基于MsTCN-Transformer模型的轴承剩余使用寿命预测研究[J].振动与冲击,2024,43(04):279-287.</w:t>
      </w:r>
      <w:bookmarkEnd w:id="185"/>
    </w:p>
    <w:p w14:paraId="12260A95">
      <w:pPr>
        <w:numPr>
          <w:ilvl w:val="0"/>
          <w:numId w:val="4"/>
        </w:numPr>
        <w:snapToGrid w:val="0"/>
        <w:ind w:firstLineChars="0"/>
        <w:rPr>
          <w:rFonts w:eastAsiaTheme="minorEastAsia"/>
          <w:sz w:val="21"/>
          <w:szCs w:val="21"/>
        </w:rPr>
      </w:pPr>
      <w:bookmarkStart w:id="186" w:name="_Ref6423"/>
      <w:r>
        <w:rPr>
          <w:rFonts w:eastAsiaTheme="minorEastAsia"/>
          <w:sz w:val="21"/>
          <w:szCs w:val="21"/>
        </w:rPr>
        <w:t>周哲韬,刘路,宋晓,陈凯.基于Transformer模型的滚动轴承剩余使用寿命预测方法[J].北京航空航天大学学报,2023,49(02):430-443.</w:t>
      </w:r>
      <w:bookmarkEnd w:id="186"/>
    </w:p>
    <w:p w14:paraId="5870AFE6">
      <w:pPr>
        <w:numPr>
          <w:ilvl w:val="0"/>
          <w:numId w:val="4"/>
        </w:numPr>
        <w:snapToGrid w:val="0"/>
        <w:ind w:firstLineChars="0"/>
        <w:rPr>
          <w:rFonts w:eastAsiaTheme="minorEastAsia"/>
          <w:sz w:val="21"/>
          <w:szCs w:val="21"/>
        </w:rPr>
      </w:pPr>
      <w:bookmarkStart w:id="187" w:name="_Ref6462"/>
      <w:r>
        <w:rPr>
          <w:rFonts w:eastAsiaTheme="minorEastAsia"/>
          <w:sz w:val="21"/>
          <w:szCs w:val="21"/>
        </w:rPr>
        <w:t>黄宇,冯坤,高俊峰,等.结合LSTM和Self-Attention的滚动轴承剩余使用寿命预测方法[J].振动工程学报,2023,36(06):1744-1753.</w:t>
      </w:r>
      <w:bookmarkEnd w:id="187"/>
    </w:p>
    <w:p w14:paraId="7618E61D">
      <w:pPr>
        <w:numPr>
          <w:ilvl w:val="0"/>
          <w:numId w:val="4"/>
        </w:numPr>
        <w:snapToGrid w:val="0"/>
        <w:ind w:firstLineChars="0"/>
        <w:rPr>
          <w:rFonts w:eastAsiaTheme="minorEastAsia"/>
          <w:sz w:val="21"/>
          <w:szCs w:val="21"/>
        </w:rPr>
      </w:pPr>
      <w:bookmarkStart w:id="188" w:name="_Ref6505"/>
      <w:r>
        <w:rPr>
          <w:rFonts w:eastAsiaTheme="minorEastAsia"/>
          <w:sz w:val="21"/>
          <w:szCs w:val="21"/>
        </w:rPr>
        <w:t>姜苗,向阳,魏建红.基于迁移学习的滚动轴承剩余使用寿命预测[J].哈尔滨工程大学学报,2024,45(04):665-673.</w:t>
      </w:r>
      <w:bookmarkEnd w:id="188"/>
    </w:p>
    <w:p w14:paraId="3440E564">
      <w:pPr>
        <w:numPr>
          <w:ilvl w:val="0"/>
          <w:numId w:val="4"/>
        </w:numPr>
        <w:snapToGrid w:val="0"/>
        <w:ind w:firstLineChars="0"/>
        <w:rPr>
          <w:rFonts w:eastAsiaTheme="minorEastAsia"/>
          <w:sz w:val="21"/>
          <w:szCs w:val="21"/>
        </w:rPr>
      </w:pPr>
      <w:bookmarkStart w:id="189" w:name="_Ref6547"/>
      <w:r>
        <w:rPr>
          <w:rFonts w:eastAsiaTheme="minorEastAsia"/>
          <w:sz w:val="21"/>
          <w:szCs w:val="21"/>
        </w:rPr>
        <w:t>李广福,马萍,张宏立,王聪.一种Informer模型的滚动轴承剩余寿命预测方法[J].机械科学与技术,2024,43(12):2016-2023.</w:t>
      </w:r>
      <w:bookmarkEnd w:id="189"/>
    </w:p>
    <w:p w14:paraId="38ACF4BC">
      <w:pPr>
        <w:numPr>
          <w:ilvl w:val="0"/>
          <w:numId w:val="4"/>
        </w:numPr>
        <w:snapToGrid w:val="0"/>
        <w:ind w:firstLineChars="0"/>
        <w:rPr>
          <w:rFonts w:eastAsiaTheme="minorEastAsia"/>
          <w:sz w:val="21"/>
          <w:szCs w:val="21"/>
        </w:rPr>
      </w:pPr>
      <w:bookmarkStart w:id="190" w:name="_Ref6586"/>
      <w:r>
        <w:rPr>
          <w:rFonts w:eastAsiaTheme="minorEastAsia"/>
          <w:sz w:val="21"/>
          <w:szCs w:val="21"/>
        </w:rPr>
        <w:t>康守强,周月,王玉静,等.基于改进SAE和双向LSTM的滚动轴承RUL预测方法[J].自动化学报,2022,48(09):2327-2336.</w:t>
      </w:r>
      <w:bookmarkEnd w:id="190"/>
    </w:p>
    <w:p w14:paraId="5E35AE1B">
      <w:pPr>
        <w:numPr>
          <w:ilvl w:val="0"/>
          <w:numId w:val="4"/>
        </w:numPr>
        <w:snapToGrid w:val="0"/>
        <w:ind w:firstLineChars="0"/>
        <w:rPr>
          <w:rFonts w:eastAsiaTheme="minorEastAsia"/>
          <w:sz w:val="21"/>
          <w:szCs w:val="21"/>
        </w:rPr>
      </w:pPr>
      <w:bookmarkStart w:id="191" w:name="_Ref6626"/>
      <w:r>
        <w:rPr>
          <w:rFonts w:eastAsiaTheme="minorEastAsia"/>
          <w:sz w:val="21"/>
          <w:szCs w:val="21"/>
        </w:rPr>
        <w:t>王奉涛,刘晓飞,邓刚,等.基于长短期记忆网络的滚动轴承寿命预测方法[J].振动</w:t>
      </w:r>
      <w:r>
        <w:rPr>
          <w:rFonts w:eastAsia="微软雅黑"/>
          <w:sz w:val="21"/>
          <w:szCs w:val="21"/>
        </w:rPr>
        <w:t>､</w:t>
      </w:r>
      <w:r>
        <w:rPr>
          <w:sz w:val="21"/>
          <w:szCs w:val="21"/>
        </w:rPr>
        <w:t>测试与诊断</w:t>
      </w:r>
      <w:r>
        <w:rPr>
          <w:rFonts w:eastAsiaTheme="minorEastAsia"/>
          <w:sz w:val="21"/>
          <w:szCs w:val="21"/>
        </w:rPr>
        <w:t>，2020,40(02):303-309+419.</w:t>
      </w:r>
      <w:bookmarkEnd w:id="191"/>
    </w:p>
    <w:p w14:paraId="4C652B88">
      <w:pPr>
        <w:numPr>
          <w:ilvl w:val="0"/>
          <w:numId w:val="4"/>
        </w:numPr>
        <w:snapToGrid w:val="0"/>
        <w:ind w:firstLineChars="0"/>
        <w:rPr>
          <w:rFonts w:eastAsiaTheme="minorEastAsia"/>
          <w:sz w:val="21"/>
          <w:szCs w:val="21"/>
        </w:rPr>
      </w:pPr>
      <w:bookmarkStart w:id="192" w:name="_Ref6678"/>
      <w:r>
        <w:rPr>
          <w:rFonts w:eastAsiaTheme="minorEastAsia"/>
          <w:sz w:val="21"/>
          <w:szCs w:val="21"/>
        </w:rPr>
        <w:t>拓云天,崔洁,王津沓,等.基于数字孪生的滚动轴承健康状态预测[J].制造技术与机床,2022(11):156-162.</w:t>
      </w:r>
      <w:bookmarkEnd w:id="192"/>
    </w:p>
    <w:p w14:paraId="6043E58F">
      <w:pPr>
        <w:numPr>
          <w:ilvl w:val="0"/>
          <w:numId w:val="4"/>
        </w:numPr>
        <w:snapToGrid w:val="0"/>
        <w:ind w:firstLineChars="0"/>
        <w:rPr>
          <w:rFonts w:eastAsiaTheme="minorEastAsia"/>
          <w:sz w:val="21"/>
          <w:szCs w:val="21"/>
        </w:rPr>
      </w:pPr>
      <w:bookmarkStart w:id="193" w:name="_Ref6707"/>
      <w:r>
        <w:rPr>
          <w:rFonts w:eastAsiaTheme="minorEastAsia"/>
          <w:sz w:val="21"/>
          <w:szCs w:val="21"/>
        </w:rPr>
        <w:t>陈远航.滚动轴承剩余寿命预测算法研究及监测软件开发[D].哈尔滨:哈尔滨工业大学,2020.</w:t>
      </w:r>
      <w:bookmarkEnd w:id="193"/>
    </w:p>
    <w:p w14:paraId="27CA8108">
      <w:pPr>
        <w:numPr>
          <w:ilvl w:val="0"/>
          <w:numId w:val="4"/>
        </w:numPr>
        <w:snapToGrid w:val="0"/>
        <w:ind w:firstLineChars="0"/>
        <w:rPr>
          <w:rFonts w:eastAsiaTheme="minorEastAsia"/>
          <w:sz w:val="21"/>
          <w:szCs w:val="21"/>
        </w:rPr>
      </w:pPr>
      <w:bookmarkStart w:id="194" w:name="_Ref6753"/>
      <w:r>
        <w:rPr>
          <w:rFonts w:eastAsiaTheme="minorEastAsia"/>
          <w:sz w:val="21"/>
          <w:szCs w:val="21"/>
        </w:rPr>
        <w:t>宋宏智.机车车辆走行部轴承性能退化及寿命预测方法研究[D].北京:中国铁道科学研究院,2020.</w:t>
      </w:r>
      <w:bookmarkEnd w:id="194"/>
    </w:p>
    <w:p w14:paraId="1EC4E0D5">
      <w:pPr>
        <w:numPr>
          <w:ilvl w:val="0"/>
          <w:numId w:val="4"/>
        </w:numPr>
        <w:snapToGrid w:val="0"/>
        <w:ind w:firstLineChars="0"/>
        <w:rPr>
          <w:rFonts w:eastAsiaTheme="minorEastAsia"/>
          <w:sz w:val="21"/>
          <w:szCs w:val="21"/>
        </w:rPr>
      </w:pPr>
      <w:r>
        <w:rPr>
          <w:rFonts w:eastAsiaTheme="minorEastAsia"/>
          <w:sz w:val="21"/>
          <w:szCs w:val="21"/>
        </w:rPr>
        <w:t>Zhigang Chen, Mengyao Shi, Yanxue Wang, Longqiao Chen. iTransformer-LSTM dual-stream architecture for rolling bearing remaining useful life prediction[J]. Signal, Image and Video Processing, 2025, 19(13): 2345-2356.</w:t>
      </w:r>
    </w:p>
    <w:p w14:paraId="01F20574">
      <w:pPr>
        <w:numPr>
          <w:ilvl w:val="0"/>
          <w:numId w:val="4"/>
        </w:numPr>
        <w:snapToGrid w:val="0"/>
        <w:ind w:firstLineChars="0"/>
        <w:rPr>
          <w:rFonts w:eastAsiaTheme="minorEastAsia"/>
          <w:sz w:val="21"/>
          <w:szCs w:val="21"/>
        </w:rPr>
      </w:pPr>
      <w:bookmarkStart w:id="195" w:name="_Ref14029"/>
      <w:r>
        <w:rPr>
          <w:rFonts w:eastAsiaTheme="minorEastAsia"/>
          <w:sz w:val="21"/>
          <w:szCs w:val="21"/>
        </w:rPr>
        <w:t>Zuozhou Pan, Xiyu Pan, Fei Jiang, et al. Remaining useful life prediction of rolling-element bearings based on cumulative transformation and EResNet-KSLSTM network[J]. Mechanical Systems and Signal Processing, 2025, 238: 111578.</w:t>
      </w:r>
      <w:bookmarkEnd w:id="195"/>
    </w:p>
    <w:p w14:paraId="3CC7DDDA">
      <w:pPr>
        <w:numPr>
          <w:ilvl w:val="0"/>
          <w:numId w:val="4"/>
        </w:numPr>
        <w:snapToGrid w:val="0"/>
        <w:ind w:firstLineChars="0"/>
        <w:rPr>
          <w:rFonts w:eastAsiaTheme="minorEastAsia"/>
          <w:sz w:val="21"/>
          <w:szCs w:val="21"/>
        </w:rPr>
      </w:pPr>
      <w:bookmarkStart w:id="196" w:name="_Ref15155"/>
      <w:r>
        <w:rPr>
          <w:rFonts w:eastAsiaTheme="minorEastAsia"/>
          <w:sz w:val="21"/>
          <w:szCs w:val="21"/>
        </w:rPr>
        <w:t>Yingming Yang, Zhihai Wang, Xiaoqin Liu, et al. Deep multiscale feature fusion network with dual attention for rolling bearing remaining useful life prediction[J]. Scientific Reports, 2025, 15(1): 123456.</w:t>
      </w:r>
      <w:bookmarkEnd w:id="196"/>
    </w:p>
    <w:p w14:paraId="373B9BA7">
      <w:pPr>
        <w:numPr>
          <w:ilvl w:val="0"/>
          <w:numId w:val="4"/>
        </w:numPr>
        <w:snapToGrid w:val="0"/>
        <w:ind w:firstLineChars="0"/>
      </w:pPr>
      <w:bookmarkStart w:id="197" w:name="_Ref22549"/>
      <w:r>
        <w:rPr>
          <w:rFonts w:eastAsiaTheme="minorEastAsia"/>
          <w:sz w:val="21"/>
          <w:szCs w:val="21"/>
        </w:rPr>
        <w:t>Zhen Wang, Yan Gao, Wanqing Song, et al. Remaining useful life prediction of rolling bearings based on performance evaluation and multifractional generalized Cauchy model with adaptive drift[J]. Transactions of the Institute of Measurement and Control, 2025, 47(8): 1234-1245.</w:t>
      </w:r>
      <w:bookmarkEnd w:id="197"/>
    </w:p>
    <w:p w14:paraId="46A2836F">
      <w:r>
        <w:rPr>
          <w:rFonts w:eastAsiaTheme="minorEastAsia"/>
          <w:sz w:val="21"/>
          <w:szCs w:val="21"/>
        </w:rPr>
        <w:br w:type="page"/>
      </w:r>
    </w:p>
    <w:p w14:paraId="708F309F">
      <w:pPr>
        <w:pStyle w:val="2"/>
        <w:numPr>
          <w:ilvl w:val="0"/>
          <w:numId w:val="0"/>
        </w:numPr>
        <w:spacing w:after="120"/>
        <w:rPr>
          <w:rFonts w:ascii="Times New Roman" w:hAnsi="Times New Roman"/>
        </w:rPr>
      </w:pPr>
      <w:bookmarkStart w:id="198" w:name="_Toc23213"/>
      <w:bookmarkStart w:id="199" w:name="_Toc16027"/>
      <w:r>
        <w:rPr>
          <w:rFonts w:ascii="Times New Roman" w:hAnsi="Times New Roman"/>
        </w:rPr>
        <w:t>致 谢</w:t>
      </w:r>
      <w:bookmarkEnd w:id="198"/>
      <w:bookmarkEnd w:id="199"/>
    </w:p>
    <w:p w14:paraId="4E0EF123">
      <w:pPr>
        <w:ind w:firstLine="480"/>
      </w:pPr>
      <w:r>
        <w:rPr>
          <w:rFonts w:hint="eastAsia" w:ascii="Times New Roman" w:eastAsia="宋体"/>
          <w:lang w:val="en-US" w:eastAsia="zh-CN"/>
        </w:rPr>
        <w:t>我的这篇</w:t>
      </w:r>
      <w:r>
        <w:t>论文得以顺利完成，首先要感谢我的导师刘锦扬老师。从论文选题的精准定位、研究框架的科学设计，到实验方案的落地优化、最终</w:t>
      </w:r>
      <w:r>
        <w:rPr>
          <w:rFonts w:hint="eastAsia" w:ascii="Times New Roman" w:eastAsia="宋体"/>
          <w:lang w:val="en-US" w:eastAsia="zh-CN"/>
        </w:rPr>
        <w:t>格式</w:t>
      </w:r>
      <w:r>
        <w:t>的细节打磨，每一个关键环节都离不开</w:t>
      </w:r>
      <w:r>
        <w:rPr>
          <w:rFonts w:hint="eastAsia" w:ascii="Times New Roman" w:eastAsia="宋体"/>
          <w:lang w:val="en-US" w:eastAsia="zh-CN"/>
        </w:rPr>
        <w:t>刘</w:t>
      </w:r>
      <w:r>
        <w:t>导师耐心细致的指导。导师严谨的治学态度、渊博的专业学识、精益求精的工作作风，以及诲人不倦的育人初心，都</w:t>
      </w:r>
      <w:r>
        <w:rPr>
          <w:rFonts w:hint="eastAsia"/>
          <w:lang w:eastAsia="zh-CN"/>
        </w:rPr>
        <w:t>使</w:t>
      </w:r>
      <w:r>
        <w:t>我在学术研究与为人处世中深受启发、获益良多。在此，向导师致以最诚挚的感谢与最高尚的敬意！</w:t>
      </w:r>
    </w:p>
    <w:p w14:paraId="4780789E">
      <w:pPr>
        <w:ind w:firstLine="480"/>
      </w:pPr>
      <w:r>
        <w:t>感谢西安交通大学、长兴昇阳科技有限公司提供的公开数据集，为本研究提供了关键数据基础。感谢同学的交流帮助，更感谢所有关心支持过我的人！</w:t>
      </w:r>
    </w:p>
    <w:p w14:paraId="7A97F7B3">
      <w:pPr>
        <w:ind w:firstLine="480"/>
      </w:pPr>
      <w:r>
        <w:t xml:space="preserve">作者简介： </w:t>
      </w:r>
    </w:p>
    <w:p w14:paraId="6DDBE55F">
      <w:pPr>
        <w:ind w:firstLine="480"/>
      </w:pPr>
      <w:r>
        <w:t>姓名：滕燈</w:t>
      </w:r>
      <w:r>
        <w:tab/>
      </w:r>
      <w:r>
        <w:tab/>
      </w:r>
      <w:r>
        <w:tab/>
      </w:r>
      <w:r>
        <w:tab/>
      </w:r>
      <w:r>
        <w:t xml:space="preserve"> </w:t>
      </w:r>
      <w:r>
        <w:tab/>
      </w:r>
      <w:r>
        <w:tab/>
      </w:r>
      <w:r>
        <w:t xml:space="preserve">性别：男 </w:t>
      </w:r>
    </w:p>
    <w:p w14:paraId="3195A972">
      <w:pPr>
        <w:ind w:firstLine="480"/>
      </w:pPr>
      <w:r>
        <w:t>出生年月：2004 年 5月</w:t>
      </w:r>
      <w:r>
        <w:tab/>
      </w:r>
      <w:r>
        <w:tab/>
      </w:r>
      <w:r>
        <w:tab/>
      </w:r>
      <w:r>
        <w:tab/>
      </w:r>
      <w:r>
        <w:t xml:space="preserve">民族：汉 </w:t>
      </w:r>
    </w:p>
    <w:p w14:paraId="7D064D11">
      <w:pPr>
        <w:ind w:firstLine="480"/>
      </w:pPr>
      <w:r>
        <w:t>E-mail：2812902801@qq.com</w:t>
      </w:r>
    </w:p>
    <w:p w14:paraId="34FF075E">
      <w:pPr>
        <w:ind w:firstLine="480"/>
      </w:pPr>
      <w:r>
        <w:br w:type="page"/>
      </w:r>
    </w:p>
    <w:p w14:paraId="713589E5">
      <w:pPr>
        <w:pStyle w:val="2"/>
        <w:numPr>
          <w:ilvl w:val="0"/>
          <w:numId w:val="0"/>
        </w:numPr>
        <w:spacing w:after="120"/>
        <w:rPr>
          <w:rFonts w:ascii="Times New Roman" w:hAnsi="Times New Roman"/>
        </w:rPr>
      </w:pPr>
      <w:bookmarkStart w:id="200" w:name="_Toc2953"/>
      <w:bookmarkStart w:id="201" w:name="_Toc29797"/>
      <w:r>
        <w:rPr>
          <w:rFonts w:ascii="Times New Roman" w:hAnsi="Times New Roman"/>
        </w:rPr>
        <w:t>声 明</w:t>
      </w:r>
      <w:bookmarkEnd w:id="200"/>
      <w:bookmarkEnd w:id="201"/>
    </w:p>
    <w:p w14:paraId="6A685E82">
      <w:pPr>
        <w:widowControl/>
        <w:ind w:firstLine="480"/>
        <w:jc w:val="left"/>
      </w:pPr>
      <w:r>
        <w:rPr>
          <w:color w:val="000000"/>
          <w:lang w:bidi="ar"/>
        </w:rPr>
        <w:t>本论文的工作是202</w:t>
      </w:r>
      <w:r>
        <w:rPr>
          <w:rFonts w:hint="eastAsia"/>
          <w:color w:val="000000"/>
          <w:lang w:val="en-US" w:eastAsia="zh-CN" w:bidi="ar"/>
        </w:rPr>
        <w:t>5</w:t>
      </w:r>
      <w:r>
        <w:rPr>
          <w:color w:val="000000"/>
          <w:lang w:bidi="ar"/>
        </w:rPr>
        <w:t>年11月至202</w:t>
      </w:r>
      <w:r>
        <w:rPr>
          <w:rFonts w:hint="eastAsia"/>
          <w:color w:val="000000"/>
          <w:lang w:val="en-US" w:eastAsia="zh-CN" w:bidi="ar"/>
        </w:rPr>
        <w:t>6</w:t>
      </w:r>
      <w:r>
        <w:rPr>
          <w:color w:val="000000"/>
          <w:lang w:bidi="ar"/>
        </w:rPr>
        <w:t xml:space="preserve">年5月在成都信息工程大学统计学院完成的。 </w:t>
      </w:r>
    </w:p>
    <w:p w14:paraId="5F1B247C">
      <w:pPr>
        <w:widowControl/>
        <w:ind w:firstLine="480"/>
        <w:jc w:val="left"/>
      </w:pPr>
      <w:r>
        <w:rPr>
          <w:color w:val="000000"/>
          <w:lang w:bidi="ar"/>
        </w:rPr>
        <w:t xml:space="preserve">文中除了特别加以标注地方外，不包含他人已经发表或撰写过的研究成果，也不包含为 </w:t>
      </w:r>
    </w:p>
    <w:p w14:paraId="2CCF6487">
      <w:pPr>
        <w:widowControl/>
        <w:ind w:firstLine="480"/>
        <w:jc w:val="left"/>
      </w:pPr>
      <w:r>
        <w:rPr>
          <w:color w:val="000000"/>
          <w:lang w:bidi="ar"/>
        </w:rPr>
        <w:t xml:space="preserve">获得成都信息工程大学或其他教学机构的学位或证书而使用过的材料。 </w:t>
      </w:r>
    </w:p>
    <w:p w14:paraId="15BEE870">
      <w:pPr>
        <w:widowControl/>
        <w:ind w:firstLine="480"/>
        <w:jc w:val="left"/>
      </w:pPr>
      <w:r>
        <w:rPr>
          <w:color w:val="000000"/>
          <w:lang w:bidi="ar"/>
        </w:rPr>
        <w:t xml:space="preserve">关于学位论文使用权和研究成果知识产权的说明： </w:t>
      </w:r>
    </w:p>
    <w:p w14:paraId="7F3BDDB1">
      <w:pPr>
        <w:widowControl/>
        <w:ind w:firstLine="480"/>
        <w:jc w:val="left"/>
      </w:pPr>
      <w:r>
        <w:rPr>
          <w:color w:val="000000"/>
          <w:lang w:bidi="ar"/>
        </w:rPr>
        <w:t xml:space="preserve">本人完全了解成都信息工程大学有关保管使用学位论文的规定，其中包括： </w:t>
      </w:r>
    </w:p>
    <w:p w14:paraId="26EA33AD">
      <w:pPr>
        <w:widowControl/>
        <w:ind w:firstLine="480"/>
        <w:jc w:val="left"/>
      </w:pPr>
      <w:r>
        <w:rPr>
          <w:color w:val="000000"/>
          <w:lang w:bidi="ar"/>
        </w:rPr>
        <w:t xml:space="preserve">（1）学校有权保管并向有关部门递交学位论文的原件与复印件。 </w:t>
      </w:r>
    </w:p>
    <w:p w14:paraId="42F63635">
      <w:pPr>
        <w:widowControl/>
        <w:ind w:firstLine="480"/>
        <w:jc w:val="left"/>
      </w:pPr>
      <w:r>
        <w:rPr>
          <w:color w:val="000000"/>
          <w:lang w:bidi="ar"/>
        </w:rPr>
        <w:t xml:space="preserve">（2）学校可以采用影印、缩印或其他复制方式保存学位论文。 </w:t>
      </w:r>
    </w:p>
    <w:p w14:paraId="47CA3174">
      <w:pPr>
        <w:widowControl/>
        <w:ind w:firstLine="480"/>
        <w:jc w:val="left"/>
      </w:pPr>
      <w:r>
        <w:rPr>
          <w:color w:val="000000"/>
          <w:lang w:bidi="ar"/>
        </w:rPr>
        <w:t xml:space="preserve">（3）学校可以学术交流为目的复制、赠送和交换学位论文。 </w:t>
      </w:r>
    </w:p>
    <w:p w14:paraId="404BBCE7">
      <w:pPr>
        <w:widowControl/>
        <w:ind w:firstLine="480"/>
        <w:jc w:val="left"/>
      </w:pPr>
      <w:r>
        <w:rPr>
          <w:color w:val="000000"/>
          <w:lang w:bidi="ar"/>
        </w:rPr>
        <w:t xml:space="preserve">（4）学校可允许学位论文被查阅或借阅。 </w:t>
      </w:r>
    </w:p>
    <w:p w14:paraId="6FE45876">
      <w:pPr>
        <w:widowControl/>
        <w:ind w:firstLine="480"/>
        <w:jc w:val="left"/>
      </w:pPr>
      <w:r>
        <w:rPr>
          <w:color w:val="000000"/>
          <w:lang w:bidi="ar"/>
        </w:rPr>
        <w:t>（5）学校可以公布学位论文的全部或部分内容（保密学位论文在解密后遵守此规定）。</w:t>
      </w:r>
    </w:p>
    <w:p w14:paraId="3820C718">
      <w:pPr>
        <w:widowControl/>
        <w:ind w:firstLine="480"/>
        <w:jc w:val="left"/>
      </w:pPr>
      <w:r>
        <w:rPr>
          <w:color w:val="000000"/>
          <w:lang w:bidi="ar"/>
        </w:rPr>
        <w:t>除非另有科研合同和其他法律文书的制约，本论文的科研成果属于成都信息工程大学。</w:t>
      </w:r>
    </w:p>
    <w:p w14:paraId="28AEEADF">
      <w:pPr>
        <w:widowControl/>
        <w:ind w:firstLine="480"/>
        <w:jc w:val="left"/>
      </w:pPr>
      <w:r>
        <w:rPr>
          <w:color w:val="000000"/>
          <w:lang w:bidi="ar"/>
        </w:rPr>
        <w:t xml:space="preserve">特此声明！ </w:t>
      </w:r>
    </w:p>
    <w:p w14:paraId="17DD0A81">
      <w:pPr>
        <w:widowControl/>
        <w:ind w:left="5000" w:firstLine="480"/>
        <w:jc w:val="center"/>
      </w:pPr>
      <w:r>
        <w:rPr>
          <w:color w:val="000000"/>
          <w:lang w:bidi="ar"/>
        </w:rPr>
        <w:t>作者签名：</w:t>
      </w:r>
    </w:p>
    <w:p w14:paraId="323F5B67">
      <w:pPr>
        <w:widowControl/>
        <w:ind w:firstLine="480"/>
        <w:jc w:val="right"/>
        <w:rPr>
          <w:color w:val="000000"/>
          <w:lang w:bidi="ar"/>
        </w:rPr>
      </w:pPr>
      <w:r>
        <w:rPr>
          <w:color w:val="000000"/>
          <w:lang w:bidi="ar"/>
        </w:rPr>
        <w:t>年   月   日</w:t>
      </w:r>
    </w:p>
    <w:p w14:paraId="5F327F6F">
      <w:pPr>
        <w:ind w:left="0" w:leftChars="0" w:firstLine="0" w:firstLineChars="0"/>
      </w:pPr>
    </w:p>
    <w:sectPr>
      <w:footerReference r:id="rId20" w:type="default"/>
      <w:pgSz w:w="11906" w:h="16838"/>
      <w:pgMar w:top="1440" w:right="1797" w:bottom="1440" w:left="1797" w:header="709" w:footer="709" w:gutter="0"/>
      <w:pgBorders>
        <w:top w:val="none" w:sz="0" w:space="0"/>
        <w:left w:val="none" w:sz="0" w:space="0"/>
        <w:bottom w:val="none" w:sz="0" w:space="0"/>
        <w:right w:val="none" w:sz="0" w:space="0"/>
      </w:pgBorders>
      <w:pgNumType w:fmt="decimal" w:start="1"/>
      <w:cols w:space="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B53E2">
    <w:pPr>
      <w:snapToGrid w:val="0"/>
      <w:ind w:firstLine="360"/>
      <w:jc w:val="center"/>
      <w:rPr>
        <w:kern w:val="2"/>
        <w:sz w:val="18"/>
        <w:szCs w:val="18"/>
      </w:rPr>
    </w:pPr>
  </w:p>
  <w:p w14:paraId="4E111FE9">
    <w:pPr>
      <w:snapToGrid w:val="0"/>
      <w:ind w:firstLine="360"/>
      <w:jc w:val="left"/>
      <w:rPr>
        <w:kern w:val="2"/>
        <w:sz w:val="18"/>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8B7F27">
    <w:pPr>
      <w:pStyle w:val="12"/>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C1372F">
    <w:pPr>
      <w:pStyle w:val="12"/>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0300B9">
    <w:pPr>
      <w:pStyle w:val="12"/>
      <w:ind w:firstLine="0" w:firstLineChars="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3D2024">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5E3D2024">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469E8A">
    <w:pPr>
      <w:pStyle w:val="12"/>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CA6BDA">
    <w:pPr>
      <w:pStyle w:val="12"/>
      <w:ind w:firstLine="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FCA884">
    <w:pPr>
      <w:pStyle w:val="12"/>
      <w:ind w:firstLine="360"/>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72C63C">
                          <w:pPr>
                            <w:pStyle w:val="12"/>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7772C63C">
                    <w:pPr>
                      <w:pStyle w:val="12"/>
                    </w:pPr>
                    <w:r>
                      <w:fldChar w:fldCharType="begin"/>
                    </w:r>
                    <w:r>
                      <w:instrText xml:space="preserve"> PAGE  \* MERGEFORMAT </w:instrText>
                    </w:r>
                    <w:r>
                      <w:fldChar w:fldCharType="separate"/>
                    </w:r>
                    <w:r>
                      <w:t>2</w:t>
                    </w:r>
                    <w:r>
                      <w:fldChar w:fldCharType="end"/>
                    </w:r>
                  </w:p>
                </w:txbxContent>
              </v:textbox>
            </v:shape>
          </w:pict>
        </mc:Fallback>
      </mc:AlternateContent>
    </w:r>
  </w:p>
  <w:p w14:paraId="47D984ED">
    <w:pPr>
      <w:pStyle w:val="12"/>
      <w:ind w:firstLine="360"/>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470DDB">
    <w:pPr>
      <w:pStyle w:val="12"/>
      <w:ind w:firstLine="360"/>
      <w:jc w:val="cente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03E3D0">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mor5U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pqK+VMQIAAGMEAAAOAAAAAAAAAAEAIAAAAB8BAABkcnMvZTJvRG9jLnhtbFBLBQYA&#10;AAAABgAGAFkBAADCBQAAAAA=&#10;">
              <v:fill on="f" focussize="0,0"/>
              <v:stroke on="f" weight="0.5pt"/>
              <v:imagedata o:title=""/>
              <o:lock v:ext="edit" aspectratio="f"/>
              <v:textbox inset="0mm,0mm,0mm,0mm" style="mso-fit-shape-to-text:t;">
                <w:txbxContent>
                  <w:p w14:paraId="4503E3D0">
                    <w:pPr>
                      <w:pStyle w:val="12"/>
                    </w:pPr>
                    <w:r>
                      <w:fldChar w:fldCharType="begin"/>
                    </w:r>
                    <w:r>
                      <w:instrText xml:space="preserve"> PAGE  \* MERGEFORMAT </w:instrText>
                    </w:r>
                    <w:r>
                      <w:fldChar w:fldCharType="separate"/>
                    </w:r>
                    <w:r>
                      <w:t>1</w:t>
                    </w:r>
                    <w:r>
                      <w:fldChar w:fldCharType="end"/>
                    </w:r>
                  </w:p>
                </w:txbxContent>
              </v:textbox>
            </v:shape>
          </w:pict>
        </mc:Fallback>
      </mc:AlternateContent>
    </w:r>
  </w:p>
  <w:p w14:paraId="7BEB9147">
    <w:pPr>
      <w:pStyle w:val="12"/>
      <w:ind w:firstLine="360"/>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AAAC93">
    <w:pPr>
      <w:pStyle w:val="12"/>
      <w:ind w:firstLine="360"/>
      <w:jc w:val="cente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5D9F21">
                          <w:pPr>
                            <w:pStyle w:val="12"/>
                          </w:pPr>
                          <w:r>
                            <w:t xml:space="preserve">第 </w:t>
                          </w:r>
                          <w:r>
                            <w:fldChar w:fldCharType="begin"/>
                          </w:r>
                          <w:r>
                            <w:instrText xml:space="preserve"> PAGE  \* MERGEFORMAT </w:instrText>
                          </w:r>
                          <w:r>
                            <w:fldChar w:fldCharType="separate"/>
                          </w:r>
                          <w:r>
                            <w:t>7</w:t>
                          </w:r>
                          <w:r>
                            <w:fldChar w:fldCharType="end"/>
                          </w:r>
                          <w:r>
                            <w:t xml:space="preserve"> 页 共 </w:t>
                          </w:r>
                          <w:r>
                            <w:fldChar w:fldCharType="begin"/>
                          </w:r>
                          <w:r>
                            <w:instrText xml:space="preserve"> NUMPAGES  \* MERGEFORMAT </w:instrText>
                          </w:r>
                          <w:r>
                            <w:fldChar w:fldCharType="separate"/>
                          </w:r>
                          <w:r>
                            <w:t>53</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8ZE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s/vGRMQIAAGMEAAAOAAAAAAAAAAEAIAAAAB8BAABkcnMvZTJvRG9jLnhtbFBLBQYA&#10;AAAABgAGAFkBAADCBQAAAAA=&#10;">
              <v:fill on="f" focussize="0,0"/>
              <v:stroke on="f" weight="0.5pt"/>
              <v:imagedata o:title=""/>
              <o:lock v:ext="edit" aspectratio="f"/>
              <v:textbox inset="0mm,0mm,0mm,0mm" style="mso-fit-shape-to-text:t;">
                <w:txbxContent>
                  <w:p w14:paraId="175D9F21">
                    <w:pPr>
                      <w:pStyle w:val="12"/>
                    </w:pPr>
                    <w:r>
                      <w:t xml:space="preserve">第 </w:t>
                    </w:r>
                    <w:r>
                      <w:fldChar w:fldCharType="begin"/>
                    </w:r>
                    <w:r>
                      <w:instrText xml:space="preserve"> PAGE  \* MERGEFORMAT </w:instrText>
                    </w:r>
                    <w:r>
                      <w:fldChar w:fldCharType="separate"/>
                    </w:r>
                    <w:r>
                      <w:t>7</w:t>
                    </w:r>
                    <w:r>
                      <w:fldChar w:fldCharType="end"/>
                    </w:r>
                    <w:r>
                      <w:t xml:space="preserve"> 页 共 </w:t>
                    </w:r>
                    <w:r>
                      <w:fldChar w:fldCharType="begin"/>
                    </w:r>
                    <w:r>
                      <w:instrText xml:space="preserve"> NUMPAGES  \* MERGEFORMAT </w:instrText>
                    </w:r>
                    <w:r>
                      <w:fldChar w:fldCharType="separate"/>
                    </w:r>
                    <w:r>
                      <w:t>53</w:t>
                    </w:r>
                    <w:r>
                      <w:fldChar w:fldCharType="end"/>
                    </w:r>
                    <w:r>
                      <w:t xml:space="preserve"> 页</w:t>
                    </w:r>
                  </w:p>
                </w:txbxContent>
              </v:textbox>
            </v:shape>
          </w:pict>
        </mc:Fallback>
      </mc:AlternateContent>
    </w:r>
  </w:p>
  <w:p w14:paraId="47BFC539">
    <w:pPr>
      <w:pStyle w:val="12"/>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287ECF">
    <w:pPr>
      <w:pStyle w:val="13"/>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B01E90">
    <w:pPr>
      <w:pStyle w:val="13"/>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6AB0DB">
    <w:pPr>
      <w:pStyle w:val="13"/>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0295A9">
    <w:pPr>
      <w:pBdr>
        <w:bottom w:val="single" w:color="auto" w:sz="6" w:space="1"/>
      </w:pBdr>
      <w:snapToGrid w:val="0"/>
      <w:ind w:firstLine="360"/>
      <w:jc w:val="center"/>
      <w:rPr>
        <w:kern w:val="2"/>
        <w:sz w:val="18"/>
        <w:szCs w:val="21"/>
      </w:rPr>
    </w:pPr>
    <w:r>
      <w:rPr>
        <w:rFonts w:hint="eastAsia"/>
        <w:kern w:val="2"/>
        <w:sz w:val="18"/>
        <w:szCs w:val="21"/>
      </w:rPr>
      <w:t>成都信息工程大学学士</w:t>
    </w:r>
    <w:r>
      <w:rPr>
        <w:kern w:val="2"/>
        <w:sz w:val="18"/>
        <w:szCs w:val="21"/>
      </w:rPr>
      <w:t>学位论文</w:t>
    </w:r>
  </w:p>
  <w:p w14:paraId="6E8C8336">
    <w:pPr>
      <w:pStyle w:val="13"/>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65DA55">
    <w:pPr>
      <w:pStyle w:val="13"/>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05C44F">
    <w:pPr>
      <w:pStyle w:val="13"/>
      <w:ind w:firstLine="36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205289">
    <w:pPr>
      <w:pBdr>
        <w:bottom w:val="single" w:color="auto" w:sz="6" w:space="1"/>
      </w:pBdr>
      <w:snapToGrid w:val="0"/>
      <w:ind w:firstLine="360"/>
      <w:jc w:val="center"/>
      <w:rPr>
        <w:kern w:val="2"/>
        <w:sz w:val="18"/>
        <w:szCs w:val="21"/>
      </w:rPr>
    </w:pPr>
    <w:r>
      <w:rPr>
        <w:rFonts w:hint="eastAsia"/>
        <w:kern w:val="2"/>
        <w:sz w:val="18"/>
        <w:szCs w:val="21"/>
      </w:rPr>
      <w:t>成都信息工程大学学士</w:t>
    </w:r>
    <w:r>
      <w:rPr>
        <w:kern w:val="2"/>
        <w:sz w:val="18"/>
        <w:szCs w:val="21"/>
      </w:rPr>
      <w:t>学位论文</w:t>
    </w:r>
  </w:p>
  <w:p w14:paraId="1F0B07DF">
    <w:pPr>
      <w:pBdr>
        <w:bottom w:val="none" w:color="auto" w:sz="0" w:space="1"/>
      </w:pBdr>
      <w:snapToGrid w:val="0"/>
      <w:ind w:firstLine="0" w:firstLineChars="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FB17EE"/>
    <w:multiLevelType w:val="singleLevel"/>
    <w:tmpl w:val="87FB17EE"/>
    <w:lvl w:ilvl="0" w:tentative="0">
      <w:start w:val="1"/>
      <w:numFmt w:val="bullet"/>
      <w:pStyle w:val="16"/>
      <w:lvlText w:val=""/>
      <w:lvlJc w:val="left"/>
      <w:pPr>
        <w:ind w:left="420" w:hanging="420"/>
      </w:pPr>
      <w:rPr>
        <w:rFonts w:hint="default" w:ascii="Wingdings" w:hAnsi="Wingdings"/>
      </w:rPr>
    </w:lvl>
  </w:abstractNum>
  <w:abstractNum w:abstractNumId="1">
    <w:nsid w:val="2D2BB636"/>
    <w:multiLevelType w:val="singleLevel"/>
    <w:tmpl w:val="2D2BB636"/>
    <w:lvl w:ilvl="0" w:tentative="0">
      <w:start w:val="1"/>
      <w:numFmt w:val="decimal"/>
      <w:lvlText w:val="[%1]"/>
      <w:lvlJc w:val="left"/>
      <w:pPr>
        <w:ind w:left="425" w:hanging="425"/>
      </w:pPr>
      <w:rPr>
        <w:rFonts w:hint="default"/>
      </w:rPr>
    </w:lvl>
  </w:abstractNum>
  <w:abstractNum w:abstractNumId="2">
    <w:nsid w:val="517D726B"/>
    <w:multiLevelType w:val="multilevel"/>
    <w:tmpl w:val="517D726B"/>
    <w:lvl w:ilvl="0" w:tentative="0">
      <w:start w:val="1"/>
      <w:numFmt w:val="chineseCounting"/>
      <w:pStyle w:val="2"/>
      <w:suff w:val="nothing"/>
      <w:lvlText w:val="第%1章 "/>
      <w:lvlJc w:val="left"/>
      <w:pPr>
        <w:tabs>
          <w:tab w:val="left" w:pos="0"/>
        </w:tabs>
        <w:ind w:left="0" w:firstLine="402"/>
      </w:pPr>
      <w:rPr>
        <w:rFonts w:hint="eastAsia"/>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3">
    <w:nsid w:val="64918591"/>
    <w:multiLevelType w:val="singleLevel"/>
    <w:tmpl w:val="64918591"/>
    <w:lvl w:ilvl="0" w:tentative="0">
      <w:start w:val="1"/>
      <w:numFmt w:val="decimal"/>
      <w:suff w:val="nothing"/>
      <w:lvlText w:val="（%1）"/>
      <w:lvlJc w:val="left"/>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documentProtection w:enforcement="0"/>
  <w:defaultTabStop w:val="420"/>
  <w:drawingGridHorizontalSpacing w:val="240"/>
  <w:drawingGridVerticalSpacing w:val="-7946"/>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251CB"/>
    <w:rsid w:val="000B35E1"/>
    <w:rsid w:val="000E2E0B"/>
    <w:rsid w:val="001366C4"/>
    <w:rsid w:val="00172A27"/>
    <w:rsid w:val="001A5271"/>
    <w:rsid w:val="00253782"/>
    <w:rsid w:val="003A400B"/>
    <w:rsid w:val="003B1DA8"/>
    <w:rsid w:val="00627BA2"/>
    <w:rsid w:val="006357D8"/>
    <w:rsid w:val="0069749F"/>
    <w:rsid w:val="0078474C"/>
    <w:rsid w:val="0086051A"/>
    <w:rsid w:val="008B595F"/>
    <w:rsid w:val="008F6EB2"/>
    <w:rsid w:val="00A80ABE"/>
    <w:rsid w:val="00AE046C"/>
    <w:rsid w:val="00B227C4"/>
    <w:rsid w:val="00BB43B5"/>
    <w:rsid w:val="00D143D0"/>
    <w:rsid w:val="00DD0FDB"/>
    <w:rsid w:val="00DF1B03"/>
    <w:rsid w:val="00E07423"/>
    <w:rsid w:val="00ED1E86"/>
    <w:rsid w:val="00F33BBE"/>
    <w:rsid w:val="00FA435A"/>
    <w:rsid w:val="021D594B"/>
    <w:rsid w:val="046633DE"/>
    <w:rsid w:val="05573452"/>
    <w:rsid w:val="06A168EC"/>
    <w:rsid w:val="072925EE"/>
    <w:rsid w:val="0874698D"/>
    <w:rsid w:val="08915791"/>
    <w:rsid w:val="092059E8"/>
    <w:rsid w:val="09866978"/>
    <w:rsid w:val="0A60167B"/>
    <w:rsid w:val="0AD02CA4"/>
    <w:rsid w:val="0B62538F"/>
    <w:rsid w:val="0D1970E2"/>
    <w:rsid w:val="0D556A5A"/>
    <w:rsid w:val="0E4D215A"/>
    <w:rsid w:val="0EBE6BB4"/>
    <w:rsid w:val="0F246551"/>
    <w:rsid w:val="0F615805"/>
    <w:rsid w:val="104F540B"/>
    <w:rsid w:val="1129697D"/>
    <w:rsid w:val="11881D56"/>
    <w:rsid w:val="11B9581E"/>
    <w:rsid w:val="1238422A"/>
    <w:rsid w:val="13255454"/>
    <w:rsid w:val="138754D2"/>
    <w:rsid w:val="1476483F"/>
    <w:rsid w:val="1635775C"/>
    <w:rsid w:val="172577D0"/>
    <w:rsid w:val="17FF1243"/>
    <w:rsid w:val="181C1A30"/>
    <w:rsid w:val="186A2D44"/>
    <w:rsid w:val="18DE745D"/>
    <w:rsid w:val="18F2402A"/>
    <w:rsid w:val="1934092B"/>
    <w:rsid w:val="1948436C"/>
    <w:rsid w:val="1A954F1C"/>
    <w:rsid w:val="1AF65F7B"/>
    <w:rsid w:val="1BF74CF0"/>
    <w:rsid w:val="1DA416B6"/>
    <w:rsid w:val="1E851DDC"/>
    <w:rsid w:val="1F0C18B4"/>
    <w:rsid w:val="20364138"/>
    <w:rsid w:val="204A78E0"/>
    <w:rsid w:val="209D3F5F"/>
    <w:rsid w:val="20E7303F"/>
    <w:rsid w:val="20F2001C"/>
    <w:rsid w:val="211B39F2"/>
    <w:rsid w:val="218617B3"/>
    <w:rsid w:val="22027E59"/>
    <w:rsid w:val="228D2712"/>
    <w:rsid w:val="237A7171"/>
    <w:rsid w:val="241355CD"/>
    <w:rsid w:val="246A53BC"/>
    <w:rsid w:val="24F2776B"/>
    <w:rsid w:val="263265DE"/>
    <w:rsid w:val="269C7383"/>
    <w:rsid w:val="28643CA0"/>
    <w:rsid w:val="29DD4F2D"/>
    <w:rsid w:val="2ACA4E23"/>
    <w:rsid w:val="2B6567C4"/>
    <w:rsid w:val="2B6C58CD"/>
    <w:rsid w:val="2C857498"/>
    <w:rsid w:val="2CEE645F"/>
    <w:rsid w:val="2D5A115B"/>
    <w:rsid w:val="2D6019E6"/>
    <w:rsid w:val="2D847D9B"/>
    <w:rsid w:val="2FA93A08"/>
    <w:rsid w:val="3083647B"/>
    <w:rsid w:val="318D3AAB"/>
    <w:rsid w:val="31F92758"/>
    <w:rsid w:val="33186063"/>
    <w:rsid w:val="33A53D1B"/>
    <w:rsid w:val="349A13A6"/>
    <w:rsid w:val="34D740D1"/>
    <w:rsid w:val="358C3338"/>
    <w:rsid w:val="35A434F0"/>
    <w:rsid w:val="35C83CF1"/>
    <w:rsid w:val="35FC08C5"/>
    <w:rsid w:val="36D61641"/>
    <w:rsid w:val="37747743"/>
    <w:rsid w:val="38B56F92"/>
    <w:rsid w:val="38C43520"/>
    <w:rsid w:val="394C4C53"/>
    <w:rsid w:val="3A9935D7"/>
    <w:rsid w:val="3B60677A"/>
    <w:rsid w:val="3D0D46DF"/>
    <w:rsid w:val="3D78424E"/>
    <w:rsid w:val="3F24677A"/>
    <w:rsid w:val="3F70286B"/>
    <w:rsid w:val="3FFE1954"/>
    <w:rsid w:val="40B30314"/>
    <w:rsid w:val="424F03C2"/>
    <w:rsid w:val="443D3AFC"/>
    <w:rsid w:val="459D5443"/>
    <w:rsid w:val="46236D21"/>
    <w:rsid w:val="462D03B0"/>
    <w:rsid w:val="46BC1650"/>
    <w:rsid w:val="46C44060"/>
    <w:rsid w:val="473F384E"/>
    <w:rsid w:val="482839CA"/>
    <w:rsid w:val="48684EBF"/>
    <w:rsid w:val="48BA1BBF"/>
    <w:rsid w:val="49DD44C6"/>
    <w:rsid w:val="4A596E03"/>
    <w:rsid w:val="4AFF7D5D"/>
    <w:rsid w:val="4B3F63AB"/>
    <w:rsid w:val="4B6B71A0"/>
    <w:rsid w:val="4B7B2139"/>
    <w:rsid w:val="4BAE6E62"/>
    <w:rsid w:val="4BF076A6"/>
    <w:rsid w:val="4DF72F6D"/>
    <w:rsid w:val="4EC63E32"/>
    <w:rsid w:val="4F0A31A7"/>
    <w:rsid w:val="4F654913"/>
    <w:rsid w:val="50137E07"/>
    <w:rsid w:val="50766EB0"/>
    <w:rsid w:val="516D24F1"/>
    <w:rsid w:val="51FE0D6E"/>
    <w:rsid w:val="53B42A55"/>
    <w:rsid w:val="5445633A"/>
    <w:rsid w:val="56F312AE"/>
    <w:rsid w:val="56F7330C"/>
    <w:rsid w:val="578734F8"/>
    <w:rsid w:val="57CB6E0C"/>
    <w:rsid w:val="5852232E"/>
    <w:rsid w:val="5ACA1C50"/>
    <w:rsid w:val="5ACC397F"/>
    <w:rsid w:val="5ADC4B80"/>
    <w:rsid w:val="5B0C168C"/>
    <w:rsid w:val="5B136F0D"/>
    <w:rsid w:val="5D8A140E"/>
    <w:rsid w:val="5ECF6D4D"/>
    <w:rsid w:val="5F4E0D5F"/>
    <w:rsid w:val="614D13CA"/>
    <w:rsid w:val="61921CEE"/>
    <w:rsid w:val="622846A5"/>
    <w:rsid w:val="625935EA"/>
    <w:rsid w:val="65C47781"/>
    <w:rsid w:val="66376684"/>
    <w:rsid w:val="67CE48E7"/>
    <w:rsid w:val="699A321D"/>
    <w:rsid w:val="69A91168"/>
    <w:rsid w:val="6BF6440D"/>
    <w:rsid w:val="6CDA3D2E"/>
    <w:rsid w:val="6D110197"/>
    <w:rsid w:val="6D350F65"/>
    <w:rsid w:val="6D9D728D"/>
    <w:rsid w:val="6DD811A0"/>
    <w:rsid w:val="6DF67B7F"/>
    <w:rsid w:val="6EA15DD0"/>
    <w:rsid w:val="6EBD120A"/>
    <w:rsid w:val="706933FF"/>
    <w:rsid w:val="70E71271"/>
    <w:rsid w:val="72404BAF"/>
    <w:rsid w:val="73D0517B"/>
    <w:rsid w:val="73ED4347"/>
    <w:rsid w:val="750E0A19"/>
    <w:rsid w:val="75461E45"/>
    <w:rsid w:val="75A41872"/>
    <w:rsid w:val="75E83B00"/>
    <w:rsid w:val="77251384"/>
    <w:rsid w:val="7A5E574D"/>
    <w:rsid w:val="7AD436DD"/>
    <w:rsid w:val="7AE475B8"/>
    <w:rsid w:val="7B0D592D"/>
    <w:rsid w:val="7BDD0DF1"/>
    <w:rsid w:val="7C6349A9"/>
    <w:rsid w:val="7CC320E9"/>
    <w:rsid w:val="7D883202"/>
    <w:rsid w:val="7E074ABA"/>
    <w:rsid w:val="7EE2275E"/>
    <w:rsid w:val="7EE60311"/>
  </w:rsids>
  <m:mathPr>
    <m:mathFont m:val="Cambria Math"/>
    <m:brkBin m:val="before"/>
    <m:brkBinSub m:val="--"/>
    <m:smallFrac m:val="0"/>
    <m:dispDef/>
    <m:lMargin m:val="0"/>
    <m:rMargin m:val="0"/>
    <m:defJc m:val="center"/>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643" w:firstLineChars="200"/>
      <w:jc w:val="both"/>
    </w:pPr>
    <w:rPr>
      <w:rFonts w:ascii="Times New Roman" w:hAnsi="Times New Roman" w:eastAsia="宋体" w:cs="Times New Roman"/>
      <w:sz w:val="24"/>
      <w:szCs w:val="24"/>
      <w:lang w:val="en-US" w:eastAsia="zh-CN" w:bidi="ar-SA"/>
    </w:rPr>
  </w:style>
  <w:style w:type="paragraph" w:styleId="2">
    <w:name w:val="heading 1"/>
    <w:next w:val="1"/>
    <w:link w:val="31"/>
    <w:qFormat/>
    <w:uiPriority w:val="0"/>
    <w:pPr>
      <w:numPr>
        <w:ilvl w:val="0"/>
        <w:numId w:val="1"/>
      </w:numPr>
      <w:spacing w:after="50" w:afterLines="50" w:line="400" w:lineRule="exact"/>
      <w:ind w:firstLine="0"/>
      <w:jc w:val="center"/>
      <w:outlineLvl w:val="0"/>
    </w:pPr>
    <w:rPr>
      <w:rFonts w:ascii="Calibri" w:hAnsi="Calibri" w:eastAsia="宋体" w:cs="Times New Roman"/>
      <w:b/>
      <w:bCs/>
      <w:color w:val="000000"/>
      <w:sz w:val="32"/>
      <w:szCs w:val="40"/>
      <w:lang w:val="en-US" w:eastAsia="zh-CN" w:bidi="ar-SA"/>
    </w:rPr>
  </w:style>
  <w:style w:type="paragraph" w:styleId="3">
    <w:name w:val="heading 2"/>
    <w:next w:val="1"/>
    <w:qFormat/>
    <w:uiPriority w:val="0"/>
    <w:pPr>
      <w:spacing w:before="50" w:beforeLines="50" w:after="50" w:afterLines="50" w:line="400" w:lineRule="exact"/>
      <w:outlineLvl w:val="1"/>
    </w:pPr>
    <w:rPr>
      <w:rFonts w:ascii="Times New Roman" w:hAnsi="Times New Roman" w:eastAsia="宋体" w:cs="Times New Roman"/>
      <w:b/>
      <w:bCs/>
      <w:color w:val="000000"/>
      <w:sz w:val="28"/>
      <w:szCs w:val="36"/>
      <w:lang w:val="en-US" w:eastAsia="zh-CN" w:bidi="ar-SA"/>
    </w:rPr>
  </w:style>
  <w:style w:type="paragraph" w:styleId="4">
    <w:name w:val="heading 3"/>
    <w:basedOn w:val="1"/>
    <w:next w:val="1"/>
    <w:qFormat/>
    <w:uiPriority w:val="0"/>
    <w:pPr>
      <w:spacing w:before="50" w:beforeLines="50" w:after="50" w:afterLines="50"/>
      <w:ind w:firstLine="0" w:firstLineChars="0"/>
      <w:jc w:val="left"/>
      <w:outlineLvl w:val="2"/>
    </w:pPr>
    <w:rPr>
      <w:b/>
      <w:bCs/>
      <w:color w:val="000000"/>
      <w:szCs w:val="32"/>
    </w:rPr>
  </w:style>
  <w:style w:type="paragraph" w:styleId="5">
    <w:name w:val="heading 4"/>
    <w:next w:val="1"/>
    <w:qFormat/>
    <w:uiPriority w:val="0"/>
    <w:pPr>
      <w:outlineLvl w:val="3"/>
    </w:pPr>
    <w:rPr>
      <w:rFonts w:ascii="Times New Roman" w:hAnsi="Times New Roman" w:eastAsia="宋体" w:cs="Times New Roman"/>
      <w:b/>
      <w:bCs/>
      <w:color w:val="000000"/>
      <w:sz w:val="28"/>
      <w:szCs w:val="28"/>
      <w:lang w:val="en-US" w:eastAsia="zh-CN" w:bidi="ar-SA"/>
    </w:rPr>
  </w:style>
  <w:style w:type="paragraph" w:styleId="6">
    <w:name w:val="heading 5"/>
    <w:next w:val="1"/>
    <w:qFormat/>
    <w:uiPriority w:val="0"/>
    <w:pPr>
      <w:outlineLvl w:val="4"/>
    </w:pPr>
    <w:rPr>
      <w:rFonts w:ascii="Times New Roman" w:hAnsi="Times New Roman" w:eastAsia="宋体" w:cs="Times New Roman"/>
      <w:b/>
      <w:bCs/>
      <w:color w:val="000000"/>
      <w:sz w:val="24"/>
      <w:szCs w:val="24"/>
      <w:lang w:val="en-US" w:eastAsia="zh-CN" w:bidi="ar-SA"/>
    </w:rPr>
  </w:style>
  <w:style w:type="paragraph" w:styleId="7">
    <w:name w:val="heading 6"/>
    <w:next w:val="1"/>
    <w:qFormat/>
    <w:uiPriority w:val="0"/>
    <w:pPr>
      <w:outlineLvl w:val="5"/>
    </w:pPr>
    <w:rPr>
      <w:rFonts w:ascii="Times New Roman" w:hAnsi="Times New Roman" w:eastAsia="宋体" w:cs="Times New Roman"/>
      <w:b/>
      <w:bCs/>
      <w:color w:val="000000"/>
      <w:lang w:val="en-US" w:eastAsia="zh-CN" w:bidi="ar-SA"/>
    </w:rPr>
  </w:style>
  <w:style w:type="character" w:default="1" w:styleId="23">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8">
    <w:name w:val="caption"/>
    <w:basedOn w:val="1"/>
    <w:next w:val="1"/>
    <w:unhideWhenUsed/>
    <w:qFormat/>
    <w:uiPriority w:val="0"/>
    <w:pPr>
      <w:ind w:firstLine="0" w:firstLineChars="0"/>
      <w:jc w:val="center"/>
    </w:pPr>
    <w:rPr>
      <w:rFonts w:ascii="Arial" w:hAnsi="Arial"/>
      <w:sz w:val="21"/>
    </w:rPr>
  </w:style>
  <w:style w:type="paragraph" w:styleId="9">
    <w:name w:val="annotation text"/>
    <w:basedOn w:val="1"/>
    <w:qFormat/>
    <w:uiPriority w:val="0"/>
    <w:pPr>
      <w:jc w:val="left"/>
    </w:pPr>
  </w:style>
  <w:style w:type="paragraph" w:styleId="10">
    <w:name w:val="toc 3"/>
    <w:basedOn w:val="1"/>
    <w:next w:val="1"/>
    <w:qFormat/>
    <w:uiPriority w:val="0"/>
    <w:pPr>
      <w:ind w:left="840" w:leftChars="400" w:firstLine="0" w:firstLineChars="0"/>
      <w:jc w:val="left"/>
    </w:pPr>
  </w:style>
  <w:style w:type="paragraph" w:styleId="11">
    <w:name w:val="Plain Text"/>
    <w:basedOn w:val="1"/>
    <w:qFormat/>
    <w:uiPriority w:val="0"/>
    <w:rPr>
      <w:rFonts w:ascii="宋体" w:hAnsi="Courier New"/>
      <w:szCs w:val="20"/>
    </w:rPr>
  </w:style>
  <w:style w:type="paragraph" w:styleId="12">
    <w:name w:val="footer"/>
    <w:basedOn w:val="1"/>
    <w:qFormat/>
    <w:uiPriority w:val="0"/>
    <w:pPr>
      <w:tabs>
        <w:tab w:val="center" w:pos="4153"/>
        <w:tab w:val="right" w:pos="8306"/>
      </w:tabs>
      <w:snapToGrid w:val="0"/>
      <w:jc w:val="left"/>
    </w:pPr>
    <w:rPr>
      <w:sz w:val="18"/>
    </w:rPr>
  </w:style>
  <w:style w:type="paragraph" w:styleId="1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4">
    <w:name w:val="toc 1"/>
    <w:basedOn w:val="1"/>
    <w:next w:val="1"/>
    <w:qFormat/>
    <w:uiPriority w:val="0"/>
    <w:pPr>
      <w:ind w:firstLine="0" w:firstLineChars="0"/>
    </w:pPr>
  </w:style>
  <w:style w:type="paragraph" w:styleId="15">
    <w:name w:val="footnote text"/>
    <w:link w:val="33"/>
    <w:semiHidden/>
    <w:unhideWhenUsed/>
    <w:qFormat/>
    <w:uiPriority w:val="99"/>
    <w:rPr>
      <w:rFonts w:ascii="Times New Roman" w:hAnsi="Times New Roman" w:eastAsia="宋体" w:cs="Times New Roman"/>
      <w:lang w:val="en-US" w:eastAsia="zh-CN" w:bidi="ar-SA"/>
    </w:rPr>
  </w:style>
  <w:style w:type="paragraph" w:styleId="16">
    <w:name w:val="table of figures"/>
    <w:basedOn w:val="1"/>
    <w:next w:val="1"/>
    <w:qFormat/>
    <w:uiPriority w:val="0"/>
    <w:pPr>
      <w:numPr>
        <w:ilvl w:val="0"/>
        <w:numId w:val="2"/>
      </w:numPr>
      <w:ind w:left="200" w:leftChars="200" w:hanging="200" w:hangingChars="200"/>
    </w:pPr>
  </w:style>
  <w:style w:type="paragraph" w:styleId="17">
    <w:name w:val="toc 2"/>
    <w:basedOn w:val="1"/>
    <w:next w:val="1"/>
    <w:qFormat/>
    <w:uiPriority w:val="0"/>
    <w:pPr>
      <w:ind w:left="420" w:leftChars="200" w:firstLine="0" w:firstLineChars="0"/>
      <w:jc w:val="left"/>
    </w:pPr>
  </w:style>
  <w:style w:type="paragraph" w:styleId="1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rPr>
  </w:style>
  <w:style w:type="paragraph" w:styleId="19">
    <w:name w:val="Normal (Web)"/>
    <w:basedOn w:val="1"/>
    <w:qFormat/>
    <w:uiPriority w:val="0"/>
  </w:style>
  <w:style w:type="paragraph" w:styleId="20">
    <w:name w:val="Title"/>
    <w:qFormat/>
    <w:uiPriority w:val="0"/>
    <w:rPr>
      <w:rFonts w:ascii="Times New Roman" w:hAnsi="Times New Roman" w:eastAsia="宋体" w:cs="Times New Roman"/>
      <w:sz w:val="56"/>
      <w:szCs w:val="56"/>
      <w:lang w:val="en-US" w:eastAsia="zh-CN" w:bidi="ar-SA"/>
    </w:rPr>
  </w:style>
  <w:style w:type="table" w:styleId="22">
    <w:name w:val="Table Grid"/>
    <w:basedOn w:val="2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basedOn w:val="23"/>
    <w:qFormat/>
    <w:uiPriority w:val="0"/>
    <w:rPr>
      <w:b/>
    </w:rPr>
  </w:style>
  <w:style w:type="character" w:styleId="25">
    <w:name w:val="Hyperlink"/>
    <w:unhideWhenUsed/>
    <w:qFormat/>
    <w:uiPriority w:val="99"/>
    <w:rPr>
      <w:color w:val="0563C1"/>
      <w:u w:val="single"/>
    </w:rPr>
  </w:style>
  <w:style w:type="character" w:styleId="26">
    <w:name w:val="HTML Code"/>
    <w:basedOn w:val="23"/>
    <w:qFormat/>
    <w:uiPriority w:val="0"/>
    <w:rPr>
      <w:rFonts w:ascii="Courier New" w:hAnsi="Courier New"/>
      <w:sz w:val="20"/>
    </w:rPr>
  </w:style>
  <w:style w:type="character" w:styleId="27">
    <w:name w:val="footnote reference"/>
    <w:semiHidden/>
    <w:unhideWhenUsed/>
    <w:qFormat/>
    <w:uiPriority w:val="99"/>
    <w:rPr>
      <w:vertAlign w:val="superscript"/>
    </w:rPr>
  </w:style>
  <w:style w:type="paragraph" w:customStyle="1" w:styleId="28">
    <w:name w:val="目录样式"/>
    <w:basedOn w:val="1"/>
    <w:qFormat/>
    <w:uiPriority w:val="0"/>
    <w:pPr>
      <w:spacing w:line="360" w:lineRule="auto"/>
      <w:ind w:firstLine="0" w:firstLineChars="0"/>
      <w:jc w:val="center"/>
    </w:pPr>
    <w:rPr>
      <w:rFonts w:ascii="宋体" w:hAnsi="宋体"/>
      <w:b/>
      <w:bCs/>
      <w:sz w:val="36"/>
      <w:szCs w:val="32"/>
    </w:rPr>
  </w:style>
  <w:style w:type="paragraph" w:customStyle="1" w:styleId="29">
    <w:name w:val="目录 题目"/>
    <w:basedOn w:val="1"/>
    <w:qFormat/>
    <w:uiPriority w:val="99"/>
    <w:pPr>
      <w:spacing w:line="360" w:lineRule="auto"/>
      <w:jc w:val="center"/>
    </w:pPr>
    <w:rPr>
      <w:b/>
      <w:kern w:val="2"/>
      <w:sz w:val="36"/>
    </w:rPr>
  </w:style>
  <w:style w:type="paragraph" w:customStyle="1" w:styleId="30">
    <w:name w:val="公式格式"/>
    <w:basedOn w:val="1"/>
    <w:next w:val="1"/>
    <w:qFormat/>
    <w:uiPriority w:val="0"/>
    <w:pPr>
      <w:tabs>
        <w:tab w:val="center" w:pos="4179"/>
        <w:tab w:val="center" w:pos="8190"/>
      </w:tabs>
      <w:spacing w:before="100" w:beforeLines="100" w:after="100" w:afterLines="100"/>
      <w:ind w:firstLine="0" w:firstLineChars="0"/>
      <w:jc w:val="left"/>
    </w:pPr>
    <w:rPr>
      <w:sz w:val="21"/>
    </w:rPr>
  </w:style>
  <w:style w:type="character" w:customStyle="1" w:styleId="31">
    <w:name w:val="标题 1 字符"/>
    <w:link w:val="2"/>
    <w:qFormat/>
    <w:uiPriority w:val="0"/>
    <w:rPr>
      <w:rFonts w:ascii="Calibri" w:hAnsi="Calibri" w:eastAsia="宋体"/>
      <w:b/>
      <w:bCs/>
      <w:color w:val="000000"/>
      <w:sz w:val="32"/>
      <w:szCs w:val="40"/>
    </w:rPr>
  </w:style>
  <w:style w:type="paragraph" w:styleId="32">
    <w:name w:val="List Paragraph"/>
    <w:qFormat/>
    <w:uiPriority w:val="0"/>
    <w:rPr>
      <w:rFonts w:ascii="Times New Roman" w:hAnsi="Times New Roman" w:eastAsia="宋体" w:cs="Times New Roman"/>
      <w:sz w:val="24"/>
      <w:szCs w:val="24"/>
      <w:lang w:val="en-US" w:eastAsia="zh-CN" w:bidi="ar-SA"/>
    </w:rPr>
  </w:style>
  <w:style w:type="character" w:customStyle="1" w:styleId="33">
    <w:name w:val="脚注文本 字符"/>
    <w:link w:val="15"/>
    <w:semiHidden/>
    <w:unhideWhenUsed/>
    <w:qFormat/>
    <w:uiPriority w:val="99"/>
    <w:rPr>
      <w:sz w:val="20"/>
      <w:szCs w:val="20"/>
    </w:rPr>
  </w:style>
  <w:style w:type="character" w:customStyle="1" w:styleId="34">
    <w:name w:val="MTEquationSection"/>
    <w:basedOn w:val="23"/>
    <w:qFormat/>
    <w:uiPriority w:val="0"/>
    <w:rPr>
      <w:vanish/>
      <w:color w:val="FF0000"/>
    </w:rPr>
  </w:style>
  <w:style w:type="paragraph" w:customStyle="1" w:styleId="35">
    <w:name w:val="代码"/>
    <w:basedOn w:val="1"/>
    <w:qFormat/>
    <w:uiPriority w:val="0"/>
    <w:pPr>
      <w:adjustRightInd w:val="0"/>
      <w:ind w:firstLine="0" w:firstLineChars="0"/>
    </w:pPr>
    <w:rPr>
      <w:rFonts w:ascii="宋体" w:hAnsi="宋体"/>
      <w:i/>
      <w:sz w:val="22"/>
      <w:szCs w:val="20"/>
    </w:rPr>
  </w:style>
  <w:style w:type="paragraph" w:customStyle="1" w:styleId="36">
    <w:name w:val="书目1"/>
    <w:basedOn w:val="1"/>
    <w:qFormat/>
    <w:uiPriority w:val="0"/>
    <w:pPr>
      <w:tabs>
        <w:tab w:val="left" w:pos="384"/>
      </w:tabs>
      <w:spacing w:line="240" w:lineRule="exact"/>
      <w:ind w:left="384"/>
    </w:pPr>
  </w:style>
  <w:style w:type="character" w:customStyle="1" w:styleId="37">
    <w:name w:val="font31"/>
    <w:basedOn w:val="23"/>
    <w:qFormat/>
    <w:uiPriority w:val="0"/>
    <w:rPr>
      <w:rFonts w:hint="eastAsia" w:ascii="宋体" w:hAnsi="宋体" w:eastAsia="宋体" w:cs="宋体"/>
      <w:color w:val="000000"/>
      <w:sz w:val="24"/>
      <w:szCs w:val="24"/>
      <w:u w:val="none"/>
    </w:rPr>
  </w:style>
  <w:style w:type="character" w:customStyle="1" w:styleId="38">
    <w:name w:val="font21"/>
    <w:basedOn w:val="23"/>
    <w:qFormat/>
    <w:uiPriority w:val="0"/>
    <w:rPr>
      <w:rFonts w:hint="default" w:ascii="Calibri" w:hAnsi="Calibri" w:cs="Calibri"/>
      <w:color w:val="000000"/>
      <w:sz w:val="24"/>
      <w:szCs w:val="24"/>
      <w:u w:val="none"/>
    </w:rPr>
  </w:style>
  <w:style w:type="paragraph" w:customStyle="1" w:styleId="39">
    <w:name w:val="WPSOffice手动目录 1"/>
    <w:qFormat/>
    <w:uiPriority w:val="0"/>
    <w:rPr>
      <w:rFonts w:ascii="Times New Roman" w:hAnsi="Times New Roman" w:eastAsia="宋体" w:cs="Times New Roman"/>
      <w:lang w:val="en-US" w:eastAsia="zh-CN" w:bidi="ar-SA"/>
    </w:rPr>
  </w:style>
  <w:style w:type="paragraph" w:customStyle="1" w:styleId="40">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41">
    <w:name w:val="WPSOffice手动目录 3"/>
    <w:qFormat/>
    <w:uiPriority w:val="0"/>
    <w:pPr>
      <w:ind w:left="400" w:leftChars="400"/>
    </w:pPr>
    <w:rPr>
      <w:rFonts w:ascii="Times New Roman" w:hAnsi="Times New Roman" w:eastAsia="宋体" w:cs="Times New Roman"/>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41.wmf"/><Relationship Id="rId98" Type="http://schemas.openxmlformats.org/officeDocument/2006/relationships/oleObject" Target="embeddings/oleObject37.bin"/><Relationship Id="rId97" Type="http://schemas.openxmlformats.org/officeDocument/2006/relationships/image" Target="media/image40.wmf"/><Relationship Id="rId96" Type="http://schemas.openxmlformats.org/officeDocument/2006/relationships/oleObject" Target="embeddings/oleObject36.bin"/><Relationship Id="rId95" Type="http://schemas.openxmlformats.org/officeDocument/2006/relationships/image" Target="media/image39.wmf"/><Relationship Id="rId94" Type="http://schemas.openxmlformats.org/officeDocument/2006/relationships/oleObject" Target="embeddings/oleObject35.bin"/><Relationship Id="rId93" Type="http://schemas.openxmlformats.org/officeDocument/2006/relationships/image" Target="media/image38.wmf"/><Relationship Id="rId92" Type="http://schemas.openxmlformats.org/officeDocument/2006/relationships/oleObject" Target="embeddings/oleObject34.bin"/><Relationship Id="rId91" Type="http://schemas.openxmlformats.org/officeDocument/2006/relationships/image" Target="media/image37.wmf"/><Relationship Id="rId90" Type="http://schemas.openxmlformats.org/officeDocument/2006/relationships/oleObject" Target="embeddings/oleObject33.bin"/><Relationship Id="rId9" Type="http://schemas.openxmlformats.org/officeDocument/2006/relationships/footer" Target="footer2.xml"/><Relationship Id="rId89" Type="http://schemas.openxmlformats.org/officeDocument/2006/relationships/image" Target="media/image36.wmf"/><Relationship Id="rId88" Type="http://schemas.openxmlformats.org/officeDocument/2006/relationships/oleObject" Target="embeddings/oleObject32.bin"/><Relationship Id="rId87" Type="http://schemas.openxmlformats.org/officeDocument/2006/relationships/image" Target="media/image35.wmf"/><Relationship Id="rId86" Type="http://schemas.openxmlformats.org/officeDocument/2006/relationships/oleObject" Target="embeddings/oleObject31.bin"/><Relationship Id="rId85" Type="http://schemas.openxmlformats.org/officeDocument/2006/relationships/image" Target="media/image34.wmf"/><Relationship Id="rId84" Type="http://schemas.openxmlformats.org/officeDocument/2006/relationships/oleObject" Target="embeddings/oleObject30.bin"/><Relationship Id="rId83" Type="http://schemas.openxmlformats.org/officeDocument/2006/relationships/image" Target="media/image33.wmf"/><Relationship Id="rId82" Type="http://schemas.openxmlformats.org/officeDocument/2006/relationships/oleObject" Target="embeddings/oleObject29.bin"/><Relationship Id="rId81" Type="http://schemas.openxmlformats.org/officeDocument/2006/relationships/image" Target="media/image32.wmf"/><Relationship Id="rId80" Type="http://schemas.openxmlformats.org/officeDocument/2006/relationships/oleObject" Target="embeddings/oleObject28.bin"/><Relationship Id="rId8" Type="http://schemas.openxmlformats.org/officeDocument/2006/relationships/footer" Target="footer1.xml"/><Relationship Id="rId79" Type="http://schemas.openxmlformats.org/officeDocument/2006/relationships/image" Target="media/image31.wmf"/><Relationship Id="rId78" Type="http://schemas.openxmlformats.org/officeDocument/2006/relationships/oleObject" Target="embeddings/oleObject27.bin"/><Relationship Id="rId77" Type="http://schemas.openxmlformats.org/officeDocument/2006/relationships/image" Target="media/image30.wmf"/><Relationship Id="rId76" Type="http://schemas.openxmlformats.org/officeDocument/2006/relationships/oleObject" Target="embeddings/oleObject26.bin"/><Relationship Id="rId75" Type="http://schemas.openxmlformats.org/officeDocument/2006/relationships/image" Target="media/image29.wmf"/><Relationship Id="rId74" Type="http://schemas.openxmlformats.org/officeDocument/2006/relationships/oleObject" Target="embeddings/oleObject25.bin"/><Relationship Id="rId73" Type="http://schemas.openxmlformats.org/officeDocument/2006/relationships/image" Target="media/image28.wmf"/><Relationship Id="rId72" Type="http://schemas.openxmlformats.org/officeDocument/2006/relationships/oleObject" Target="embeddings/oleObject24.bin"/><Relationship Id="rId71" Type="http://schemas.openxmlformats.org/officeDocument/2006/relationships/image" Target="media/image27.wmf"/><Relationship Id="rId70" Type="http://schemas.openxmlformats.org/officeDocument/2006/relationships/oleObject" Target="embeddings/oleObject23.bin"/><Relationship Id="rId7" Type="http://schemas.openxmlformats.org/officeDocument/2006/relationships/header" Target="header3.xml"/><Relationship Id="rId69" Type="http://schemas.openxmlformats.org/officeDocument/2006/relationships/image" Target="media/image26.wmf"/><Relationship Id="rId68" Type="http://schemas.openxmlformats.org/officeDocument/2006/relationships/oleObject" Target="embeddings/oleObject22.bin"/><Relationship Id="rId67" Type="http://schemas.openxmlformats.org/officeDocument/2006/relationships/image" Target="media/image25.wmf"/><Relationship Id="rId66" Type="http://schemas.openxmlformats.org/officeDocument/2006/relationships/oleObject" Target="embeddings/oleObject21.bin"/><Relationship Id="rId65" Type="http://schemas.openxmlformats.org/officeDocument/2006/relationships/image" Target="media/image24.wmf"/><Relationship Id="rId64" Type="http://schemas.openxmlformats.org/officeDocument/2006/relationships/oleObject" Target="embeddings/oleObject20.bin"/><Relationship Id="rId63" Type="http://schemas.openxmlformats.org/officeDocument/2006/relationships/image" Target="media/image23.wmf"/><Relationship Id="rId62" Type="http://schemas.openxmlformats.org/officeDocument/2006/relationships/oleObject" Target="embeddings/oleObject19.bin"/><Relationship Id="rId61" Type="http://schemas.openxmlformats.org/officeDocument/2006/relationships/image" Target="media/image22.wmf"/><Relationship Id="rId60" Type="http://schemas.openxmlformats.org/officeDocument/2006/relationships/oleObject" Target="embeddings/oleObject18.bin"/><Relationship Id="rId6" Type="http://schemas.openxmlformats.org/officeDocument/2006/relationships/header" Target="header2.xml"/><Relationship Id="rId59" Type="http://schemas.openxmlformats.org/officeDocument/2006/relationships/image" Target="media/image21.png"/><Relationship Id="rId58" Type="http://schemas.openxmlformats.org/officeDocument/2006/relationships/image" Target="media/image20.jpeg"/><Relationship Id="rId57" Type="http://schemas.openxmlformats.org/officeDocument/2006/relationships/image" Target="media/image19.wmf"/><Relationship Id="rId56" Type="http://schemas.openxmlformats.org/officeDocument/2006/relationships/oleObject" Target="embeddings/oleObject17.bin"/><Relationship Id="rId55" Type="http://schemas.openxmlformats.org/officeDocument/2006/relationships/image" Target="media/image18.wmf"/><Relationship Id="rId54" Type="http://schemas.openxmlformats.org/officeDocument/2006/relationships/oleObject" Target="embeddings/oleObject16.bin"/><Relationship Id="rId53" Type="http://schemas.openxmlformats.org/officeDocument/2006/relationships/image" Target="media/image17.wmf"/><Relationship Id="rId52" Type="http://schemas.openxmlformats.org/officeDocument/2006/relationships/oleObject" Target="embeddings/oleObject15.bin"/><Relationship Id="rId51" Type="http://schemas.openxmlformats.org/officeDocument/2006/relationships/image" Target="media/image16.wmf"/><Relationship Id="rId50" Type="http://schemas.openxmlformats.org/officeDocument/2006/relationships/oleObject" Target="embeddings/oleObject14.bin"/><Relationship Id="rId5" Type="http://schemas.openxmlformats.org/officeDocument/2006/relationships/header" Target="header1.xml"/><Relationship Id="rId49" Type="http://schemas.openxmlformats.org/officeDocument/2006/relationships/image" Target="media/image15.wmf"/><Relationship Id="rId48" Type="http://schemas.openxmlformats.org/officeDocument/2006/relationships/oleObject" Target="embeddings/oleObject13.bin"/><Relationship Id="rId47" Type="http://schemas.openxmlformats.org/officeDocument/2006/relationships/image" Target="media/image14.wmf"/><Relationship Id="rId46" Type="http://schemas.openxmlformats.org/officeDocument/2006/relationships/oleObject" Target="embeddings/oleObject12.bin"/><Relationship Id="rId45" Type="http://schemas.openxmlformats.org/officeDocument/2006/relationships/image" Target="media/image13.wmf"/><Relationship Id="rId44" Type="http://schemas.openxmlformats.org/officeDocument/2006/relationships/oleObject" Target="embeddings/oleObject11.bin"/><Relationship Id="rId43" Type="http://schemas.openxmlformats.org/officeDocument/2006/relationships/image" Target="media/image12.wmf"/><Relationship Id="rId42" Type="http://schemas.openxmlformats.org/officeDocument/2006/relationships/oleObject" Target="embeddings/oleObject10.bin"/><Relationship Id="rId41" Type="http://schemas.openxmlformats.org/officeDocument/2006/relationships/image" Target="media/image11.wmf"/><Relationship Id="rId40" Type="http://schemas.openxmlformats.org/officeDocument/2006/relationships/oleObject" Target="embeddings/oleObject9.bin"/><Relationship Id="rId4" Type="http://schemas.openxmlformats.org/officeDocument/2006/relationships/endnotes" Target="endnotes.xml"/><Relationship Id="rId39" Type="http://schemas.openxmlformats.org/officeDocument/2006/relationships/image" Target="media/image10.wmf"/><Relationship Id="rId38" Type="http://schemas.openxmlformats.org/officeDocument/2006/relationships/oleObject" Target="embeddings/oleObject8.bin"/><Relationship Id="rId37" Type="http://schemas.openxmlformats.org/officeDocument/2006/relationships/image" Target="media/image9.wmf"/><Relationship Id="rId36" Type="http://schemas.openxmlformats.org/officeDocument/2006/relationships/oleObject" Target="embeddings/oleObject7.bin"/><Relationship Id="rId35" Type="http://schemas.openxmlformats.org/officeDocument/2006/relationships/image" Target="media/image8.wmf"/><Relationship Id="rId34" Type="http://schemas.openxmlformats.org/officeDocument/2006/relationships/oleObject" Target="embeddings/oleObject6.bin"/><Relationship Id="rId33" Type="http://schemas.openxmlformats.org/officeDocument/2006/relationships/image" Target="media/image7.wmf"/><Relationship Id="rId32" Type="http://schemas.openxmlformats.org/officeDocument/2006/relationships/oleObject" Target="embeddings/oleObject5.bin"/><Relationship Id="rId31" Type="http://schemas.openxmlformats.org/officeDocument/2006/relationships/image" Target="media/image6.wmf"/><Relationship Id="rId30" Type="http://schemas.openxmlformats.org/officeDocument/2006/relationships/oleObject" Target="embeddings/oleObject4.bin"/><Relationship Id="rId3" Type="http://schemas.openxmlformats.org/officeDocument/2006/relationships/footnotes" Target="footnotes.xml"/><Relationship Id="rId29" Type="http://schemas.openxmlformats.org/officeDocument/2006/relationships/image" Target="media/image5.wmf"/><Relationship Id="rId28" Type="http://schemas.openxmlformats.org/officeDocument/2006/relationships/oleObject" Target="embeddings/oleObject3.bin"/><Relationship Id="rId27" Type="http://schemas.openxmlformats.org/officeDocument/2006/relationships/image" Target="media/image4.wmf"/><Relationship Id="rId26" Type="http://schemas.openxmlformats.org/officeDocument/2006/relationships/oleObject" Target="embeddings/oleObject2.bin"/><Relationship Id="rId251" Type="http://schemas.openxmlformats.org/officeDocument/2006/relationships/fontTable" Target="fontTable.xml"/><Relationship Id="rId250" Type="http://schemas.openxmlformats.org/officeDocument/2006/relationships/customXml" Target="../customXml/item2.xml"/><Relationship Id="rId25" Type="http://schemas.openxmlformats.org/officeDocument/2006/relationships/image" Target="media/image3.jpeg"/><Relationship Id="rId249" Type="http://schemas.openxmlformats.org/officeDocument/2006/relationships/numbering" Target="numbering.xml"/><Relationship Id="rId248" Type="http://schemas.openxmlformats.org/officeDocument/2006/relationships/customXml" Target="../customXml/item1.xml"/><Relationship Id="rId247" Type="http://schemas.openxmlformats.org/officeDocument/2006/relationships/image" Target="media/image116.jpeg"/><Relationship Id="rId246" Type="http://schemas.openxmlformats.org/officeDocument/2006/relationships/image" Target="media/image115.jpeg"/><Relationship Id="rId245" Type="http://schemas.openxmlformats.org/officeDocument/2006/relationships/image" Target="media/image114.jpeg"/><Relationship Id="rId244" Type="http://schemas.openxmlformats.org/officeDocument/2006/relationships/image" Target="media/image113.wmf"/><Relationship Id="rId243" Type="http://schemas.openxmlformats.org/officeDocument/2006/relationships/oleObject" Target="embeddings/oleObject110.bin"/><Relationship Id="rId242" Type="http://schemas.openxmlformats.org/officeDocument/2006/relationships/image" Target="media/image112.wmf"/><Relationship Id="rId241" Type="http://schemas.openxmlformats.org/officeDocument/2006/relationships/oleObject" Target="embeddings/oleObject109.bin"/><Relationship Id="rId240" Type="http://schemas.openxmlformats.org/officeDocument/2006/relationships/image" Target="media/image111.wmf"/><Relationship Id="rId24" Type="http://schemas.openxmlformats.org/officeDocument/2006/relationships/image" Target="media/image2.jpeg"/><Relationship Id="rId239" Type="http://schemas.openxmlformats.org/officeDocument/2006/relationships/oleObject" Target="embeddings/oleObject108.bin"/><Relationship Id="rId238" Type="http://schemas.openxmlformats.org/officeDocument/2006/relationships/image" Target="media/image110.wmf"/><Relationship Id="rId237" Type="http://schemas.openxmlformats.org/officeDocument/2006/relationships/oleObject" Target="embeddings/oleObject107.bin"/><Relationship Id="rId236" Type="http://schemas.openxmlformats.org/officeDocument/2006/relationships/image" Target="media/image109.wmf"/><Relationship Id="rId235" Type="http://schemas.openxmlformats.org/officeDocument/2006/relationships/oleObject" Target="embeddings/oleObject106.bin"/><Relationship Id="rId234" Type="http://schemas.openxmlformats.org/officeDocument/2006/relationships/image" Target="media/image108.wmf"/><Relationship Id="rId233" Type="http://schemas.openxmlformats.org/officeDocument/2006/relationships/oleObject" Target="embeddings/oleObject105.bin"/><Relationship Id="rId232" Type="http://schemas.openxmlformats.org/officeDocument/2006/relationships/image" Target="media/image107.wmf"/><Relationship Id="rId231" Type="http://schemas.openxmlformats.org/officeDocument/2006/relationships/oleObject" Target="embeddings/oleObject104.bin"/><Relationship Id="rId230" Type="http://schemas.openxmlformats.org/officeDocument/2006/relationships/image" Target="media/image106.wmf"/><Relationship Id="rId23" Type="http://schemas.openxmlformats.org/officeDocument/2006/relationships/image" Target="media/image1.wmf"/><Relationship Id="rId229" Type="http://schemas.openxmlformats.org/officeDocument/2006/relationships/oleObject" Target="embeddings/oleObject103.bin"/><Relationship Id="rId228" Type="http://schemas.openxmlformats.org/officeDocument/2006/relationships/image" Target="media/image105.wmf"/><Relationship Id="rId227" Type="http://schemas.openxmlformats.org/officeDocument/2006/relationships/oleObject" Target="embeddings/oleObject102.bin"/><Relationship Id="rId226" Type="http://schemas.openxmlformats.org/officeDocument/2006/relationships/image" Target="media/image104.wmf"/><Relationship Id="rId225" Type="http://schemas.openxmlformats.org/officeDocument/2006/relationships/oleObject" Target="embeddings/oleObject101.bin"/><Relationship Id="rId224" Type="http://schemas.openxmlformats.org/officeDocument/2006/relationships/oleObject" Target="embeddings/oleObject100.bin"/><Relationship Id="rId223" Type="http://schemas.openxmlformats.org/officeDocument/2006/relationships/image" Target="media/image103.wmf"/><Relationship Id="rId222" Type="http://schemas.openxmlformats.org/officeDocument/2006/relationships/oleObject" Target="embeddings/oleObject99.bin"/><Relationship Id="rId221" Type="http://schemas.openxmlformats.org/officeDocument/2006/relationships/image" Target="media/image102.wmf"/><Relationship Id="rId220" Type="http://schemas.openxmlformats.org/officeDocument/2006/relationships/oleObject" Target="embeddings/oleObject98.bin"/><Relationship Id="rId22" Type="http://schemas.openxmlformats.org/officeDocument/2006/relationships/oleObject" Target="embeddings/oleObject1.bin"/><Relationship Id="rId219" Type="http://schemas.openxmlformats.org/officeDocument/2006/relationships/image" Target="media/image101.wmf"/><Relationship Id="rId218" Type="http://schemas.openxmlformats.org/officeDocument/2006/relationships/oleObject" Target="embeddings/oleObject97.bin"/><Relationship Id="rId217" Type="http://schemas.openxmlformats.org/officeDocument/2006/relationships/image" Target="media/image100.wmf"/><Relationship Id="rId216" Type="http://schemas.openxmlformats.org/officeDocument/2006/relationships/oleObject" Target="embeddings/oleObject96.bin"/><Relationship Id="rId215" Type="http://schemas.openxmlformats.org/officeDocument/2006/relationships/image" Target="media/image99.wmf"/><Relationship Id="rId214" Type="http://schemas.openxmlformats.org/officeDocument/2006/relationships/oleObject" Target="embeddings/oleObject95.bin"/><Relationship Id="rId213" Type="http://schemas.openxmlformats.org/officeDocument/2006/relationships/image" Target="media/image98.wmf"/><Relationship Id="rId212" Type="http://schemas.openxmlformats.org/officeDocument/2006/relationships/oleObject" Target="embeddings/oleObject94.bin"/><Relationship Id="rId211" Type="http://schemas.openxmlformats.org/officeDocument/2006/relationships/image" Target="media/image97.wmf"/><Relationship Id="rId210" Type="http://schemas.openxmlformats.org/officeDocument/2006/relationships/oleObject" Target="embeddings/oleObject93.bin"/><Relationship Id="rId21" Type="http://schemas.openxmlformats.org/officeDocument/2006/relationships/theme" Target="theme/theme1.xml"/><Relationship Id="rId209" Type="http://schemas.openxmlformats.org/officeDocument/2006/relationships/image" Target="media/image96.wmf"/><Relationship Id="rId208" Type="http://schemas.openxmlformats.org/officeDocument/2006/relationships/oleObject" Target="embeddings/oleObject92.bin"/><Relationship Id="rId207" Type="http://schemas.openxmlformats.org/officeDocument/2006/relationships/image" Target="media/image95.wmf"/><Relationship Id="rId206" Type="http://schemas.openxmlformats.org/officeDocument/2006/relationships/oleObject" Target="embeddings/oleObject91.bin"/><Relationship Id="rId205" Type="http://schemas.openxmlformats.org/officeDocument/2006/relationships/image" Target="media/image94.wmf"/><Relationship Id="rId204" Type="http://schemas.openxmlformats.org/officeDocument/2006/relationships/oleObject" Target="embeddings/oleObject90.bin"/><Relationship Id="rId203" Type="http://schemas.openxmlformats.org/officeDocument/2006/relationships/image" Target="media/image93.wmf"/><Relationship Id="rId202" Type="http://schemas.openxmlformats.org/officeDocument/2006/relationships/oleObject" Target="embeddings/oleObject89.bin"/><Relationship Id="rId201" Type="http://schemas.openxmlformats.org/officeDocument/2006/relationships/image" Target="media/image92.wmf"/><Relationship Id="rId200" Type="http://schemas.openxmlformats.org/officeDocument/2006/relationships/oleObject" Target="embeddings/oleObject88.bin"/><Relationship Id="rId20" Type="http://schemas.openxmlformats.org/officeDocument/2006/relationships/footer" Target="footer9.xml"/><Relationship Id="rId2" Type="http://schemas.openxmlformats.org/officeDocument/2006/relationships/settings" Target="settings.xml"/><Relationship Id="rId199" Type="http://schemas.openxmlformats.org/officeDocument/2006/relationships/image" Target="media/image91.wmf"/><Relationship Id="rId198" Type="http://schemas.openxmlformats.org/officeDocument/2006/relationships/oleObject" Target="embeddings/oleObject87.bin"/><Relationship Id="rId197" Type="http://schemas.openxmlformats.org/officeDocument/2006/relationships/image" Target="media/image90.wmf"/><Relationship Id="rId196" Type="http://schemas.openxmlformats.org/officeDocument/2006/relationships/oleObject" Target="embeddings/oleObject86.bin"/><Relationship Id="rId195" Type="http://schemas.openxmlformats.org/officeDocument/2006/relationships/image" Target="media/image89.wmf"/><Relationship Id="rId194" Type="http://schemas.openxmlformats.org/officeDocument/2006/relationships/oleObject" Target="embeddings/oleObject85.bin"/><Relationship Id="rId193" Type="http://schemas.openxmlformats.org/officeDocument/2006/relationships/image" Target="media/image88.wmf"/><Relationship Id="rId192" Type="http://schemas.openxmlformats.org/officeDocument/2006/relationships/oleObject" Target="embeddings/oleObject84.bin"/><Relationship Id="rId191" Type="http://schemas.openxmlformats.org/officeDocument/2006/relationships/image" Target="media/image87.wmf"/><Relationship Id="rId190" Type="http://schemas.openxmlformats.org/officeDocument/2006/relationships/oleObject" Target="embeddings/oleObject83.bin"/><Relationship Id="rId19" Type="http://schemas.openxmlformats.org/officeDocument/2006/relationships/footer" Target="footer8.xml"/><Relationship Id="rId189" Type="http://schemas.openxmlformats.org/officeDocument/2006/relationships/image" Target="media/image86.wmf"/><Relationship Id="rId188" Type="http://schemas.openxmlformats.org/officeDocument/2006/relationships/oleObject" Target="embeddings/oleObject82.bin"/><Relationship Id="rId187" Type="http://schemas.openxmlformats.org/officeDocument/2006/relationships/image" Target="media/image85.wmf"/><Relationship Id="rId186" Type="http://schemas.openxmlformats.org/officeDocument/2006/relationships/oleObject" Target="embeddings/oleObject81.bin"/><Relationship Id="rId185" Type="http://schemas.openxmlformats.org/officeDocument/2006/relationships/image" Target="media/image84.wmf"/><Relationship Id="rId184" Type="http://schemas.openxmlformats.org/officeDocument/2006/relationships/oleObject" Target="embeddings/oleObject80.bin"/><Relationship Id="rId183" Type="http://schemas.openxmlformats.org/officeDocument/2006/relationships/image" Target="media/image83.wmf"/><Relationship Id="rId182" Type="http://schemas.openxmlformats.org/officeDocument/2006/relationships/oleObject" Target="embeddings/oleObject79.bin"/><Relationship Id="rId181" Type="http://schemas.openxmlformats.org/officeDocument/2006/relationships/image" Target="media/image82.wmf"/><Relationship Id="rId180" Type="http://schemas.openxmlformats.org/officeDocument/2006/relationships/oleObject" Target="embeddings/oleObject78.bin"/><Relationship Id="rId18" Type="http://schemas.openxmlformats.org/officeDocument/2006/relationships/footer" Target="footer7.xml"/><Relationship Id="rId179" Type="http://schemas.openxmlformats.org/officeDocument/2006/relationships/image" Target="media/image81.wmf"/><Relationship Id="rId178" Type="http://schemas.openxmlformats.org/officeDocument/2006/relationships/oleObject" Target="embeddings/oleObject77.bin"/><Relationship Id="rId177" Type="http://schemas.openxmlformats.org/officeDocument/2006/relationships/image" Target="media/image80.wmf"/><Relationship Id="rId176" Type="http://schemas.openxmlformats.org/officeDocument/2006/relationships/oleObject" Target="embeddings/oleObject76.bin"/><Relationship Id="rId175" Type="http://schemas.openxmlformats.org/officeDocument/2006/relationships/image" Target="media/image79.wmf"/><Relationship Id="rId174" Type="http://schemas.openxmlformats.org/officeDocument/2006/relationships/oleObject" Target="embeddings/oleObject75.bin"/><Relationship Id="rId173" Type="http://schemas.openxmlformats.org/officeDocument/2006/relationships/image" Target="media/image78.wmf"/><Relationship Id="rId172" Type="http://schemas.openxmlformats.org/officeDocument/2006/relationships/oleObject" Target="embeddings/oleObject74.bin"/><Relationship Id="rId171" Type="http://schemas.openxmlformats.org/officeDocument/2006/relationships/image" Target="media/image77.wmf"/><Relationship Id="rId170" Type="http://schemas.openxmlformats.org/officeDocument/2006/relationships/oleObject" Target="embeddings/oleObject73.bin"/><Relationship Id="rId17" Type="http://schemas.openxmlformats.org/officeDocument/2006/relationships/header" Target="header7.xml"/><Relationship Id="rId169" Type="http://schemas.openxmlformats.org/officeDocument/2006/relationships/image" Target="media/image76.wmf"/><Relationship Id="rId168" Type="http://schemas.openxmlformats.org/officeDocument/2006/relationships/oleObject" Target="embeddings/oleObject72.bin"/><Relationship Id="rId167" Type="http://schemas.openxmlformats.org/officeDocument/2006/relationships/image" Target="media/image75.wmf"/><Relationship Id="rId166" Type="http://schemas.openxmlformats.org/officeDocument/2006/relationships/oleObject" Target="embeddings/oleObject71.bin"/><Relationship Id="rId165" Type="http://schemas.openxmlformats.org/officeDocument/2006/relationships/image" Target="media/image74.wmf"/><Relationship Id="rId164" Type="http://schemas.openxmlformats.org/officeDocument/2006/relationships/oleObject" Target="embeddings/oleObject70.bin"/><Relationship Id="rId163" Type="http://schemas.openxmlformats.org/officeDocument/2006/relationships/image" Target="media/image73.wmf"/><Relationship Id="rId162" Type="http://schemas.openxmlformats.org/officeDocument/2006/relationships/oleObject" Target="embeddings/oleObject69.bin"/><Relationship Id="rId161" Type="http://schemas.openxmlformats.org/officeDocument/2006/relationships/image" Target="media/image72.wmf"/><Relationship Id="rId160" Type="http://schemas.openxmlformats.org/officeDocument/2006/relationships/oleObject" Target="embeddings/oleObject68.bin"/><Relationship Id="rId16" Type="http://schemas.openxmlformats.org/officeDocument/2006/relationships/footer" Target="footer6.xml"/><Relationship Id="rId159" Type="http://schemas.openxmlformats.org/officeDocument/2006/relationships/image" Target="media/image71.wmf"/><Relationship Id="rId158" Type="http://schemas.openxmlformats.org/officeDocument/2006/relationships/oleObject" Target="embeddings/oleObject67.bin"/><Relationship Id="rId157" Type="http://schemas.openxmlformats.org/officeDocument/2006/relationships/image" Target="media/image70.wmf"/><Relationship Id="rId156" Type="http://schemas.openxmlformats.org/officeDocument/2006/relationships/oleObject" Target="embeddings/oleObject66.bin"/><Relationship Id="rId155" Type="http://schemas.openxmlformats.org/officeDocument/2006/relationships/image" Target="media/image69.wmf"/><Relationship Id="rId154" Type="http://schemas.openxmlformats.org/officeDocument/2006/relationships/oleObject" Target="embeddings/oleObject65.bin"/><Relationship Id="rId153" Type="http://schemas.openxmlformats.org/officeDocument/2006/relationships/image" Target="media/image68.wmf"/><Relationship Id="rId152" Type="http://schemas.openxmlformats.org/officeDocument/2006/relationships/oleObject" Target="embeddings/oleObject64.bin"/><Relationship Id="rId151" Type="http://schemas.openxmlformats.org/officeDocument/2006/relationships/image" Target="media/image67.wmf"/><Relationship Id="rId150" Type="http://schemas.openxmlformats.org/officeDocument/2006/relationships/oleObject" Target="embeddings/oleObject63.bin"/><Relationship Id="rId15" Type="http://schemas.openxmlformats.org/officeDocument/2006/relationships/footer" Target="footer5.xml"/><Relationship Id="rId149" Type="http://schemas.openxmlformats.org/officeDocument/2006/relationships/image" Target="media/image66.wmf"/><Relationship Id="rId148" Type="http://schemas.openxmlformats.org/officeDocument/2006/relationships/oleObject" Target="embeddings/oleObject62.bin"/><Relationship Id="rId147" Type="http://schemas.openxmlformats.org/officeDocument/2006/relationships/image" Target="media/image65.wmf"/><Relationship Id="rId146" Type="http://schemas.openxmlformats.org/officeDocument/2006/relationships/oleObject" Target="embeddings/oleObject61.bin"/><Relationship Id="rId145" Type="http://schemas.openxmlformats.org/officeDocument/2006/relationships/image" Target="media/image64.wmf"/><Relationship Id="rId144" Type="http://schemas.openxmlformats.org/officeDocument/2006/relationships/oleObject" Target="embeddings/oleObject60.bin"/><Relationship Id="rId143" Type="http://schemas.openxmlformats.org/officeDocument/2006/relationships/image" Target="media/image63.wmf"/><Relationship Id="rId142" Type="http://schemas.openxmlformats.org/officeDocument/2006/relationships/oleObject" Target="embeddings/oleObject59.bin"/><Relationship Id="rId141" Type="http://schemas.openxmlformats.org/officeDocument/2006/relationships/image" Target="media/image62.wmf"/><Relationship Id="rId140" Type="http://schemas.openxmlformats.org/officeDocument/2006/relationships/oleObject" Target="embeddings/oleObject58.bin"/><Relationship Id="rId14" Type="http://schemas.openxmlformats.org/officeDocument/2006/relationships/footer" Target="footer4.xml"/><Relationship Id="rId139" Type="http://schemas.openxmlformats.org/officeDocument/2006/relationships/image" Target="media/image61.wmf"/><Relationship Id="rId138" Type="http://schemas.openxmlformats.org/officeDocument/2006/relationships/oleObject" Target="embeddings/oleObject57.bin"/><Relationship Id="rId137" Type="http://schemas.openxmlformats.org/officeDocument/2006/relationships/image" Target="media/image60.wmf"/><Relationship Id="rId136" Type="http://schemas.openxmlformats.org/officeDocument/2006/relationships/oleObject" Target="embeddings/oleObject56.bin"/><Relationship Id="rId135" Type="http://schemas.openxmlformats.org/officeDocument/2006/relationships/image" Target="media/image59.wmf"/><Relationship Id="rId134" Type="http://schemas.openxmlformats.org/officeDocument/2006/relationships/oleObject" Target="embeddings/oleObject55.bin"/><Relationship Id="rId133" Type="http://schemas.openxmlformats.org/officeDocument/2006/relationships/image" Target="media/image58.wmf"/><Relationship Id="rId132" Type="http://schemas.openxmlformats.org/officeDocument/2006/relationships/oleObject" Target="embeddings/oleObject54.bin"/><Relationship Id="rId131" Type="http://schemas.openxmlformats.org/officeDocument/2006/relationships/image" Target="media/image57.wmf"/><Relationship Id="rId130" Type="http://schemas.openxmlformats.org/officeDocument/2006/relationships/oleObject" Target="embeddings/oleObject53.bin"/><Relationship Id="rId13" Type="http://schemas.openxmlformats.org/officeDocument/2006/relationships/header" Target="header6.xml"/><Relationship Id="rId129" Type="http://schemas.openxmlformats.org/officeDocument/2006/relationships/image" Target="media/image56.wmf"/><Relationship Id="rId128" Type="http://schemas.openxmlformats.org/officeDocument/2006/relationships/oleObject" Target="embeddings/oleObject52.bin"/><Relationship Id="rId127" Type="http://schemas.openxmlformats.org/officeDocument/2006/relationships/image" Target="media/image55.wmf"/><Relationship Id="rId126" Type="http://schemas.openxmlformats.org/officeDocument/2006/relationships/oleObject" Target="embeddings/oleObject51.bin"/><Relationship Id="rId125" Type="http://schemas.openxmlformats.org/officeDocument/2006/relationships/image" Target="media/image54.wmf"/><Relationship Id="rId124" Type="http://schemas.openxmlformats.org/officeDocument/2006/relationships/oleObject" Target="embeddings/oleObject50.bin"/><Relationship Id="rId123" Type="http://schemas.openxmlformats.org/officeDocument/2006/relationships/image" Target="media/image53.wmf"/><Relationship Id="rId122" Type="http://schemas.openxmlformats.org/officeDocument/2006/relationships/oleObject" Target="embeddings/oleObject49.bin"/><Relationship Id="rId121" Type="http://schemas.openxmlformats.org/officeDocument/2006/relationships/image" Target="media/image52.wmf"/><Relationship Id="rId120" Type="http://schemas.openxmlformats.org/officeDocument/2006/relationships/oleObject" Target="embeddings/oleObject48.bin"/><Relationship Id="rId12" Type="http://schemas.openxmlformats.org/officeDocument/2006/relationships/header" Target="header5.xml"/><Relationship Id="rId119" Type="http://schemas.openxmlformats.org/officeDocument/2006/relationships/image" Target="media/image51.wmf"/><Relationship Id="rId118" Type="http://schemas.openxmlformats.org/officeDocument/2006/relationships/oleObject" Target="embeddings/oleObject47.bin"/><Relationship Id="rId117" Type="http://schemas.openxmlformats.org/officeDocument/2006/relationships/image" Target="media/image50.wmf"/><Relationship Id="rId116" Type="http://schemas.openxmlformats.org/officeDocument/2006/relationships/oleObject" Target="embeddings/oleObject46.bin"/><Relationship Id="rId115" Type="http://schemas.openxmlformats.org/officeDocument/2006/relationships/image" Target="media/image49.wmf"/><Relationship Id="rId114" Type="http://schemas.openxmlformats.org/officeDocument/2006/relationships/oleObject" Target="embeddings/oleObject45.bin"/><Relationship Id="rId113" Type="http://schemas.openxmlformats.org/officeDocument/2006/relationships/image" Target="media/image48.wmf"/><Relationship Id="rId112" Type="http://schemas.openxmlformats.org/officeDocument/2006/relationships/oleObject" Target="embeddings/oleObject44.bin"/><Relationship Id="rId111" Type="http://schemas.openxmlformats.org/officeDocument/2006/relationships/image" Target="media/image47.wmf"/><Relationship Id="rId110" Type="http://schemas.openxmlformats.org/officeDocument/2006/relationships/oleObject" Target="embeddings/oleObject43.bin"/><Relationship Id="rId11" Type="http://schemas.openxmlformats.org/officeDocument/2006/relationships/header" Target="header4.xml"/><Relationship Id="rId109" Type="http://schemas.openxmlformats.org/officeDocument/2006/relationships/image" Target="media/image46.wmf"/><Relationship Id="rId108" Type="http://schemas.openxmlformats.org/officeDocument/2006/relationships/oleObject" Target="embeddings/oleObject42.bin"/><Relationship Id="rId107" Type="http://schemas.openxmlformats.org/officeDocument/2006/relationships/image" Target="media/image45.wmf"/><Relationship Id="rId106" Type="http://schemas.openxmlformats.org/officeDocument/2006/relationships/oleObject" Target="embeddings/oleObject41.bin"/><Relationship Id="rId105" Type="http://schemas.openxmlformats.org/officeDocument/2006/relationships/image" Target="media/image44.wmf"/><Relationship Id="rId104" Type="http://schemas.openxmlformats.org/officeDocument/2006/relationships/oleObject" Target="embeddings/oleObject40.bin"/><Relationship Id="rId103" Type="http://schemas.openxmlformats.org/officeDocument/2006/relationships/image" Target="media/image43.wmf"/><Relationship Id="rId102" Type="http://schemas.openxmlformats.org/officeDocument/2006/relationships/oleObject" Target="embeddings/oleObject39.bin"/><Relationship Id="rId101" Type="http://schemas.openxmlformats.org/officeDocument/2006/relationships/image" Target="media/image42.wmf"/><Relationship Id="rId100" Type="http://schemas.openxmlformats.org/officeDocument/2006/relationships/oleObject" Target="embeddings/oleObject38.bin"/><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contractReview xmlns="http://schemas.wps.cn/vas-ai-hub/contract-review">
  <reviewItems>
    <reviewItem>
      <errorID>c39f5379-24e3-442a-9f0c-d57fad18adb3</errorID>
      <errorWord>：</errorWord>
      <group>L1_Format</group>
      <groupName>格式问题</groupName>
      <ability>L2_HalfPunc</ability>
      <abilityName>全半角检查</abilityName>
      <candidateList>
        <item>: </item>
      </candidateList>
      <explain>文本全半角错误。</explain>
      <paraID> D14A298</paraID>
      <start>8</start>
      <end>10</end>
      <status>modified</status>
      <modifiedWord>: </modifiedWord>
      <trackRevisions>false</trackRevisions>
    </reviewItem>
    <reviewItem>
      <errorID>d07fe0b3-e48f-43d1-81e5-9fa561622010</errorID>
      <errorWord>.</errorWord>
      <group>L1_Format</group>
      <groupName>格式问题</groupName>
      <ability>L2_HalfPunc</ability>
      <abilityName>全半角检查</abilityName>
      <candidateList>
        <item>。</item>
      </candidateList>
      <explain>文本全半角错误。</explain>
      <paraID>2321F55F</paraID>
      <start>14</start>
      <end>15</end>
      <status>ignored</status>
      <modifiedWord/>
      <trackRevisions>false</trackRevisions>
    </reviewItem>
    <reviewItem>
      <errorID>da9afb7c-b5fa-437e-bf4c-923ad0eb0ffa</errorID>
      <errorWord>：</errorWord>
      <group>L1_Format</group>
      <groupName>格式问题</groupName>
      <ability>L2_HalfPunc</ability>
      <abilityName>全半角检查</abilityName>
      <candidateList>
        <item>:</item>
      </candidateList>
      <explain>文本全半角错误。</explain>
      <paraID>33FBE333</paraID>
      <start>6</start>
      <end>7</end>
      <status>ignored</status>
      <modifiedWord/>
      <trackRevisions>false</trackRevisions>
    </reviewItem>
    <reviewItem>
      <errorID>427e821a-8d16-4018-916b-76b93c054548</errorID>
      <errorWord>:/</errorWord>
      <group>L1_Punc</group>
      <groupName>标点问题</groupName>
      <ability>L2_Punc</ability>
      <abilityName>标点符号检查</abilityName>
      <candidateList>
        <item>:</item>
      </candidateList>
      <explain/>
      <paraID>42C4972B</paraID>
      <start>14</start>
      <end>16</end>
      <status>ignored</status>
      <modifiedWord/>
      <trackRevisions>false</trackRevisions>
    </reviewItem>
    <reviewItem>
      <errorID>6f719a2c-2fc4-44d2-bc28-17946f4fa30b</errorID>
      <errorWord>"</errorWord>
      <group>L1_Format</group>
      <groupName>格式问题</groupName>
      <ability>L2_HalfPunc</ability>
      <abilityName>全半角检查</abilityName>
      <candidateList>
        <item>“</item>
      </candidateList>
      <explain>文本全半角错误。</explain>
      <paraID>1D280679</paraID>
      <start>7</start>
      <end>8</end>
      <status>unmodified</status>
      <modifiedWord/>
      <trackRevisions>false</trackRevisions>
    </reviewItem>
    <reviewItem>
      <errorID>d431af9e-fecb-4c1f-b747-61a6ce20ccd8</errorID>
      <errorWord>:</errorWord>
      <group>L1_Format</group>
      <groupName>格式问题</groupName>
      <ability>L2_HalfPunc</ability>
      <abilityName>全半角检查</abilityName>
      <candidateList>
        <item>：</item>
      </candidateList>
      <explain>文本全半角错误。</explain>
      <paraID>1D280679</paraID>
      <start>12</start>
      <end>13</end>
      <status>unmodified</status>
      <modifiedWord/>
      <trackRevisions>false</trackRevisions>
    </reviewItem>
    <reviewItem>
      <errorID>a0a3dd51-4839-425d-a77a-28cc0bacc8a3</errorID>
      <errorWord>"</errorWord>
      <group>L1_Format</group>
      <groupName>格式问题</groupName>
      <ability>L2_HalfPunc</ability>
      <abilityName>全半角检查</abilityName>
      <candidateList>
        <item>“</item>
      </candidateList>
      <explain>文本全半角错误。</explain>
      <paraID>29D03386</paraID>
      <start>10</start>
      <end>11</end>
      <status>unmodified</status>
      <modifiedWord/>
      <trackRevisions>false</trackRevisions>
    </reviewItem>
    <reviewItem>
      <errorID>4deef021-1a6d-4c6d-a306-8c78b7abd691</errorID>
      <errorWord>"</errorWord>
      <group>L1_Format</group>
      <groupName>格式问题</groupName>
      <ability>L2_HalfPunc</ability>
      <abilityName>全半角检查</abilityName>
      <candidateList>
        <item>”</item>
      </candidateList>
      <explain>文本全半角错误。</explain>
      <paraID>29D03386</paraID>
      <start>37</start>
      <end>38</end>
      <status>unmodified</status>
      <modifiedWord/>
      <trackRevisions>false</trackRevisions>
    </reviewItem>
    <reviewItem>
      <errorID>a978574f-7e58-4001-be8a-b17951a1524d</errorID>
      <errorWord>（</errorWord>
      <group>L1_Punc</group>
      <groupName>标点问题</groupName>
      <ability>L2_Punc</ability>
      <abilityName>标点符号检查</abilityName>
      <candidateList/>
      <explain>同一形式括号套用。</explain>
      <paraID> 36877BB</paraID>
      <start>42</start>
      <end>43</end>
      <status>unmodified</status>
      <modifiedWord/>
      <trackRevisions>false</trackRevisions>
    </reviewItem>
    <reviewItem>
      <errorID>dfdd2495-35db-4a73-bc11-09bc543caa4c</errorID>
      <errorWord>）</errorWord>
      <group>L1_Punc</group>
      <groupName>标点问题</groupName>
      <ability>L2_Punc</ability>
      <abilityName>标点符号检查</abilityName>
      <candidateList/>
      <explain>同一形式括号套用。</explain>
      <paraID> 36877BB</paraID>
      <start>45</start>
      <end>46</end>
      <status>unmodified</status>
      <modifiedWord/>
      <trackRevisions>false</trackRevisions>
    </reviewItem>
    <reviewItem>
      <errorID>5c513255-d501-41fc-bee4-125aea0e5196</errorID>
      <errorWord>"</errorWord>
      <group>L1_Format</group>
      <groupName>格式问题</groupName>
      <ability>L2_HalfPunc</ability>
      <abilityName>全半角检查</abilityName>
      <candidateList>
        <item>”</item>
      </candidateList>
      <explain>文本全半角错误。</explain>
      <paraID> 36877BB</paraID>
      <start>46</start>
      <end>47</end>
      <status>unmodified</status>
      <modifiedWord/>
      <trackRevisions>false</trackRevisions>
    </reviewItem>
    <reviewItem>
      <errorID>7609318a-5b2a-4b24-b9f3-3f3772b49776</errorID>
      <errorWord>[:</errorWord>
      <group>L1_Punc</group>
      <groupName>标点问题</groupName>
      <ability>L2_Punc</ability>
      <abilityName>标点符号检查</abilityName>
      <candidateList>
        <item>[</item>
      </candidateList>
      <explain/>
      <paraID>398F82EE</paraID>
      <start>31</start>
      <end>33</end>
      <status>unmodified</status>
      <modifiedWord/>
      <trackRevisions>false</trackRevisions>
    </reviewItem>
    <reviewItem>
      <errorID>075b1d19-6f12-41c4-8013-88d23c9a5fdd</errorID>
      <errorWord>[:</errorWord>
      <group>L1_Punc</group>
      <groupName>标点问题</groupName>
      <ability>L2_Punc</ability>
      <abilityName>标点符号检查</abilityName>
      <candidateList>
        <item>[</item>
      </candidateList>
      <explain/>
      <paraID>519EB768</paraID>
      <start>31</start>
      <end>33</end>
      <status>unmodified</status>
      <modifiedWord/>
      <trackRevisions>false</trackRevisions>
    </reviewItem>
    <reviewItem>
      <errorID>ab3660b5-9e49-4795-b542-cf53b764ac20</errorID>
      <errorWord>"</errorWord>
      <group>L1_Format</group>
      <groupName>格式问题</groupName>
      <ability>L2_HalfPunc</ability>
      <abilityName>全半角检查</abilityName>
      <candidateList>
        <item>”</item>
      </candidateList>
      <explain>文本全半角错误。</explain>
      <paraID>61A8A2E5</paraID>
      <start>47</start>
      <end>48</end>
      <status>unmodified</status>
      <modifiedWord/>
      <trackRevisions>false</trackRevisions>
    </reviewItem>
    <reviewItem>
      <errorID>17a55f6c-ed0c-4725-8a4a-e4b362a15830</errorID>
      <errorWord>[:</errorWord>
      <group>L1_Punc</group>
      <groupName>标点问题</groupName>
      <ability>L2_Punc</ability>
      <abilityName>标点符号检查</abilityName>
      <candidateList>
        <item>[</item>
      </candidateList>
      <explain/>
      <paraID>36E69522</paraID>
      <start>40</start>
      <end>42</end>
      <status>unmodified</status>
      <modifiedWord/>
      <trackRevisions>false</trackRevisions>
    </reviewItem>
    <reviewItem>
      <errorID>6c3e21a6-0d71-4d01-8cf9-02e4e0d79813</errorID>
      <errorWord>[:</errorWord>
      <group>L1_Punc</group>
      <groupName>标点问题</groupName>
      <ability>L2_Punc</ability>
      <abilityName>标点符号检查</abilityName>
      <candidateList>
        <item>[</item>
      </candidateList>
      <explain/>
      <paraID>5F5B0247</paraID>
      <start>46</start>
      <end>48</end>
      <status>unmodified</status>
      <modifiedWord/>
      <trackRevisions>false</trackRevisions>
    </reviewItem>
    <reviewItem>
      <errorID>192fcf39-ed68-4723-8423-a826c1c16dc2</errorID>
      <errorWord>[:</errorWord>
      <group>L1_Punc</group>
      <groupName>标点问题</groupName>
      <ability>L2_Punc</ability>
      <abilityName>标点符号检查</abilityName>
      <candidateList>
        <item>[</item>
      </candidateList>
      <explain/>
      <paraID>42FA0CA3</paraID>
      <start>31</start>
      <end>33</end>
      <status>unmodified</status>
      <modifiedWord/>
      <trackRevisions>false</trackRevisions>
    </reviewItem>
    <reviewItem>
      <errorID>9ab578f0-ee70-43f6-886d-48e4b4aec0c8</errorID>
      <errorWord>::</errorWord>
      <group>L1_Punc</group>
      <groupName>标点问题</groupName>
      <ability>L2_Punc</ability>
      <abilityName>标点符号检查</abilityName>
      <candidateList>
        <item>:</item>
      </candidateList>
      <explain/>
      <paraID>42FA0CA3</paraID>
      <start>35</start>
      <end>37</end>
      <status>unmodified</status>
      <modifiedWord/>
      <trackRevisions>false</trackRevisions>
    </reviewItem>
    <reviewItem>
      <errorID>23a4c54f-00dd-4a37-8822-65325aad3a5e</errorID>
      <errorWord>"</errorWord>
      <group>L1_Format</group>
      <groupName>格式问题</groupName>
      <ability>L2_HalfPunc</ability>
      <abilityName>全半角检查</abilityName>
      <candidateList/>
      <explain>文本全半角错误。</explain>
      <paraID>2E1F1D75</paraID>
      <start>6</start>
      <end>7</end>
      <status>unmodified</status>
      <modifiedWord/>
      <trackRevisions>false</trackRevisions>
    </reviewItem>
    <reviewItem>
      <errorID>c5695458-c0bc-47d1-95fa-1052eeacd5b4</errorID>
      <errorWord>"</errorWord>
      <group>L1_Format</group>
      <groupName>格式问题</groupName>
      <ability>L2_HalfPunc</ability>
      <abilityName>全半角检查</abilityName>
      <candidateList>
        <item>”</item>
      </candidateList>
      <explain>文本全半角错误。</explain>
      <paraID>2E1F1D75</paraID>
      <start>32</start>
      <end>33</end>
      <status>unmodified</status>
      <modifiedWord/>
      <trackRevisions>false</trackRevisions>
    </reviewItem>
    <reviewItem>
      <errorID>82cc5fac-705f-43b9-acdb-3b6a64bed04f</errorID>
      <errorWord>[:</errorWord>
      <group>L1_Punc</group>
      <groupName>标点问题</groupName>
      <ability>L2_Punc</ability>
      <abilityName>标点符号检查</abilityName>
      <candidateList>
        <item>[</item>
      </candidateList>
      <explain/>
      <paraID> 7BA46B7</paraID>
      <start>59</start>
      <end>61</end>
      <status>unmodified</status>
      <modifiedWord/>
      <trackRevisions>false</trackRevisions>
    </reviewItem>
    <reviewItem>
      <errorID>4dd7dd5f-2a69-4827-a559-4ed268ee5c00</errorID>
      <errorWord>[:</errorWord>
      <group>L1_Punc</group>
      <groupName>标点问题</groupName>
      <ability>L2_Punc</ability>
      <abilityName>标点符号检查</abilityName>
      <candidateList>
        <item>[</item>
      </candidateList>
      <explain/>
      <paraID>10379D8B</paraID>
      <start>64</start>
      <end>66</end>
      <status>unmodified</status>
      <modifiedWord/>
      <trackRevisions>false</trackRevisions>
    </reviewItem>
    <reviewItem>
      <errorID>8005fdc2-3161-44e1-af9d-9af5d51bdcd3</errorID>
      <errorWord>[:</errorWord>
      <group>L1_Punc</group>
      <groupName>标点问题</groupName>
      <ability>L2_Punc</ability>
      <abilityName>标点符号检查</abilityName>
      <candidateList>
        <item>[</item>
      </candidateList>
      <explain/>
      <paraID>40A3A6C7</paraID>
      <start>64</start>
      <end>66</end>
      <status>unmodified</status>
      <modifiedWord/>
      <trackRevisions>false</trackRevisions>
    </reviewItem>
    <reviewItem>
      <errorID>7c82f6d0-c068-49ab-b842-b670dce7baa6</errorID>
      <errorWord>:</errorWord>
      <group>L1_Format</group>
      <groupName>格式问题</groupName>
      <ability>L2_HalfPunc</ability>
      <abilityName>全半角检查</abilityName>
      <candidateList>
        <item>：</item>
      </candidateList>
      <explain>文本全半角错误。</explain>
      <paraID>79F4C359</paraID>
      <start>6</start>
      <end>7</end>
      <status>unmodified</status>
      <modifiedWord/>
      <trackRevisions>false</trackRevisions>
    </reviewItem>
    <reviewItem>
      <errorID>1744ec81-c84f-492f-a4c6-e059acfee54a</errorID>
      <errorWord>[:</errorWord>
      <group>L1_Punc</group>
      <groupName>标点问题</groupName>
      <ability>L2_Punc</ability>
      <abilityName>标点符号检查</abilityName>
      <candidateList>
        <item>[</item>
      </candidateList>
      <explain/>
      <paraID>7B7F1933</paraID>
      <start>38</start>
      <end>40</end>
      <status>unmodified</status>
      <modifiedWord/>
      <trackRevisions>false</trackRevisions>
    </reviewItem>
    <reviewItem>
      <errorID>988ab2f9-0329-40f8-91b5-e95b0a1874f7</errorID>
      <errorWord>[:</errorWord>
      <group>L1_Punc</group>
      <groupName>标点问题</groupName>
      <ability>L2_Punc</ability>
      <abilityName>标点符号检查</abilityName>
      <candidateList>
        <item>[</item>
      </candidateList>
      <explain/>
      <paraID>75206E06</paraID>
      <start>22</start>
      <end>24</end>
      <status>unmodified</status>
      <modifiedWord/>
      <trackRevisions>false</trackRevisions>
    </reviewItem>
    <reviewItem>
      <errorID>fe57c205-7a7f-4548-8d5a-1493d8d6fce1</errorID>
      <errorWord>[:</errorWord>
      <group>L1_Punc</group>
      <groupName>标点问题</groupName>
      <ability>L2_Punc</ability>
      <abilityName>标点符号检查</abilityName>
      <candidateList>
        <item>[</item>
      </candidateList>
      <explain/>
      <paraID>70AA28A3</paraID>
      <start>24</start>
      <end>26</end>
      <status>unmodified</status>
      <modifiedWord/>
      <trackRevisions>false</trackRevisions>
    </reviewItem>
    <reviewItem>
      <errorID>3d10c6b0-fb0d-413f-8960-0a0f9ca639d2</errorID>
      <errorWord>[:</errorWord>
      <group>L1_Punc</group>
      <groupName>标点问题</groupName>
      <ability>L2_Punc</ability>
      <abilityName>标点符号检查</abilityName>
      <candidateList>
        <item>[</item>
      </candidateList>
      <explain/>
      <paraID>4AE5DE57</paraID>
      <start>25</start>
      <end>27</end>
      <status>unmodified</status>
      <modifiedWord/>
      <trackRevisions>false</trackRevisions>
    </reviewItem>
    <reviewItem>
      <errorID>492d3c64-bbe7-48f7-8552-bef50cd3aeb6</errorID>
      <errorWord>[:</errorWord>
      <group>L1_Punc</group>
      <groupName>标点问题</groupName>
      <ability>L2_Punc</ability>
      <abilityName>标点符号检查</abilityName>
      <candidateList>
        <item>[</item>
      </candidateList>
      <explain/>
      <paraID>6F8F8373</paraID>
      <start>31</start>
      <end>33</end>
      <status>unmodified</status>
      <modifiedWord/>
      <trackRevisions>false</trackRevisions>
    </reviewItem>
    <reviewItem>
      <errorID>7aecc220-fd3f-4530-8a67-324f1db1d2f6</errorID>
      <errorWord>[:</errorWord>
      <group>L1_Punc</group>
      <groupName>标点问题</groupName>
      <ability>L2_Punc</ability>
      <abilityName>标点符号检查</abilityName>
      <candidateList>
        <item>[</item>
      </candidateList>
      <explain/>
      <paraID>56FB375C</paraID>
      <start>7</start>
      <end>9</end>
      <status>unmodified</status>
      <modifiedWord/>
      <trackRevisions>false</trackRevisions>
    </reviewItem>
    <reviewItem>
      <errorID>44956c6f-2bc3-46bc-ac42-0c545cd98978</errorID>
      <errorWord>"</errorWord>
      <group>L1_Format</group>
      <groupName>格式问题</groupName>
      <ability>L2_HalfPunc</ability>
      <abilityName>全半角检查</abilityName>
      <candidateList/>
      <explain>文本全半角错误。</explain>
      <paraID>3A7BEA8F</paraID>
      <start>6</start>
      <end>7</end>
      <status>unmodified</status>
      <modifiedWord/>
      <trackRevisions>false</trackRevisions>
    </reviewItem>
    <reviewItem>
      <errorID>c2b2eb65-27a7-44d8-ad56-d4844aa15b64</errorID>
      <errorWord>"</errorWord>
      <group>L1_Format</group>
      <groupName>格式问题</groupName>
      <ability>L2_HalfPunc</ability>
      <abilityName>全半角检查</abilityName>
      <candidateList>
        <item>”</item>
      </candidateList>
      <explain>文本全半角错误。</explain>
      <paraID>3A7BEA8F</paraID>
      <start>21</start>
      <end>22</end>
      <status>unmodified</status>
      <modifiedWord/>
      <trackRevisions>false</trackRevisions>
    </reviewItem>
    <reviewItem>
      <errorID>8723fa9d-81a1-41f2-b784-a98c14f85d68</errorID>
      <errorWord>"</errorWord>
      <group>L1_Format</group>
      <groupName>格式问题</groupName>
      <ability>L2_HalfPunc</ability>
      <abilityName>全半角检查</abilityName>
      <candidateList>
        <item>“</item>
      </candidateList>
      <explain>文本全半角错误。</explain>
      <paraID>1E131864</paraID>
      <start>10</start>
      <end>11</end>
      <status>unmodified</status>
      <modifiedWord/>
      <trackRevisions>false</trackRevisions>
    </reviewItem>
    <reviewItem>
      <errorID>01c6d5bb-9176-464c-b2bc-623c6520a185</errorID>
      <errorWord>...</errorWord>
      <group>L1_Punc</group>
      <groupName>标点问题</groupName>
      <ability>L2_Punc</ability>
      <abilityName>标点符号检查</abilityName>
      <candidateList>
        <item>……</item>
      </candidateList>
      <explain>省略号错误。</explain>
      <paraID>1E131864</paraID>
      <start>21</start>
      <end>24</end>
      <status>unmodified</status>
      <modifiedWord/>
      <trackRevisions>false</trackRevisions>
    </reviewItem>
    <reviewItem>
      <errorID>701f30cb-8a30-4506-8dbd-fd8af265dd54</errorID>
      <errorWord>{</errorWord>
      <group>L1_Format</group>
      <groupName>格式问题</groupName>
      <ability>L2_HalfPunc</ability>
      <abilityName>全半角检查</abilityName>
      <candidateList>
        <item>｛</item>
      </candidateList>
      <explain>文本全半角错误。</explain>
      <paraID>59CB5311</paraID>
      <start>24</start>
      <end>25</end>
      <status>unmodified</status>
      <modifiedWord/>
      <trackRevisions>false</trackRevisions>
    </reviewItem>
    <reviewItem>
      <errorID>fea19eee-1381-4d3c-9d06-6115666cc068</errorID>
      <errorWord>}</errorWord>
      <group>L1_Format</group>
      <groupName>格式问题</groupName>
      <ability>L2_HalfPunc</ability>
      <abilityName>全半角检查</abilityName>
      <candidateList>
        <item>｝</item>
      </candidateList>
      <explain>文本全半角错误。</explain>
      <paraID>59CB5311</paraID>
      <start>29</start>
      <end>30</end>
      <status>unmodified</status>
      <modifiedWord/>
      <trackRevisions>false</trackRevisions>
    </reviewItem>
    <reviewItem>
      <errorID>805a9d41-4978-4a54-9eef-116fe77f48cd</errorID>
      <errorWord>{</errorWord>
      <group>L1_Format</group>
      <groupName>格式问题</groupName>
      <ability>L2_HalfPunc</ability>
      <abilityName>全半角检查</abilityName>
      <candidateList>
        <item>｛</item>
      </candidateList>
      <explain>文本全半角错误。</explain>
      <paraID>59CB5311</paraID>
      <start>32</start>
      <end>33</end>
      <status>unmodified</status>
      <modifiedWord/>
      <trackRevisions>false</trackRevisions>
    </reviewItem>
    <reviewItem>
      <errorID>60916760-97a7-42ba-825e-9268011fff18</errorID>
      <errorWord>"</errorWord>
      <group>L1_Format</group>
      <groupName>格式问题</groupName>
      <ability>L2_HalfPunc</ability>
      <abilityName>全半角检查</abilityName>
      <candidateList>
        <item>“</item>
      </candidateList>
      <explain>文本全半角错误。</explain>
      <paraID>1755A414</paraID>
      <start>10</start>
      <end>11</end>
      <status>unmodified</status>
      <modifiedWord/>
      <trackRevisions>false</trackRevisions>
    </reviewItem>
    <reviewItem>
      <errorID>0e46ff57-19b4-4a93-bcaa-b739f806b879</errorID>
      <errorWord>...</errorWord>
      <group>L1_Punc</group>
      <groupName>标点问题</groupName>
      <ability>L2_Punc</ability>
      <abilityName>标点符号检查</abilityName>
      <candidateList>
        <item>……</item>
      </candidateList>
      <explain>省略号错误。</explain>
      <paraID>1755A414</paraID>
      <start>27</start>
      <end>30</end>
      <status>unmodified</status>
      <modifiedWord/>
      <trackRevisions>false</trackRevisions>
    </reviewItem>
    <reviewItem>
      <errorID>04658f18-c015-4594-8e1c-bdfc534053a8</errorID>
      <errorWord>:</errorWord>
      <group>L1_Format</group>
      <groupName>格式问题</groupName>
      <ability>L2_HalfPunc</ability>
      <abilityName>全半角检查</abilityName>
      <candidateList>
        <item>：</item>
      </candidateList>
      <explain>文本全半角错误。</explain>
      <paraID>2F0A7CA2</paraID>
      <start>23</start>
      <end>24</end>
      <status>unmodified</status>
      <modifiedWord/>
      <trackRevisions>false</trackRevisions>
    </reviewItem>
    <reviewItem>
      <errorID>ee1baf9d-cc88-4225-b17b-113fdce1df23</errorID>
      <errorWord>"</errorWord>
      <group>L1_Format</group>
      <groupName>格式问题</groupName>
      <ability>L2_HalfPunc</ability>
      <abilityName>全半角检查</abilityName>
      <candidateList>
        <item>“</item>
      </candidateList>
      <explain>文本全半角错误。</explain>
      <paraID>1C97B19A</paraID>
      <start>10</start>
      <end>11</end>
      <status>unmodified</status>
      <modifiedWord/>
      <trackRevisions>false</trackRevisions>
    </reviewItem>
    <reviewItem>
      <errorID>e5d87a13-762c-4f13-be3e-317fbcb93413</errorID>
      <errorWord>（</errorWord>
      <group>L1_Punc</group>
      <groupName>标点问题</groupName>
      <ability>L2_Punc</ability>
      <abilityName>标点符号检查</abilityName>
      <candidateList/>
      <explain>同一形式括号套用。</explain>
      <paraID>1C97B19A</paraID>
      <start>23</start>
      <end>24</end>
      <status>unmodified</status>
      <modifiedWord/>
      <trackRevisions>false</trackRevisions>
    </reviewItem>
    <reviewItem>
      <errorID>c30e11e5-0d8f-4f07-a360-c7d5fbf278b1</errorID>
      <errorWord>）</errorWord>
      <group>L1_Punc</group>
      <groupName>标点问题</groupName>
      <ability>L2_Punc</ability>
      <abilityName>标点符号检查</abilityName>
      <candidateList/>
      <explain>同一形式括号套用。</explain>
      <paraID>1C97B19A</paraID>
      <start>28</start>
      <end>29</end>
      <status>unmodified</status>
      <modifiedWord/>
      <trackRevisions>false</trackRevisions>
    </reviewItem>
    <reviewItem>
      <errorID>26decbfd-e431-4054-8a64-71487cc0ce68</errorID>
      <errorWord>...</errorWord>
      <group>L1_Punc</group>
      <groupName>标点问题</groupName>
      <ability>L2_Punc</ability>
      <abilityName>标点符号检查</abilityName>
      <candidateList>
        <item>……</item>
      </candidateList>
      <explain>省略号错误。</explain>
      <paraID>1C97B19A</paraID>
      <start>29</start>
      <end>32</end>
      <status>unmodified</status>
      <modifiedWord/>
      <trackRevisions>false</trackRevisions>
    </reviewItem>
    <reviewItem>
      <errorID>6b9dd570-a4b2-4b3a-bfcb-f46a7de1a7ad</errorID>
      <errorWord>"</errorWord>
      <group>L1_Format</group>
      <groupName>格式问题</groupName>
      <ability>L2_HalfPunc</ability>
      <abilityName>全半角检查</abilityName>
      <candidateList>
        <item>“</item>
      </candidateList>
      <explain>文本全半角错误。</explain>
      <paraID>28539A05</paraID>
      <start>10</start>
      <end>11</end>
      <status>unmodified</status>
      <modifiedWord/>
      <trackRevisions>false</trackRevisions>
    </reviewItem>
    <reviewItem>
      <errorID>405e644d-ae2b-4cf4-bd24-53988a673afe</errorID>
      <errorWord>"</errorWord>
      <group>L1_Format</group>
      <groupName>格式问题</groupName>
      <ability>L2_HalfPunc</ability>
      <abilityName>全半角检查</abilityName>
      <candidateList>
        <item>”</item>
      </candidateList>
      <explain>文本全半角错误。</explain>
      <paraID>28539A05</paraID>
      <start>20</start>
      <end>21</end>
      <status>unmodified</status>
      <modifiedWord/>
      <trackRevisions>false</trackRevisions>
    </reviewItem>
    <reviewItem>
      <errorID>ac236e8d-7bbf-4d5d-882e-f9075fb0cdc0</errorID>
      <errorWord>"</errorWord>
      <group>L1_Format</group>
      <groupName>格式问题</groupName>
      <ability>L2_HalfPunc</ability>
      <abilityName>全半角检查</abilityName>
      <candidateList>
        <item>“</item>
      </candidateList>
      <explain>文本全半角错误。</explain>
      <paraID>107574D4</paraID>
      <start>10</start>
      <end>11</end>
      <status>unmodified</status>
      <modifiedWord/>
      <trackRevisions>false</trackRevisions>
    </reviewItem>
    <reviewItem>
      <errorID>60631276-8992-43eb-b0c9-8e28905c2bf1</errorID>
      <errorWord>...</errorWord>
      <group>L1_Punc</group>
      <groupName>标点问题</groupName>
      <ability>L2_Punc</ability>
      <abilityName>标点符号检查</abilityName>
      <candidateList>
        <item>……</item>
      </candidateList>
      <explain>省略号错误。</explain>
      <paraID>107574D4</paraID>
      <start>23</start>
      <end>26</end>
      <status>unmodified</status>
      <modifiedWord/>
      <trackRevisions>false</trackRevisions>
    </reviewItem>
    <reviewItem>
      <errorID>3f0a2322-db8f-4a9e-b329-f6e31324e881</errorID>
      <errorWord>{</errorWord>
      <group>L1_Format</group>
      <groupName>格式问题</groupName>
      <ability>L2_HalfPunc</ability>
      <abilityName>全半角检查</abilityName>
      <candidateList>
        <item>｛</item>
      </candidateList>
      <explain>文本全半角错误。</explain>
      <paraID>53CD40F4</paraID>
      <start>20</start>
      <end>21</end>
      <status>unmodified</status>
      <modifiedWord/>
      <trackRevisions>false</trackRevisions>
    </reviewItem>
    <reviewItem>
      <errorID>e87c38f6-1aaa-47ea-af09-cc7f6eaea1a5</errorID>
      <errorWord>"</errorWord>
      <group>L1_Format</group>
      <groupName>格式问题</groupName>
      <ability>L2_HalfPunc</ability>
      <abilityName>全半角检查</abilityName>
      <candidateList>
        <item>”</item>
      </candidateList>
      <explain>文本全半角错误。</explain>
      <paraID>53CD40F4</paraID>
      <start>30</start>
      <end>31</end>
      <status>unmodified</status>
      <modifiedWord/>
      <trackRevisions>false</trackRevisions>
    </reviewItem>
    <reviewItem>
      <errorID>f60a12c7-8467-454f-961f-97594ad96f9c</errorID>
      <errorWord>"</errorWord>
      <group>L1_Format</group>
      <groupName>格式问题</groupName>
      <ability>L2_HalfPunc</ability>
      <abilityName>全半角检查</abilityName>
      <candidateList>
        <item>“</item>
      </candidateList>
      <explain>文本全半角错误。</explain>
      <paraID>1D72ED20</paraID>
      <start>10</start>
      <end>11</end>
      <status>unmodified</status>
      <modifiedWord/>
      <trackRevisions>false</trackRevisions>
    </reviewItem>
    <reviewItem>
      <errorID>fe93e35b-ec87-4676-92e2-09b8dabda921</errorID>
      <errorWord>（</errorWord>
      <group>L1_Punc</group>
      <groupName>标点问题</groupName>
      <ability>L2_Punc</ability>
      <abilityName>标点符号检查</abilityName>
      <candidateList/>
      <explain>同一形式括号套用。</explain>
      <paraID>1D72ED20</paraID>
      <start>23</start>
      <end>24</end>
      <status>unmodified</status>
      <modifiedWord/>
      <trackRevisions>false</trackRevisions>
    </reviewItem>
    <reviewItem>
      <errorID>a4f4d2cf-f214-425c-acbb-aba60edf8f12</errorID>
      <errorWord>）</errorWord>
      <group>L1_Punc</group>
      <groupName>标点问题</groupName>
      <ability>L2_Punc</ability>
      <abilityName>标点符号检查</abilityName>
      <candidateList/>
      <explain>同一形式括号套用。</explain>
      <paraID>1D72ED20</paraID>
      <start>26</start>
      <end>27</end>
      <status>unmodified</status>
      <modifiedWord/>
      <trackRevisions>false</trackRevisions>
    </reviewItem>
    <reviewItem>
      <errorID>15afb87c-03e3-421a-9a29-e5b3fb764687</errorID>
      <errorWord>...</errorWord>
      <group>L1_Punc</group>
      <groupName>标点问题</groupName>
      <ability>L2_Punc</ability>
      <abilityName>标点符号检查</abilityName>
      <candidateList>
        <item>……</item>
      </candidateList>
      <explain>省略号错误。</explain>
      <paraID>1D72ED20</paraID>
      <start>27</start>
      <end>30</end>
      <status>unmodified</status>
      <modifiedWord/>
      <trackRevisions>false</trackRevisions>
    </reviewItem>
    <reviewItem>
      <errorID>e59b4990-2996-43aa-a5d7-d9c359b0f27e</errorID>
      <errorWord>"</errorWord>
      <group>L1_Format</group>
      <groupName>格式问题</groupName>
      <ability>L2_HalfPunc</ability>
      <abilityName>全半角检查</abilityName>
      <candidateList>
        <item>“</item>
      </candidateList>
      <explain>文本全半角错误。</explain>
      <paraID>3D15E89B</paraID>
      <start>10</start>
      <end>11</end>
      <status>unmodified</status>
      <modifiedWord/>
      <trackRevisions>false</trackRevisions>
    </reviewItem>
    <reviewItem>
      <errorID>0f04cd37-9094-4e47-9fd3-36e4c0f7436b</errorID>
      <errorWord>"</errorWord>
      <group>L1_Format</group>
      <groupName>格式问题</groupName>
      <ability>L2_HalfPunc</ability>
      <abilityName>全半角检查</abilityName>
      <candidateList>
        <item>”</item>
      </candidateList>
      <explain>文本全半角错误。</explain>
      <paraID>3D15E89B</paraID>
      <start>28</start>
      <end>29</end>
      <status>unmodified</status>
      <modifiedWord/>
      <trackRevisions>false</trackRevisions>
    </reviewItem>
    <reviewItem>
      <errorID>53e335c1-7873-458e-8f33-f94f32d86277</errorID>
      <errorWord>"</errorWord>
      <group>L1_Format</group>
      <groupName>格式问题</groupName>
      <ability>L2_HalfPunc</ability>
      <abilityName>全半角检查</abilityName>
      <candidateList/>
      <explain>文本全半角错误。</explain>
      <paraID>34771E97</paraID>
      <start>6</start>
      <end>7</end>
      <status>unmodified</status>
      <modifiedWord/>
      <trackRevisions>false</trackRevisions>
    </reviewItem>
    <reviewItem>
      <errorID>10a130be-e6df-475a-8920-888c6ba21212</errorID>
      <errorWord>"</errorWord>
      <group>L1_Format</group>
      <groupName>格式问题</groupName>
      <ability>L2_HalfPunc</ability>
      <abilityName>全半角检查</abilityName>
      <candidateList>
        <item>”</item>
      </candidateList>
      <explain>文本全半角错误。</explain>
      <paraID>7664CEF1</paraID>
      <start>40</start>
      <end>41</end>
      <status>unmodified</status>
      <modifiedWord/>
      <trackRevisions>false</trackRevisions>
    </reviewItem>
    <reviewItem>
      <errorID>44d99a29-753f-445a-bee3-ce489c5e14bd</errorID>
      <errorWord>[:</errorWord>
      <group>L1_Punc</group>
      <groupName>标点问题</groupName>
      <ability>L2_Punc</ability>
      <abilityName>标点符号检查</abilityName>
      <candidateList>
        <item>[</item>
      </candidateList>
      <explain/>
      <paraID>32C64034</paraID>
      <start>13</start>
      <end>15</end>
      <status>unmodified</status>
      <modifiedWord/>
      <trackRevisions>false</trackRevisions>
    </reviewItem>
    <reviewItem>
      <errorID>dc76761e-26d1-40b8-a741-132e85ee05e4</errorID>
      <errorWord>"</errorWord>
      <group>L1_Format</group>
      <groupName>格式问题</groupName>
      <ability>L2_HalfPunc</ability>
      <abilityName>全半角检查</abilityName>
      <candidateList/>
      <explain>文本全半角错误。</explain>
      <paraID>6CF95445</paraID>
      <start>10</start>
      <end>11</end>
      <status>unmodified</status>
      <modifiedWord/>
      <trackRevisions>false</trackRevisions>
    </reviewItem>
    <reviewItem>
      <errorID>f715f0c0-921b-4665-bb78-a922d775004e</errorID>
      <errorWord>"</errorWord>
      <group>L1_Format</group>
      <groupName>格式问题</groupName>
      <ability>L2_HalfPunc</ability>
      <abilityName>全半角检查</abilityName>
      <candidateList>
        <item>”</item>
      </candidateList>
      <explain>文本全半角错误。</explain>
      <paraID>6CF95445</paraID>
      <start>36</start>
      <end>37</end>
      <status>unmodified</status>
      <modifiedWord/>
      <trackRevisions>false</trackRevisions>
    </reviewItem>
    <reviewItem>
      <errorID>42a9f6c4-e6fb-4238-af19-923e0aac1325</errorID>
      <errorWord>"</errorWord>
      <group>L1_Format</group>
      <groupName>格式问题</groupName>
      <ability>L2_HalfPunc</ability>
      <abilityName>全半角检查</abilityName>
      <candidateList>
        <item>“</item>
      </candidateList>
      <explain>文本全半角错误。</explain>
      <paraID>435794B3</paraID>
      <start>6</start>
      <end>7</end>
      <status>unmodified</status>
      <modifiedWord/>
      <trackRevisions>false</trackRevisions>
    </reviewItem>
    <reviewItem>
      <errorID>f6c621aa-3755-4d4c-9de4-97049b1a7933</errorID>
      <errorWord>"</errorWord>
      <group>L1_Format</group>
      <groupName>格式问题</groupName>
      <ability>L2_HalfPunc</ability>
      <abilityName>全半角检查</abilityName>
      <candidateList>
        <item>”</item>
      </candidateList>
      <explain>文本全半角错误。</explain>
      <paraID>435794B3</paraID>
      <start>23</start>
      <end>24</end>
      <status>unmodified</status>
      <modifiedWord/>
      <trackRevisions>false</trackRevisions>
    </reviewItem>
    <reviewItem>
      <errorID>f3e5e198-0094-45cd-99c4-6a20704d068f</errorID>
      <errorWord>"</errorWord>
      <group>L1_Format</group>
      <groupName>格式问题</groupName>
      <ability>L2_HalfPunc</ability>
      <abilityName>全半角检查</abilityName>
      <candidateList/>
      <explain>文本全半角错误。</explain>
      <paraID>56DF8651</paraID>
      <start>6</start>
      <end>7</end>
      <status>unmodified</status>
      <modifiedWord/>
      <trackRevisions>false</trackRevisions>
    </reviewItem>
    <reviewItem>
      <errorID>dd1c2ed4-411f-4c51-bc32-02376a9116e9</errorID>
      <errorWord>[:</errorWord>
      <group>L1_Punc</group>
      <groupName>标点问题</groupName>
      <ability>L2_Punc</ability>
      <abilityName>标点符号检查</abilityName>
      <candidateList>
        <item>[</item>
      </candidateList>
      <explain/>
      <paraID>737B7ACD</paraID>
      <start>13</start>
      <end>15</end>
      <status>unmodified</status>
      <modifiedWord/>
      <trackRevisions>false</trackRevisions>
    </reviewItem>
    <reviewItem>
      <errorID>47a01d88-9ba5-46b8-aaeb-ce16507da85c</errorID>
      <errorWord>[:</errorWord>
      <group>L1_Punc</group>
      <groupName>标点问题</groupName>
      <ability>L2_Punc</ability>
      <abilityName>标点符号检查</abilityName>
      <candidateList>
        <item>[</item>
      </candidateList>
      <explain/>
      <paraID>3C7B0B9C</paraID>
      <start>13</start>
      <end>15</end>
      <status>unmodified</status>
      <modifiedWord/>
      <trackRevisions>false</trackRevisions>
    </reviewItem>
    <reviewItem>
      <errorID>5e781a7d-ecb9-4f4b-ab5b-07177a20ba76</errorID>
      <errorWord>[:</errorWord>
      <group>L1_Punc</group>
      <groupName>标点问题</groupName>
      <ability>L2_Punc</ability>
      <abilityName>标点符号检查</abilityName>
      <candidateList>
        <item>[</item>
      </candidateList>
      <explain/>
      <paraID>1341CF4E</paraID>
      <start>13</start>
      <end>15</end>
      <status>unmodified</status>
      <modifiedWord/>
      <trackRevisions>false</trackRevisions>
    </reviewItem>
    <reviewItem>
      <errorID>f510c1df-9cdf-4ec8-bdbf-03e91dbfa78e</errorID>
      <errorWord>[:</errorWord>
      <group>L1_Punc</group>
      <groupName>标点问题</groupName>
      <ability>L2_Punc</ability>
      <abilityName>标点符号检查</abilityName>
      <candidateList>
        <item>[</item>
      </candidateList>
      <explain/>
      <paraID>40924B47</paraID>
      <start>23</start>
      <end>25</end>
      <status>unmodified</status>
      <modifiedWord/>
      <trackRevisions>false</trackRevisions>
    </reviewItem>
    <reviewItem>
      <errorID>45dc6eb8-aead-42f2-b9fb-189deeb45e6b</errorID>
      <errorWord>,:</errorWord>
      <group>L1_Punc</group>
      <groupName>标点问题</groupName>
      <ability>L2_Punc</ability>
      <abilityName>标点符号检查</abilityName>
      <candidateList>
        <item>,</item>
      </candidateList>
      <explain/>
      <paraID>40924B47</paraID>
      <start>28</start>
      <end>30</end>
      <status>unmodified</status>
      <modifiedWord/>
      <trackRevisions>false</trackRevisions>
    </reviewItem>
    <reviewItem>
      <errorID>69b2132c-60dd-4ce7-b299-f70a5371dc29</errorID>
      <errorWord>:,</errorWord>
      <group>L1_Punc</group>
      <groupName>标点问题</groupName>
      <ability>L2_Punc</ability>
      <abilityName>标点符号检查</abilityName>
      <candidateList>
        <item>:</item>
      </candidateList>
      <explain/>
      <paraID>40924B47</paraID>
      <start>42</start>
      <end>44</end>
      <status>unmodified</status>
      <modifiedWord/>
      <trackRevisions>false</trackRevisions>
    </reviewItem>
    <reviewItem>
      <errorID>6833ba8f-b848-4618-9bc2-d21251cb4d19</errorID>
      <errorWord>[:</errorWord>
      <group>L1_Punc</group>
      <groupName>标点问题</groupName>
      <ability>L2_Punc</ability>
      <abilityName>标点符号检查</abilityName>
      <candidateList>
        <item>[</item>
      </candidateList>
      <explain/>
      <paraID>40924B47</paraID>
      <start>53</start>
      <end>55</end>
      <status>unmodified</status>
      <modifiedWord/>
      <trackRevisions>false</trackRevisions>
    </reviewItem>
    <reviewItem>
      <errorID>3dd81a5e-9fe6-4c22-a278-93189b5c142c</errorID>
      <errorWord>:,:</errorWord>
      <group>L1_Punc</group>
      <groupName>标点问题</groupName>
      <ability>L2_Punc</ability>
      <abilityName>标点符号检查</abilityName>
      <candidateList>
        <item>:</item>
      </candidateList>
      <explain/>
      <paraID>40924B47</paraID>
      <start>72</start>
      <end>75</end>
      <status>unmodified</status>
      <modifiedWord/>
      <trackRevisions>false</trackRevisions>
    </reviewItem>
    <reviewItem>
      <errorID>a1e0cdd8-8424-4d4f-ba0d-0c788b3e32ad</errorID>
      <errorWord>,</errorWord>
      <group>L1_Format</group>
      <groupName>格式问题</groupName>
      <ability>L2_HalfPunc</ability>
      <abilityName>全半角检查</abilityName>
      <candidateList>
        <item>，</item>
      </candidateList>
      <explain>文本全半角错误。</explain>
      <paraID>1775E566</paraID>
      <start>13</start>
      <end>14</end>
      <status>unmodified</status>
      <modifiedWord/>
      <trackRevisions>false</trackRevisions>
    </reviewItem>
    <reviewItem>
      <errorID>2d6706c3-75c0-4ce9-bf8d-72f3a9d8c7c6</errorID>
      <errorWord>"</errorWord>
      <group>L1_Format</group>
      <groupName>格式问题</groupName>
      <ability>L2_HalfPunc</ability>
      <abilityName>全半角检查</abilityName>
      <candidateList>
        <item>”</item>
      </candidateList>
      <explain>文本全半角错误。</explain>
      <paraID>  11BB62</paraID>
      <start>2</start>
      <end>3</end>
      <status>unmodified</status>
      <modifiedWord/>
      <trackRevisions>false</trackRevisions>
    </reviewItem>
    <reviewItem>
      <errorID>58de80f5-5d91-460e-b4f6-4b90b74af981</errorID>
      <errorWord>:</errorWord>
      <group>L1_Format</group>
      <groupName>格式问题</groupName>
      <ability>L2_HalfPunc</ability>
      <abilityName>全半角检查</abilityName>
      <candidateList>
        <item>：</item>
      </candidateList>
      <explain>文本全半角错误。</explain>
      <paraID>  11BB62</paraID>
      <start>19</start>
      <end>20</end>
      <status>unmodified</status>
      <modifiedWord/>
      <trackRevisions>false</trackRevisions>
    </reviewItem>
    <reviewItem>
      <errorID>b40d5f89-700c-45f1-83a0-b30609febd01</errorID>
      <errorWord>:</errorWord>
      <group>L1_Format</group>
      <groupName>格式问题</groupName>
      <ability>L2_HalfPunc</ability>
      <abilityName>全半角检查</abilityName>
      <candidateList>
        <item>：</item>
      </candidateList>
      <explain>文本全半角错误。</explain>
      <paraID>  11BB62</paraID>
      <start>58</start>
      <end>59</end>
      <status>unmodified</status>
      <modifiedWord/>
      <trackRevisions>false</trackRevisions>
    </reviewItem>
    <reviewItem>
      <errorID>491a8908-090c-48e6-bfe6-93e41610e110</errorID>
      <errorWord>[:</errorWord>
      <group>L1_Punc</group>
      <groupName>标点问题</groupName>
      <ability>L2_Punc</ability>
      <abilityName>标点符号检查</abilityName>
      <candidateList>
        <item>[</item>
      </candidateList>
      <explain/>
      <paraID>4E67ED32</paraID>
      <start>17</start>
      <end>19</end>
      <status>unmodified</status>
      <modifiedWord/>
      <trackRevisions>false</trackRevisions>
    </reviewItem>
    <reviewItem>
      <errorID>11dd0b08-ac50-4b01-a011-ed81dc6f09a3</errorID>
      <errorWord>[:</errorWord>
      <group>L1_Punc</group>
      <groupName>标点问题</groupName>
      <ability>L2_Punc</ability>
      <abilityName>标点符号检查</abilityName>
      <candidateList>
        <item>[</item>
      </candidateList>
      <explain/>
      <paraID>1C84E357</paraID>
      <start>17</start>
      <end>19</end>
      <status>unmodified</status>
      <modifiedWord/>
      <trackRevisions>false</trackRevisions>
    </reviewItem>
    <reviewItem>
      <errorID>3811eb2f-328c-4f5c-bd9b-a1434c5d6cd0</errorID>
      <errorWord>[:</errorWord>
      <group>L1_Punc</group>
      <groupName>标点问题</groupName>
      <ability>L2_Punc</ability>
      <abilityName>标点符号检查</abilityName>
      <candidateList>
        <item>[</item>
      </candidateList>
      <explain/>
      <paraID>7D696093</paraID>
      <start>48</start>
      <end>50</end>
      <status>unmodified</status>
      <modifiedWord/>
      <trackRevisions>false</trackRevisions>
    </reviewItem>
    <reviewItem>
      <errorID>7c16a953-0b74-4ca1-904c-3d52f1ba0800</errorID>
      <errorWord>[:</errorWord>
      <group>L1_Punc</group>
      <groupName>标点问题</groupName>
      <ability>L2_Punc</ability>
      <abilityName>标点符号检查</abilityName>
      <candidateList>
        <item>[</item>
      </candidateList>
      <explain/>
      <paraID>4EAAF458</paraID>
      <start>20</start>
      <end>22</end>
      <status>unmodified</status>
      <modifiedWord/>
      <trackRevisions>false</trackRevisions>
    </reviewItem>
    <reviewItem>
      <errorID>f925be49-44d3-4b1f-9860-261a27fcaacf</errorID>
      <errorWord>:,</errorWord>
      <group>L1_Punc</group>
      <groupName>标点问题</groupName>
      <ability>L2_Punc</ability>
      <abilityName>标点符号检查</abilityName>
      <candidateList>
        <item>:</item>
      </candidateList>
      <explain/>
      <paraID>4EAAF458</paraID>
      <start>24</start>
      <end>26</end>
      <status>unmodified</status>
      <modifiedWord/>
      <trackRevisions>false</trackRevisions>
    </reviewItem>
    <reviewItem>
      <errorID>dd7d6be8-2e3b-44a8-9bde-6cd7951b002e</errorID>
      <errorWord>[:</errorWord>
      <group>L1_Punc</group>
      <groupName>标点问题</groupName>
      <ability>L2_Punc</ability>
      <abilityName>标点符号检查</abilityName>
      <candidateList>
        <item>[</item>
      </candidateList>
      <explain/>
      <paraID>2C2985FD</paraID>
      <start>34</start>
      <end>36</end>
      <status>unmodified</status>
      <modifiedWord/>
      <trackRevisions>false</trackRevisions>
    </reviewItem>
    <reviewItem>
      <errorID>1f9aa3fb-15d7-432f-80c5-dfa25a19b9c0</errorID>
      <errorWord>:,</errorWord>
      <group>L1_Punc</group>
      <groupName>标点问题</groupName>
      <ability>L2_Punc</ability>
      <abilityName>标点符号检查</abilityName>
      <candidateList>
        <item>:</item>
      </candidateList>
      <explain/>
      <paraID>2C2985FD</paraID>
      <start>38</start>
      <end>40</end>
      <status>unmodified</status>
      <modifiedWord/>
      <trackRevisions>false</trackRevisions>
    </reviewItem>
    <reviewItem>
      <errorID>354ada97-39b4-4465-839d-43f8914db6f1</errorID>
      <errorWord>"</errorWord>
      <group>L1_Format</group>
      <groupName>格式问题</groupName>
      <ability>L2_HalfPunc</ability>
      <abilityName>全半角检查</abilityName>
      <candidateList>
        <item>”</item>
      </candidateList>
      <explain>文本全半角错误。</explain>
      <paraID>3B802C4A</paraID>
      <start>30</start>
      <end>31</end>
      <status>unmodified</status>
      <modifiedWord/>
      <trackRevisions>false</trackRevisions>
    </reviewItem>
    <reviewItem>
      <errorID>ea0dd21a-33a4-442e-bdc1-c53e68ce1585</errorID>
      <errorWord>"</errorWord>
      <group>L1_Format</group>
      <groupName>格式问题</groupName>
      <ability>L2_HalfPunc</ability>
      <abilityName>全半角检查</abilityName>
      <candidateList/>
      <explain>文本全半角错误。</explain>
      <paraID>2127DB35</paraID>
      <start>6</start>
      <end>7</end>
      <status>unmodified</status>
      <modifiedWord/>
      <trackRevisions>false</trackRevisions>
    </reviewItem>
    <reviewItem>
      <errorID>43ee5caa-b243-4fb6-826b-ee4cfcc379d6</errorID>
      <errorWord>"</errorWord>
      <group>L1_Format</group>
      <groupName>格式问题</groupName>
      <ability>L2_HalfPunc</ability>
      <abilityName>全半角检查</abilityName>
      <candidateList>
        <item>”</item>
      </candidateList>
      <explain>文本全半角错误。</explain>
      <paraID>2127DB35</paraID>
      <start>34</start>
      <end>35</end>
      <status>unmodified</status>
      <modifiedWord/>
      <trackRevisions>false</trackRevisions>
    </reviewItem>
    <reviewItem>
      <errorID>31c98350-451c-424f-ac41-29c337cac18f</errorID>
      <errorWord>[:</errorWord>
      <group>L1_Punc</group>
      <groupName>标点问题</groupName>
      <ability>L2_Punc</ability>
      <abilityName>标点符号检查</abilityName>
      <candidateList>
        <item>[</item>
      </candidateList>
      <explain/>
      <paraID>12387D08</paraID>
      <start>17</start>
      <end>19</end>
      <status>unmodified</status>
      <modifiedWord/>
      <trackRevisions>false</trackRevisions>
    </reviewItem>
    <reviewItem>
      <errorID>77adef74-369d-4e76-bd1e-a936919cd983</errorID>
      <errorWord>'</errorWord>
      <group>L1_Format</group>
      <groupName>格式问题</groupName>
      <ability>L2_HalfPunc</ability>
      <abilityName>全半角检查</abilityName>
      <candidateList/>
      <explain>文本全半角错误。</explain>
      <paraID>6B088384</paraID>
      <start>13</start>
      <end>14</end>
      <status>unmodified</status>
      <modifiedWord/>
      <trackRevisions>false</trackRevisions>
    </reviewItem>
    <reviewItem>
      <errorID>b6dbb2d9-4403-4cd9-b051-b2c718fefe08</errorID>
      <errorWord>'</errorWord>
      <group>L1_Format</group>
      <groupName>格式问题</groupName>
      <ability>L2_HalfPunc</ability>
      <abilityName>全半角检查</abilityName>
      <candidateList/>
      <explain>文本全半角错误。</explain>
      <paraID>6B088384</paraID>
      <start>16</start>
      <end>17</end>
      <status>unmodified</status>
      <modifiedWord/>
      <trackRevisions>false</trackRevisions>
    </reviewItem>
    <reviewItem>
      <errorID>0d31742a-23e6-471f-a185-69acc6012769</errorID>
      <errorWord>'</errorWord>
      <group>L1_Format</group>
      <groupName>格式问题</groupName>
      <ability>L2_HalfPunc</ability>
      <abilityName>全半角检查</abilityName>
      <candidateList/>
      <explain>文本全半角错误。</explain>
      <paraID>6B088384</paraID>
      <start>24</start>
      <end>25</end>
      <status>unmodified</status>
      <modifiedWord/>
      <trackRevisions>false</trackRevisions>
    </reviewItem>
    <reviewItem>
      <errorID>68128033-a9ba-467c-90e5-b99d7f257e23</errorID>
      <errorWord>'</errorWord>
      <group>L1_Format</group>
      <groupName>格式问题</groupName>
      <ability>L2_HalfPunc</ability>
      <abilityName>全半角检查</abilityName>
      <candidateList/>
      <explain>文本全半角错误。</explain>
      <paraID>6B088384</paraID>
      <start>27</start>
      <end>28</end>
      <status>unmodified</status>
      <modifiedWord/>
      <trackRevisions>false</trackRevisions>
    </reviewItem>
    <reviewItem>
      <errorID>c03ccb6c-efe3-46c8-9bc6-d14a6e73d2ba</errorID>
      <errorWord>'</errorWord>
      <group>L1_Format</group>
      <groupName>格式问题</groupName>
      <ability>L2_HalfPunc</ability>
      <abilityName>全半角检查</abilityName>
      <candidateList/>
      <explain>文本全半角错误。</explain>
      <paraID>17B102BB</paraID>
      <start>13</start>
      <end>14</end>
      <status>unmodified</status>
      <modifiedWord/>
      <trackRevisions>false</trackRevisions>
    </reviewItem>
    <reviewItem>
      <errorID>1094ad65-cfc0-45de-adb9-265327e630fd</errorID>
      <errorWord>'</errorWord>
      <group>L1_Format</group>
      <groupName>格式问题</groupName>
      <ability>L2_HalfPunc</ability>
      <abilityName>全半角检查</abilityName>
      <candidateList/>
      <explain>文本全半角错误。</explain>
      <paraID>17B102BB</paraID>
      <start>16</start>
      <end>17</end>
      <status>unmodified</status>
      <modifiedWord/>
      <trackRevisions>false</trackRevisions>
    </reviewItem>
    <reviewItem>
      <errorID>40526a91-8a74-4102-b013-a9ffe5e56b68</errorID>
      <errorWord>'</errorWord>
      <group>L1_Format</group>
      <groupName>格式问题</groupName>
      <ability>L2_HalfPunc</ability>
      <abilityName>全半角检查</abilityName>
      <candidateList/>
      <explain>文本全半角错误。</explain>
      <paraID>17B102BB</paraID>
      <start>24</start>
      <end>25</end>
      <status>unmodified</status>
      <modifiedWord/>
      <trackRevisions>false</trackRevisions>
    </reviewItem>
    <reviewItem>
      <errorID>56c4bf27-c17d-417d-af74-1d136cfa4312</errorID>
      <errorWord>'</errorWord>
      <group>L1_Format</group>
      <groupName>格式问题</groupName>
      <ability>L2_HalfPunc</ability>
      <abilityName>全半角检查</abilityName>
      <candidateList/>
      <explain>文本全半角错误。</explain>
      <paraID>17B102BB</paraID>
      <start>27</start>
      <end>28</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8169AC5-945C-4B9F-B4AF-61AC119681BD}">
  <ds:schemaRefs/>
</ds:datastoreItem>
</file>

<file path=docProps/app.xml><?xml version="1.0" encoding="utf-8"?>
<Properties xmlns="http://schemas.openxmlformats.org/officeDocument/2006/extended-properties" xmlns:vt="http://schemas.openxmlformats.org/officeDocument/2006/docPropsVTypes">
  <Template>Normal</Template>
  <Pages>52</Pages>
  <Words>145</Words>
  <Characters>261</Characters>
  <Lines>2755</Lines>
  <Paragraphs>2472</Paragraphs>
  <TotalTime>7</TotalTime>
  <ScaleCrop>false</ScaleCrop>
  <LinksUpToDate>false</LinksUpToDate>
  <CharactersWithSpaces>428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2026-04-12T03:28:00Z</dcterms:created>
  <dc:creator>Un-named</dc:creator>
  <cp:lastModifiedBy>滕燈</cp:lastModifiedBy>
  <dcterms:modified xsi:type="dcterms:W3CDTF">2026-06-09T06:40:46Z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eyJoZGlkIjoiZmViYTEwZmVkZmRhNjMwNmQ0YmZhNGMzZDJiNzFhMzgiLCJ1c2VySWQiOiI4MTQyMTE2NjcifQ==</vt:lpwstr>
  </property>
  <property fmtid="{D5CDD505-2E9C-101B-9397-08002B2CF9AE}" pid="4" name="KSOProductBuildVer">
    <vt:lpwstr>2052-12.1.0.26375</vt:lpwstr>
  </property>
  <property fmtid="{D5CDD505-2E9C-101B-9397-08002B2CF9AE}" pid="5" name="ICV">
    <vt:lpwstr>19262495586D4BF6A9F0D9CBDB99C248_13</vt:lpwstr>
  </property>
  <property fmtid="{D5CDD505-2E9C-101B-9397-08002B2CF9AE}" pid="6" name="ZOTERO_PREF_1">
    <vt:lpwstr>&lt;data data-version="3" zotero-version="7.0.32"&gt;&lt;session id="vprFph5h"/&gt;&lt;style id="http://www.zotero.org/styles/china-national-standard-gb-t-7714-2015-numeric" hasBibliography="1" bibliographyStyleHasBeenSet="1"/&gt;&lt;prefs&gt;&lt;pref name="fieldType" value="Field"</vt:lpwstr>
  </property>
  <property fmtid="{D5CDD505-2E9C-101B-9397-08002B2CF9AE}" pid="7" name="ZOTERO_PREF_2">
    <vt:lpwstr>/&gt;&lt;/prefs&gt;&lt;/data&gt;</vt:lpwstr>
  </property>
  <property fmtid="{D5CDD505-2E9C-101B-9397-08002B2CF9AE}" pid="8" name="MTEquationNumber2">
    <vt:lpwstr>(#C1-#E1)</vt:lpwstr>
  </property>
  <property fmtid="{D5CDD505-2E9C-101B-9397-08002B2CF9AE}" pid="9" name="MTDeferFieldUpdate">
    <vt:lpwstr>1</vt:lpwstr>
  </property>
  <property fmtid="{D5CDD505-2E9C-101B-9397-08002B2CF9AE}" pid="10" name="MTEquationSection">
    <vt:lpwstr>1</vt:lpwstr>
  </property>
</Properties>
</file>