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E409D">
      <w:pPr>
        <w:pStyle w:val="2"/>
        <w:spacing w:after="200"/>
        <w:jc w:val="center"/>
      </w:pPr>
      <w:r>
        <w:t>任务分工与时间规划</w:t>
      </w:r>
    </w:p>
    <w:p w14:paraId="39394AC6">
      <w:pPr>
        <w:pStyle w:val="3"/>
        <w:spacing w:after="200"/>
        <w:jc w:val="left"/>
      </w:pPr>
      <w:r>
        <w:t>二、修正后的完整任务分工与时间规划</w:t>
      </w:r>
    </w:p>
    <w:p w14:paraId="6FA68D45">
      <w:pPr>
        <w:spacing w:after="120"/>
        <w:jc w:val="left"/>
      </w:pPr>
      <w:r>
        <w:rPr>
          <w:b/>
          <w:bCs/>
        </w:rPr>
        <w:t>协作机制</w:t>
      </w:r>
      <w:r>
        <w:t>：每日晚8点左右召开15分钟同步会，当日产出上传共享文件夹，总负责人负责数据对齐与最终集成。</w:t>
      </w:r>
    </w:p>
    <w:p w14:paraId="29DF1EB1">
      <w:pPr>
        <w:pStyle w:val="3"/>
        <w:spacing w:after="200"/>
        <w:jc w:val="left"/>
      </w:pPr>
      <w:r>
        <w:t>一、最终任务分工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67"/>
        <w:gridCol w:w="1314"/>
        <w:gridCol w:w="4232"/>
        <w:gridCol w:w="2553"/>
      </w:tblGrid>
      <w:tr w14:paraId="0254E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E425061">
            <w:pPr>
              <w:jc w:val="left"/>
            </w:pPr>
            <w:r>
              <w:rPr>
                <w:b/>
                <w:bCs/>
              </w:rPr>
              <w:t>成员</w:t>
            </w:r>
          </w:p>
        </w:tc>
        <w:tc>
          <w:p w14:paraId="0A4E83C7">
            <w:pPr>
              <w:jc w:val="left"/>
            </w:pPr>
            <w:r>
              <w:rPr>
                <w:b/>
                <w:bCs/>
              </w:rPr>
              <w:t>角色</w:t>
            </w:r>
          </w:p>
        </w:tc>
        <w:tc>
          <w:p w14:paraId="65C0B643">
            <w:pPr>
              <w:jc w:val="left"/>
            </w:pPr>
            <w:r>
              <w:rPr>
                <w:b/>
                <w:bCs/>
              </w:rPr>
              <w:t>核心任务</w:t>
            </w:r>
          </w:p>
        </w:tc>
        <w:tc>
          <w:p w14:paraId="66157102">
            <w:pPr>
              <w:jc w:val="left"/>
            </w:pPr>
            <w:r>
              <w:rPr>
                <w:b/>
                <w:bCs/>
              </w:rPr>
              <w:t>关键交付物</w:t>
            </w:r>
          </w:p>
        </w:tc>
      </w:tr>
      <w:tr w14:paraId="055FA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9C432FF">
            <w:pPr>
              <w:jc w:val="left"/>
            </w:pPr>
            <w:r>
              <w:t>总负责人（统计）</w:t>
            </w:r>
          </w:p>
        </w:tc>
        <w:tc>
          <w:p w14:paraId="41E17323">
            <w:pPr>
              <w:jc w:val="left"/>
            </w:pPr>
            <w:r>
              <w:t>技术核心、建模、集成</w:t>
            </w:r>
          </w:p>
        </w:tc>
        <w:tc>
          <w:p w14:paraId="0B1285CE">
            <w:pPr>
              <w:jc w:val="left"/>
            </w:pPr>
            <w:r>
              <w:t xml:space="preserve">① ResNet+PCA遥感异常检测 ② 方差最大化赋权法GWI构建 ③ </w:t>
            </w:r>
            <w:r>
              <w:rPr>
                <w:b/>
                <w:bCs/>
              </w:rPr>
              <w:t>9组多模态融合建模与对比</w:t>
            </w:r>
            <w:r>
              <w:t xml:space="preserve"> ④ SHAP可解释性分析 ⑤ 交互式沙盘开发（含雷达图/热力图/导出功能） ⑥ 统稿与学术把关</w:t>
            </w:r>
          </w:p>
        </w:tc>
        <w:tc>
          <w:p w14:paraId="5813B81B">
            <w:pPr>
              <w:jc w:val="left"/>
            </w:pPr>
            <w:r>
              <w:t>融合数据集、模型文件、沙盘程序（exe+源码）、申报书终稿</w:t>
            </w:r>
          </w:p>
        </w:tc>
      </w:tr>
      <w:tr w14:paraId="6A79B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D2802C2">
            <w:pPr>
              <w:jc w:val="left"/>
            </w:pPr>
            <w:r>
              <w:t>会计A</w:t>
            </w:r>
          </w:p>
        </w:tc>
        <w:tc>
          <w:p w14:paraId="1FE27B3B">
            <w:pPr>
              <w:ind w:left="0" w:leftChars="0" w:firstLine="0" w:firstLineChars="0"/>
              <w:jc w:val="left"/>
            </w:pPr>
            <w:r>
              <w:t>财务专家</w:t>
            </w:r>
          </w:p>
        </w:tc>
        <w:tc>
          <w:p w14:paraId="23551D37">
            <w:pPr>
              <w:jc w:val="left"/>
            </w:pPr>
            <w:r>
              <w:t>① 通过Tushare爬取60家企业2019-2021年财务数据 ② 计算12个违约预警指标 ③ 构建2022-2025年违约标签（ST/债券违约）</w:t>
            </w:r>
          </w:p>
        </w:tc>
        <w:tc>
          <w:p w14:paraId="30D46BF6">
            <w:pPr>
              <w:jc w:val="left"/>
            </w:pPr>
            <w:r>
              <w:t>财务指标表、违约标签表、财务数据完整性和异常值说明</w:t>
            </w:r>
          </w:p>
        </w:tc>
      </w:tr>
      <w:tr w14:paraId="066BA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2B1A50B">
            <w:pPr>
              <w:jc w:val="left"/>
            </w:pPr>
            <w:r>
              <w:t>会计B</w:t>
            </w:r>
          </w:p>
        </w:tc>
        <w:tc>
          <w:p w14:paraId="57486ADE">
            <w:pPr>
              <w:jc w:val="left"/>
            </w:pPr>
            <w:r>
              <w:t>绿色标准与案例</w:t>
            </w:r>
          </w:p>
        </w:tc>
        <w:tc>
          <w:p w14:paraId="54AECC82">
            <w:pPr>
              <w:jc w:val="left"/>
            </w:pPr>
            <w:r>
              <w:t>① 筛选15家样本外行业标杆企业（独立于60家研究样本） ② 标注50家企业绿色标签 ③ 另选10家已曝光漂绿企业并收集证据资料 ④ 独立测试集GWI验证与模型结果人工校验</w:t>
            </w:r>
          </w:p>
        </w:tc>
        <w:tc>
          <w:p w14:paraId="1893E42E">
            <w:pPr>
              <w:jc w:val="left"/>
            </w:pPr>
            <w:r>
              <w:t>绿色标签表、标杆企业名单及遥感影像说明、独立测试集数据及漂绿证据、校验报告</w:t>
            </w:r>
          </w:p>
        </w:tc>
      </w:tr>
      <w:tr w14:paraId="0284D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E7FC46C">
            <w:pPr>
              <w:jc w:val="left"/>
            </w:pPr>
            <w:r>
              <w:t>经济统计A</w:t>
            </w:r>
          </w:p>
        </w:tc>
        <w:tc>
          <w:p w14:paraId="0941E4E2">
            <w:pPr>
              <w:jc w:val="left"/>
            </w:pPr>
            <w:r>
              <w:t>NLP与文本</w:t>
            </w:r>
          </w:p>
        </w:tc>
        <w:tc>
          <w:p w14:paraId="1EEDAF6D">
            <w:pPr>
              <w:jc w:val="left"/>
            </w:pPr>
            <w:r>
              <w:t xml:space="preserve">① 下载60家企业2019-2021年ESG报告/年报 </w:t>
            </w:r>
            <w:bookmarkStart w:id="0" w:name="_GoBack"/>
            <w:r>
              <w:t xml:space="preserve">② 从非样本企业报告中抽取并标注1000条句子，微调RoBERTa模型（准确率≥92%） </w:t>
            </w:r>
            <w:bookmarkEnd w:id="0"/>
            <w:r>
              <w:t>③ 运行NLP分类流水线，计算文本指标（承诺兑现比、绿色投入强度、负面词频） ④ 撰写文献综述初稿</w:t>
            </w:r>
          </w:p>
        </w:tc>
        <w:tc>
          <w:p w14:paraId="1D6975A4">
            <w:pPr>
              <w:jc w:val="left"/>
            </w:pPr>
            <w:r>
              <w:t>文本特征得分表、微调模型及分类结果、文献综述初稿</w:t>
            </w:r>
          </w:p>
        </w:tc>
      </w:tr>
      <w:tr w14:paraId="5ADEF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2B4F3DC">
            <w:pPr>
              <w:jc w:val="left"/>
            </w:pPr>
            <w:r>
              <w:t>经济统计B</w:t>
            </w:r>
          </w:p>
        </w:tc>
        <w:tc>
          <w:p w14:paraId="2FA37897">
            <w:pPr>
              <w:jc w:val="left"/>
            </w:pPr>
            <w:r>
              <w:t>遥感辅助与可视化</w:t>
            </w:r>
          </w:p>
        </w:tc>
        <w:tc>
          <w:p w14:paraId="750D727D">
            <w:pPr>
              <w:jc w:val="left"/>
            </w:pPr>
            <w:r>
              <w:t>① 下载75家企业（60+15标杆）2019和2021年Sentinel-2夏季影像，QGIS裁剪园区边界 ② 计算NDVI/NDWI均值 ③ 制作全部统计图表（模型对比、SHAP图、案例图、</w:t>
            </w:r>
            <w:r>
              <w:rPr>
                <w:b/>
                <w:bCs/>
              </w:rPr>
              <w:t>行业风险热力图</w:t>
            </w:r>
            <w:r>
              <w:t>等） ④ PPT制作与排版</w:t>
            </w:r>
          </w:p>
        </w:tc>
        <w:tc>
          <w:p w14:paraId="4D04297F">
            <w:pPr>
              <w:jc w:val="left"/>
            </w:pPr>
            <w:r>
              <w:t>遥感影像库（原始+裁剪）、NDVI/NDWI统计表、全部图表、答辩PPT终稿</w:t>
            </w:r>
          </w:p>
        </w:tc>
      </w:tr>
    </w:tbl>
    <w:p w14:paraId="73F9F542">
      <w:pPr>
        <w:spacing w:before="240"/>
        <w:ind w:left="0" w:leftChars="0" w:firstLine="0" w:firstLineChars="0"/>
      </w:pPr>
      <w:r>
        <w:t xml:space="preserve"> </w:t>
      </w:r>
    </w:p>
    <w:p w14:paraId="1478F06D">
      <w:pPr>
        <w:pStyle w:val="3"/>
        <w:spacing w:after="200"/>
        <w:jc w:val="left"/>
      </w:pPr>
      <w:r>
        <w:t>二、37天精确执行规划</w:t>
      </w:r>
    </w:p>
    <w:p w14:paraId="37CF508E">
      <w:pPr>
        <w:pStyle w:val="4"/>
        <w:spacing w:after="200"/>
        <w:jc w:val="left"/>
      </w:pPr>
      <w:r>
        <w:t>第一阶段：数据与基线建立（第1-7天）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3"/>
        <w:gridCol w:w="4378"/>
        <w:gridCol w:w="1459"/>
        <w:gridCol w:w="2626"/>
      </w:tblGrid>
      <w:tr w14:paraId="45A74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B6123D0">
            <w:pPr>
              <w:ind w:left="0" w:leftChars="0" w:firstLine="0" w:firstLineChars="0"/>
              <w:jc w:val="left"/>
            </w:pPr>
            <w:r>
              <w:rPr>
                <w:b/>
                <w:bCs/>
              </w:rPr>
              <w:t>时间</w:t>
            </w:r>
          </w:p>
        </w:tc>
        <w:tc>
          <w:p w14:paraId="3F50A957">
            <w:pPr>
              <w:jc w:val="left"/>
            </w:pPr>
            <w:r>
              <w:rPr>
                <w:b/>
                <w:bCs/>
              </w:rPr>
              <w:t>核心任务</w:t>
            </w:r>
          </w:p>
        </w:tc>
        <w:tc>
          <w:p w14:paraId="62D55BEC">
            <w:pPr>
              <w:jc w:val="left"/>
            </w:pPr>
            <w:r>
              <w:rPr>
                <w:b/>
                <w:bCs/>
              </w:rPr>
              <w:t>负责人</w:t>
            </w:r>
          </w:p>
        </w:tc>
        <w:tc>
          <w:p w14:paraId="7BBBC4F6">
            <w:pPr>
              <w:jc w:val="left"/>
            </w:pPr>
            <w:r>
              <w:rPr>
                <w:b/>
                <w:bCs/>
              </w:rPr>
              <w:t>关键产出</w:t>
            </w:r>
          </w:p>
        </w:tc>
      </w:tr>
      <w:tr w14:paraId="1BBA2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8FF1E78">
            <w:pPr>
              <w:ind w:left="0" w:leftChars="0" w:firstLine="0" w:firstLineChars="0"/>
              <w:jc w:val="left"/>
            </w:pPr>
            <w:r>
              <w:t>Day 1</w:t>
            </w:r>
          </w:p>
        </w:tc>
        <w:tc>
          <w:p w14:paraId="5FA84436">
            <w:pPr>
              <w:ind w:left="0" w:leftChars="0" w:firstLine="0" w:firstLineChars="0"/>
              <w:jc w:val="left"/>
            </w:pPr>
            <w:r>
              <w:t>确定50家建模样本、10家独立测试企业、15家样本外行业标杆名单；分配各成员详细任务，明确交付标准与时间节点</w:t>
            </w:r>
          </w:p>
        </w:tc>
        <w:tc>
          <w:p w14:paraId="2A331B7B">
            <w:pPr>
              <w:ind w:left="0" w:leftChars="0" w:firstLine="0" w:firstLineChars="0"/>
              <w:jc w:val="left"/>
            </w:pPr>
            <w:r>
              <w:t>全员</w:t>
            </w:r>
          </w:p>
        </w:tc>
        <w:tc>
          <w:p w14:paraId="61A6822D">
            <w:pPr>
              <w:ind w:left="0" w:leftChars="0" w:firstLine="0" w:firstLineChars="0"/>
              <w:jc w:val="left"/>
            </w:pPr>
            <w:r>
              <w:t>企业清单（含行业、分组标签、代码），任务分工确认表</w:t>
            </w:r>
          </w:p>
        </w:tc>
      </w:tr>
      <w:tr w14:paraId="7F623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7AFB95A">
            <w:pPr>
              <w:ind w:left="0" w:leftChars="0" w:firstLine="0" w:firstLineChars="0"/>
              <w:jc w:val="left"/>
            </w:pPr>
            <w:r>
              <w:t>Day 2-3</w:t>
            </w:r>
          </w:p>
        </w:tc>
        <w:tc>
          <w:p w14:paraId="20C13EA5">
            <w:pPr>
              <w:ind w:left="0" w:leftChars="0" w:firstLine="0" w:firstLineChars="0"/>
              <w:jc w:val="left"/>
            </w:pPr>
            <w:r>
              <w:t>① 经济统计A/B：下载75家企业2019和2021年Sentinel-2夏季影像（云量&lt;20%），QGIS裁剪园区边界；下载60家企业2019-2021年ESG报告/年报，② 会计A：Tushare爬取60家企业2019-2021年财务数据，③ 会计B：标注50家企业绿色标签，收集10家独立测试企业漂绿资料</w:t>
            </w:r>
          </w:p>
        </w:tc>
        <w:tc>
          <w:p w14:paraId="7B6E2CA8">
            <w:pPr>
              <w:ind w:left="0" w:leftChars="0" w:firstLine="0" w:firstLineChars="0"/>
              <w:jc w:val="left"/>
            </w:pPr>
            <w:r>
              <w:t>经济统计A/B，会计A，会计B</w:t>
            </w:r>
          </w:p>
        </w:tc>
        <w:tc>
          <w:p w14:paraId="15E376D1">
            <w:pPr>
              <w:ind w:left="0" w:leftChars="0" w:firstLine="0" w:firstLineChars="0"/>
              <w:jc w:val="left"/>
            </w:pPr>
            <w:r>
              <w:t>遥感影像库（原始+裁剪）、ESG报告PDF包、财务原始数据表、绿色标签及测试集说明文档</w:t>
            </w:r>
          </w:p>
        </w:tc>
      </w:tr>
      <w:tr w14:paraId="55EFC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21E2AB">
            <w:pPr>
              <w:ind w:left="0" w:leftChars="0" w:firstLine="0" w:firstLineChars="0"/>
              <w:jc w:val="left"/>
            </w:pPr>
            <w:r>
              <w:t>Day 4-5</w:t>
            </w:r>
          </w:p>
        </w:tc>
        <w:tc>
          <w:p w14:paraId="24696E7D">
            <w:pPr>
              <w:jc w:val="left"/>
            </w:pPr>
            <w:r>
              <w:t>① 总负责人：跑通ResNet34特征提取，仅在GWI训练集（35家）上拟合PCA（保留前2个主成分）；基于样本外15家标杆构建行业遥感参照库（计算各行业主成分中心），② 经济统计A：从非样本企业ESG报告中抽取1000条句子并人工标注（承诺/行动/负面），微调RoBERTa模型，验证准确率≥92%，跑通分类流水线</w:t>
            </w:r>
          </w:p>
        </w:tc>
        <w:tc>
          <w:p w14:paraId="3E4F8942">
            <w:pPr>
              <w:ind w:left="0" w:leftChars="0" w:firstLine="0" w:firstLineChars="0"/>
              <w:jc w:val="left"/>
            </w:pPr>
            <w:r>
              <w:t>总负责人，经济统计A</w:t>
            </w:r>
          </w:p>
        </w:tc>
        <w:tc>
          <w:p w14:paraId="11290AB1">
            <w:pPr>
              <w:ind w:left="0" w:leftChars="0" w:firstLine="0" w:firstLineChars="0"/>
              <w:jc w:val="left"/>
            </w:pPr>
            <w:r>
              <w:t>PCA模型文件、行业标杆主成分中心表、NLP微调模型与分类流水线脚本、标注数据集</w:t>
            </w:r>
          </w:p>
        </w:tc>
      </w:tr>
      <w:tr w14:paraId="38C94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AF3164C">
            <w:pPr>
              <w:ind w:left="0" w:leftChars="0" w:firstLine="0" w:firstLineChars="0"/>
              <w:jc w:val="left"/>
            </w:pPr>
            <w:r>
              <w:t>Day 6-7</w:t>
            </w:r>
          </w:p>
        </w:tc>
        <w:tc>
          <w:p w14:paraId="15063739">
            <w:pPr>
              <w:jc w:val="left"/>
            </w:pPr>
            <w:r>
              <w:t>检查所有原始数据完整性（影像、报告、财务），处理缺失值与异常；汇总第一阶段成果，召开阶段总结会，确认进入第二阶段条件</w:t>
            </w:r>
          </w:p>
        </w:tc>
        <w:tc>
          <w:p w14:paraId="63FFB82E">
            <w:pPr>
              <w:jc w:val="left"/>
            </w:pPr>
            <w:r>
              <w:t>全员</w:t>
            </w:r>
          </w:p>
        </w:tc>
        <w:tc>
          <w:p w14:paraId="5C275BCE">
            <w:pPr>
              <w:jc w:val="left"/>
            </w:pPr>
            <w:r>
              <w:t>数据完整性检查报告、第一阶段总结纪要、缺失数据补采及处理方案</w:t>
            </w:r>
          </w:p>
        </w:tc>
      </w:tr>
    </w:tbl>
    <w:p w14:paraId="25A39FFB">
      <w:pPr>
        <w:spacing w:before="240"/>
      </w:pPr>
      <w:r>
        <w:t xml:space="preserve"> </w:t>
      </w:r>
    </w:p>
    <w:p w14:paraId="12E75F42">
      <w:pPr>
        <w:pStyle w:val="4"/>
        <w:spacing w:after="200"/>
        <w:jc w:val="left"/>
      </w:pPr>
      <w:r>
        <w:t>第二阶段：核心指标攻坚（第8-14天）</w:t>
      </w:r>
    </w:p>
    <w:p w14:paraId="7EAEC381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12"/>
        <w:gridCol w:w="4405"/>
        <w:gridCol w:w="1216"/>
        <w:gridCol w:w="2733"/>
      </w:tblGrid>
      <w:tr w14:paraId="48C9B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4E091CB">
            <w:pPr>
              <w:jc w:val="left"/>
            </w:pPr>
            <w:r>
              <w:rPr>
                <w:b/>
                <w:bCs/>
              </w:rPr>
              <w:t>时间</w:t>
            </w:r>
          </w:p>
        </w:tc>
        <w:tc>
          <w:p w14:paraId="1C977C3E">
            <w:pPr>
              <w:jc w:val="left"/>
            </w:pPr>
            <w:r>
              <w:rPr>
                <w:b/>
                <w:bCs/>
              </w:rPr>
              <w:t>核心任务</w:t>
            </w:r>
          </w:p>
        </w:tc>
        <w:tc>
          <w:p w14:paraId="12E388FE">
            <w:pPr>
              <w:jc w:val="left"/>
            </w:pPr>
            <w:r>
              <w:rPr>
                <w:b/>
                <w:bCs/>
              </w:rPr>
              <w:t>负责人</w:t>
            </w:r>
          </w:p>
        </w:tc>
        <w:tc>
          <w:p w14:paraId="6F22D43B">
            <w:pPr>
              <w:jc w:val="left"/>
            </w:pPr>
            <w:r>
              <w:rPr>
                <w:b/>
                <w:bCs/>
              </w:rPr>
              <w:t>关键产出</w:t>
            </w:r>
          </w:p>
        </w:tc>
      </w:tr>
      <w:tr w14:paraId="6F62C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CF12335">
            <w:pPr>
              <w:jc w:val="left"/>
            </w:pPr>
            <w:r>
              <w:t>Day 8-10</w:t>
            </w:r>
          </w:p>
        </w:tc>
        <w:tc>
          <w:p w14:paraId="45327B73">
            <w:pPr>
              <w:jc w:val="left"/>
            </w:pPr>
            <w:r>
              <w:t>① 会计A：计算12个财务预警指标（Z-score等），构建2022-2025年违约标签（ST/债券违约），完成数据质量校验，② 经济统计A：对60家企业ESG报告/年报运行NLP分类流水线，输出承诺兑现比、绿色投入强度、负面词频三个文本指标</w:t>
            </w:r>
          </w:p>
        </w:tc>
        <w:tc>
          <w:p w14:paraId="56440B59">
            <w:pPr>
              <w:jc w:val="left"/>
            </w:pPr>
            <w:r>
              <w:t>会计A，经济统计A</w:t>
            </w:r>
          </w:p>
        </w:tc>
        <w:tc>
          <w:p w14:paraId="7DACE968">
            <w:pPr>
              <w:jc w:val="left"/>
            </w:pPr>
            <w:r>
              <w:t>财务指标表（含计算公式和异常处理）、违约标签表、文本特征得分表</w:t>
            </w:r>
          </w:p>
        </w:tc>
      </w:tr>
      <w:tr w14:paraId="45476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8CAE6C">
            <w:pPr>
              <w:jc w:val="left"/>
            </w:pPr>
            <w:r>
              <w:t>Day 11-12</w:t>
            </w:r>
          </w:p>
        </w:tc>
        <w:tc>
          <w:p w14:paraId="591DE0E5">
            <w:pPr>
              <w:jc w:val="left"/>
            </w:pPr>
            <w:r>
              <w:t>总负责人：计算所有企业遥感偏离度（横向马氏距离与行业标杆库比对，纵向余弦相似度自比），横向得分Min-Max归一化后等权合成遥感偏离度；将文本、遥感、财务三源数据按企业代码对齐，形成融合数据集</w:t>
            </w:r>
          </w:p>
        </w:tc>
        <w:tc>
          <w:p w14:paraId="6FE56383">
            <w:pPr>
              <w:jc w:val="left"/>
            </w:pPr>
            <w:r>
              <w:t>总负责人</w:t>
            </w:r>
          </w:p>
        </w:tc>
        <w:tc>
          <w:p w14:paraId="0380AFA9">
            <w:pPr>
              <w:jc w:val="left"/>
            </w:pPr>
            <w:r>
              <w:t>遥感偏离度计算明细表、融合数据集（含所有特征，按训练/验证/测试划分）</w:t>
            </w:r>
          </w:p>
        </w:tc>
      </w:tr>
      <w:tr w14:paraId="5C2DE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B77A9F4">
            <w:pPr>
              <w:jc w:val="left"/>
            </w:pPr>
            <w:r>
              <w:t>Day 13-14</w:t>
            </w:r>
          </w:p>
        </w:tc>
        <w:tc>
          <w:p w14:paraId="6375BD19">
            <w:pPr>
              <w:jc w:val="left"/>
            </w:pPr>
            <w:r>
              <w:t>① 总负责人：基于GWI训练集35家，用</w:t>
            </w:r>
            <w:r>
              <w:rPr>
                <w:b/>
                <w:bCs/>
              </w:rPr>
              <w:t>方差最大化赋权法</w:t>
            </w:r>
            <w:r>
              <w:t>确定GWI权重，合成漂绿嫌疑综合指数（GWI）；同时计算等权法GWI作为稳健性对照，② 会计B：在10家独立测试集上验证GWI识别准确率（阈值划分与等级评定），输出验证报告</w:t>
            </w:r>
          </w:p>
        </w:tc>
        <w:tc>
          <w:p w14:paraId="5D1A284F">
            <w:pPr>
              <w:jc w:val="left"/>
            </w:pPr>
            <w:r>
              <w:t>总负责人，会计B</w:t>
            </w:r>
          </w:p>
        </w:tc>
        <w:tc>
          <w:p w14:paraId="57AE14A7">
            <w:pPr>
              <w:jc w:val="left"/>
            </w:pPr>
            <w:r>
              <w:t>GWI权重表、GWI得分表（含训练集/验证集/测试集）、等权法对照表、独立测试集验证报告</w:t>
            </w:r>
          </w:p>
        </w:tc>
      </w:tr>
    </w:tbl>
    <w:p w14:paraId="205A0773">
      <w:pPr>
        <w:spacing w:before="240"/>
      </w:pPr>
      <w:r>
        <w:t xml:space="preserve"> </w:t>
      </w:r>
    </w:p>
    <w:p w14:paraId="7A421576">
      <w:pPr>
        <w:pStyle w:val="4"/>
        <w:spacing w:after="200"/>
        <w:jc w:val="left"/>
      </w:pPr>
      <w:r>
        <w:t>第三阶段：建模与深度分析（第15-24天）</w:t>
      </w:r>
    </w:p>
    <w:p w14:paraId="3D64F3F8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19"/>
        <w:gridCol w:w="4594"/>
        <w:gridCol w:w="1378"/>
        <w:gridCol w:w="2375"/>
      </w:tblGrid>
      <w:tr w14:paraId="19A4A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8A73CED">
            <w:pPr>
              <w:jc w:val="left"/>
            </w:pPr>
            <w:r>
              <w:rPr>
                <w:b/>
                <w:bCs/>
              </w:rPr>
              <w:t>时间</w:t>
            </w:r>
          </w:p>
        </w:tc>
        <w:tc>
          <w:p w14:paraId="72864561">
            <w:pPr>
              <w:jc w:val="left"/>
            </w:pPr>
            <w:r>
              <w:rPr>
                <w:b/>
                <w:bCs/>
              </w:rPr>
              <w:t>核心任务</w:t>
            </w:r>
          </w:p>
        </w:tc>
        <w:tc>
          <w:p w14:paraId="765540C8">
            <w:pPr>
              <w:jc w:val="left"/>
            </w:pPr>
            <w:r>
              <w:rPr>
                <w:b/>
                <w:bCs/>
              </w:rPr>
              <w:t>负责人</w:t>
            </w:r>
          </w:p>
        </w:tc>
        <w:tc>
          <w:p w14:paraId="0B318E3F">
            <w:pPr>
              <w:jc w:val="left"/>
            </w:pPr>
            <w:r>
              <w:rPr>
                <w:b/>
                <w:bCs/>
              </w:rPr>
              <w:t>关键产出</w:t>
            </w:r>
          </w:p>
        </w:tc>
      </w:tr>
      <w:tr w14:paraId="6E77A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838666C">
            <w:pPr>
              <w:jc w:val="left"/>
            </w:pPr>
            <w:r>
              <w:t>Day 15-17</w:t>
            </w:r>
          </w:p>
        </w:tc>
        <w:tc>
          <w:p w14:paraId="65FEBAE1">
            <w:pPr>
              <w:jc w:val="left"/>
            </w:pPr>
            <w:r>
              <w:t>总负责人：基于45家训练集（20绿+15争议+10棕色）训练</w:t>
            </w:r>
            <w:r>
              <w:rPr>
                <w:b/>
                <w:bCs/>
              </w:rPr>
              <w:t>9组对比模型</w:t>
            </w:r>
            <w:r>
              <w:t>（3组特征×3种学习器：仅财务/财务+文本/财务+文本+遥感 × LightGBM/XGBoost/随机森林），使用5家验证集调参，输出9组对比性能表（AUC、准确率、召回率、F1），确认预期AUC提升路径实现（0.78→0.85→0.91）</w:t>
            </w:r>
          </w:p>
        </w:tc>
        <w:tc>
          <w:p w14:paraId="1FBF850D">
            <w:pPr>
              <w:jc w:val="left"/>
            </w:pPr>
            <w:r>
              <w:t>总负责人</w:t>
            </w:r>
          </w:p>
        </w:tc>
        <w:tc>
          <w:p w14:paraId="6D800504">
            <w:pPr>
              <w:jc w:val="left"/>
            </w:pPr>
            <w:r>
              <w:t>9组模型文件、性能对比表、超参数记录</w:t>
            </w:r>
          </w:p>
        </w:tc>
      </w:tr>
      <w:tr w14:paraId="765C2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0A80B20">
            <w:pPr>
              <w:jc w:val="left"/>
            </w:pPr>
            <w:r>
              <w:t>Day 18-20</w:t>
            </w:r>
          </w:p>
        </w:tc>
        <w:tc>
          <w:p w14:paraId="07674333">
            <w:pPr>
              <w:jc w:val="left"/>
            </w:pPr>
            <w:r>
              <w:t>总负责人：进行SHAP全局特征重要性分析和典型企业局部解释力图；稳健性检验（替换为XGBoost/逻辑回归，分行业子样本回归，等权GWI敏感性检验，</w:t>
            </w:r>
            <w:r>
              <w:rPr>
                <w:b/>
                <w:bCs/>
              </w:rPr>
              <w:t>极端情景压力测试</w:t>
            </w:r>
            <w:r>
              <w:t>：环保政策收紧、经济下行、遥感数据缺失）</w:t>
            </w:r>
          </w:p>
        </w:tc>
        <w:tc>
          <w:p w14:paraId="40029A7F">
            <w:pPr>
              <w:jc w:val="left"/>
            </w:pPr>
            <w:r>
              <w:t>总负责人</w:t>
            </w:r>
          </w:p>
        </w:tc>
        <w:tc>
          <w:p w14:paraId="714ECF6C">
            <w:pPr>
              <w:jc w:val="left"/>
            </w:pPr>
            <w:r>
              <w:t>SHAP分析报告（summary_plot+force_plot）、稳健性检验结果表</w:t>
            </w:r>
          </w:p>
        </w:tc>
      </w:tr>
      <w:tr w14:paraId="343C7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E0505A5">
            <w:pPr>
              <w:jc w:val="left"/>
            </w:pPr>
            <w:r>
              <w:t>Day 21-22</w:t>
            </w:r>
          </w:p>
        </w:tc>
        <w:tc>
          <w:p w14:paraId="6FA4EC4C">
            <w:pPr>
              <w:jc w:val="left"/>
            </w:pPr>
            <w:r>
              <w:t>① 总负责人：深度挖掘3家典型案例（1真绿、1漂绿、1棕色），撰写案例剖析，② 总负责人+会计B：开发交互式证据链沙盘（预加载20家展示企业，包含</w:t>
            </w:r>
            <w:r>
              <w:rPr>
                <w:b/>
                <w:bCs/>
              </w:rPr>
              <w:t>企业风险画像雷达图、行业风险热力图、一键导出PDF/Excel审核报告</w:t>
            </w:r>
            <w:r>
              <w:t>功能），录制3分钟演示视频（含鼠标操作）</w:t>
            </w:r>
          </w:p>
        </w:tc>
        <w:tc>
          <w:p w14:paraId="4C2605A2">
            <w:pPr>
              <w:jc w:val="left"/>
            </w:pPr>
            <w:r>
              <w:t>总负责人，会计B</w:t>
            </w:r>
          </w:p>
        </w:tc>
        <w:tc>
          <w:p w14:paraId="55ADD7A0">
            <w:pPr>
              <w:jc w:val="left"/>
            </w:pPr>
            <w:r>
              <w:t>案例报告、沙盘程序（exe+源码）、演示视频MP4</w:t>
            </w:r>
          </w:p>
        </w:tc>
      </w:tr>
      <w:tr w14:paraId="276C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C946081">
            <w:pPr>
              <w:jc w:val="left"/>
            </w:pPr>
            <w:r>
              <w:t>Day 23-24</w:t>
            </w:r>
          </w:p>
        </w:tc>
        <w:tc>
          <w:p w14:paraId="0DF58905">
            <w:pPr>
              <w:jc w:val="left"/>
            </w:pPr>
            <w:r>
              <w:t>① 总负责人：撰写申报书“研究方法”“实证结果与分析”章节，② 经济统计B：整理全部统计图表（三组对比图、SHAP图、遥感对比图、案例证据链图、</w:t>
            </w:r>
            <w:r>
              <w:rPr>
                <w:b/>
                <w:bCs/>
              </w:rPr>
              <w:t>行业风险热力图</w:t>
            </w:r>
            <w:r>
              <w:t>等）</w:t>
            </w:r>
          </w:p>
        </w:tc>
        <w:tc>
          <w:p w14:paraId="281D67F2">
            <w:pPr>
              <w:jc w:val="left"/>
            </w:pPr>
            <w:r>
              <w:t>总负责人，经济统计B</w:t>
            </w:r>
          </w:p>
        </w:tc>
        <w:tc>
          <w:p w14:paraId="28AF9F55">
            <w:pPr>
              <w:jc w:val="left"/>
            </w:pPr>
            <w:r>
              <w:t>研究方法与实证章节初稿、图表包（高清PDF/PNG）</w:t>
            </w:r>
          </w:p>
        </w:tc>
      </w:tr>
    </w:tbl>
    <w:p w14:paraId="4D209160">
      <w:pPr>
        <w:spacing w:before="240"/>
      </w:pPr>
      <w:r>
        <w:t xml:space="preserve"> </w:t>
      </w:r>
    </w:p>
    <w:p w14:paraId="6D2AB741">
      <w:pPr>
        <w:pStyle w:val="4"/>
        <w:spacing w:after="200"/>
        <w:jc w:val="left"/>
      </w:pPr>
      <w:r>
        <w:t>第四阶段：申报书与答辩准备（第25-37天）</w:t>
      </w:r>
    </w:p>
    <w:p w14:paraId="543C7E62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02"/>
        <w:gridCol w:w="4424"/>
        <w:gridCol w:w="1503"/>
        <w:gridCol w:w="2337"/>
      </w:tblGrid>
      <w:tr w14:paraId="3AFA4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DD90994">
            <w:pPr>
              <w:jc w:val="left"/>
            </w:pPr>
            <w:r>
              <w:rPr>
                <w:b/>
                <w:bCs/>
              </w:rPr>
              <w:t>时间</w:t>
            </w:r>
          </w:p>
        </w:tc>
        <w:tc>
          <w:p w14:paraId="45941D61">
            <w:pPr>
              <w:jc w:val="left"/>
            </w:pPr>
            <w:r>
              <w:rPr>
                <w:b/>
                <w:bCs/>
              </w:rPr>
              <w:t>核心任务</w:t>
            </w:r>
          </w:p>
        </w:tc>
        <w:tc>
          <w:p w14:paraId="0B158F53">
            <w:pPr>
              <w:jc w:val="left"/>
            </w:pPr>
            <w:r>
              <w:rPr>
                <w:b/>
                <w:bCs/>
              </w:rPr>
              <w:t>负责人</w:t>
            </w:r>
          </w:p>
        </w:tc>
        <w:tc>
          <w:p w14:paraId="38690340">
            <w:pPr>
              <w:jc w:val="left"/>
            </w:pPr>
            <w:r>
              <w:rPr>
                <w:b/>
                <w:bCs/>
              </w:rPr>
              <w:t>关键产出</w:t>
            </w:r>
          </w:p>
        </w:tc>
      </w:tr>
      <w:tr w14:paraId="00519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56C8DB3">
            <w:pPr>
              <w:jc w:val="left"/>
            </w:pPr>
            <w:r>
              <w:t>Day 25-28</w:t>
            </w:r>
          </w:p>
        </w:tc>
        <w:tc>
          <w:p w14:paraId="120FF64D">
            <w:pPr>
              <w:jc w:val="left"/>
            </w:pPr>
            <w:r>
              <w:t>① 经济统计A：提交文献综述并整合，② 会计A/B：撰写数据说明、应用价值与合规章节，③ 总负责人：统稿形成申报书全文，④ 经济统计B：制作答辩PPT初稿（12页，含所有关键图表和逻辑链）</w:t>
            </w:r>
          </w:p>
        </w:tc>
        <w:tc>
          <w:p w14:paraId="2E2230F3">
            <w:pPr>
              <w:jc w:val="left"/>
            </w:pPr>
            <w:r>
              <w:t>全员</w:t>
            </w:r>
          </w:p>
        </w:tc>
        <w:tc>
          <w:p w14:paraId="7D1A79F3">
            <w:pPr>
              <w:jc w:val="left"/>
            </w:pPr>
            <w:r>
              <w:t>申报书全文初稿、答辩PPT初稿</w:t>
            </w:r>
          </w:p>
        </w:tc>
      </w:tr>
      <w:tr w14:paraId="1D33D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53951B6">
            <w:pPr>
              <w:jc w:val="left"/>
            </w:pPr>
            <w:r>
              <w:t>Day 29-31</w:t>
            </w:r>
          </w:p>
        </w:tc>
        <w:tc>
          <w:p w14:paraId="3C5B1206">
            <w:pPr>
              <w:jc w:val="left"/>
            </w:pPr>
            <w:r>
              <w:t>全员交叉审阅申报书和PPT，提出修改意见；总负责人整合修改形成二稿；进行第一轮模拟答辩（15分钟陈述+15分钟提问），记录问题并改进</w:t>
            </w:r>
          </w:p>
        </w:tc>
        <w:tc>
          <w:p w14:paraId="355B12AB">
            <w:pPr>
              <w:jc w:val="left"/>
            </w:pPr>
            <w:r>
              <w:t>全员</w:t>
            </w:r>
          </w:p>
        </w:tc>
        <w:tc>
          <w:p w14:paraId="4888A2AE">
            <w:pPr>
              <w:jc w:val="left"/>
            </w:pPr>
            <w:r>
              <w:t>申报书二稿、PPT二稿、模拟答辩问题清单及改进方案</w:t>
            </w:r>
          </w:p>
        </w:tc>
      </w:tr>
      <w:tr w14:paraId="09417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F9DA2DD">
            <w:pPr>
              <w:jc w:val="left"/>
            </w:pPr>
            <w:r>
              <w:t>Day 32-34</w:t>
            </w:r>
          </w:p>
        </w:tc>
        <w:tc>
          <w:p w14:paraId="45CEF63A">
            <w:pPr>
              <w:jc w:val="left"/>
            </w:pPr>
            <w:r>
              <w:t>最终优化申报书（查漏补缺、语言润色、格式统一）和PPT；准备答辩问题库（含全部预设问题Q1-Q10及应答要点）；第二轮模拟答辩（恶意挑刺模式，压力测试）</w:t>
            </w:r>
          </w:p>
        </w:tc>
        <w:tc>
          <w:p w14:paraId="40440D90">
            <w:pPr>
              <w:jc w:val="left"/>
            </w:pPr>
            <w:r>
              <w:t>全员</w:t>
            </w:r>
          </w:p>
        </w:tc>
        <w:tc>
          <w:p w14:paraId="46C2F397">
            <w:pPr>
              <w:jc w:val="left"/>
            </w:pPr>
            <w:r>
              <w:t>申报书终稿、PPT终稿、答辩问题库及应答脚本</w:t>
            </w:r>
          </w:p>
        </w:tc>
      </w:tr>
      <w:tr w14:paraId="0CFB5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A5D6C32">
            <w:pPr>
              <w:jc w:val="left"/>
            </w:pPr>
            <w:r>
              <w:t>Day 35</w:t>
            </w:r>
          </w:p>
        </w:tc>
        <w:tc>
          <w:p w14:paraId="55403B1E">
            <w:pPr>
              <w:jc w:val="left"/>
            </w:pPr>
            <w:r>
              <w:t>总负责人：打包沙盘为独立exe，检查所有交付物格式与内容完整性；经济统计B：辅助检查图表清晰度和PPT兼容性</w:t>
            </w:r>
          </w:p>
        </w:tc>
        <w:tc>
          <w:p w14:paraId="1F3EA559">
            <w:pPr>
              <w:jc w:val="left"/>
            </w:pPr>
            <w:r>
              <w:t>总负责人，经济统计B</w:t>
            </w:r>
          </w:p>
        </w:tc>
        <w:tc>
          <w:p w14:paraId="6A1EA2F5">
            <w:pPr>
              <w:jc w:val="left"/>
            </w:pPr>
            <w:r>
              <w:t>沙盘exe安装包、交付物完整性检查清单</w:t>
            </w:r>
          </w:p>
        </w:tc>
      </w:tr>
      <w:tr w14:paraId="12CC4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B55247">
            <w:pPr>
              <w:jc w:val="left"/>
            </w:pPr>
            <w:r>
              <w:t>Day 36</w:t>
            </w:r>
          </w:p>
        </w:tc>
        <w:tc>
          <w:p w14:paraId="0710C811">
            <w:pPr>
              <w:jc w:val="left"/>
            </w:pPr>
            <w:r>
              <w:t>提交前最终检查（全员）：逐项核对申报书格式（字体、行距、页码）、文件命名规范、签字盖章页、文件大小限制；交叉检查数据附录脱敏情况；所有文件备份至本地硬盘、云端、U盘三处</w:t>
            </w:r>
          </w:p>
        </w:tc>
        <w:tc>
          <w:p w14:paraId="2A447694">
            <w:pPr>
              <w:jc w:val="left"/>
            </w:pPr>
            <w:r>
              <w:t>全员</w:t>
            </w:r>
          </w:p>
        </w:tc>
        <w:tc>
          <w:p w14:paraId="1F0A4E31">
            <w:pPr>
              <w:jc w:val="left"/>
            </w:pPr>
            <w:r>
              <w:t>最终检查确认表、三处备份的完整文件包</w:t>
            </w:r>
          </w:p>
        </w:tc>
      </w:tr>
      <w:tr w14:paraId="2B5E7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414CD9E">
            <w:pPr>
              <w:jc w:val="left"/>
            </w:pPr>
            <w:r>
              <w:t>Day 37</w:t>
            </w:r>
          </w:p>
        </w:tc>
        <w:tc>
          <w:p w14:paraId="74E6E313">
            <w:pPr>
              <w:jc w:val="left"/>
            </w:pPr>
            <w:r>
              <w:t>提交日：截止时间前3小时完成在线提交，截图保存提交成功页面；全员保持通讯畅通，随时待命应对可能的系统退回或补充材料要求</w:t>
            </w:r>
          </w:p>
        </w:tc>
        <w:tc>
          <w:p w14:paraId="3116D289">
            <w:pPr>
              <w:jc w:val="left"/>
            </w:pPr>
            <w:r>
              <w:t>总负责人</w:t>
            </w:r>
          </w:p>
        </w:tc>
        <w:tc>
          <w:p w14:paraId="7026DDEF">
            <w:pPr>
              <w:jc w:val="left"/>
            </w:pPr>
            <w:r>
              <w:t>提交成功截图、应急联系方案</w:t>
            </w:r>
          </w:p>
        </w:tc>
      </w:tr>
    </w:tbl>
    <w:p w14:paraId="026A2367">
      <w:pPr>
        <w:spacing w:before="240"/>
      </w:pPr>
      <w:r>
        <w:t xml:space="preserve"> </w:t>
      </w:r>
    </w:p>
    <w:p w14:paraId="0D14743E">
      <w:pPr>
        <w:spacing w:after="120"/>
        <w:jc w:val="left"/>
      </w:pPr>
      <w:r>
        <w:rPr>
          <w:b/>
          <w:bCs/>
        </w:rPr>
        <w:t>附注</w:t>
      </w:r>
      <w:r>
        <w:t>：以上规划中各阶段任务具有先后依赖关系，每日同步会重点核验前一日产出，若出现延迟，总负责人需立即启动应急预案（任务重新分配或简化非核心环节），确保第36天具备提交条件。</w:t>
      </w:r>
    </w:p>
    <w:p w14:paraId="15B74FB0">
      <w:pPr>
        <w:spacing w:after="200"/>
      </w:pPr>
      <w:r>
        <w:t xml:space="preserve"> </w:t>
      </w:r>
    </w:p>
    <w:p w14:paraId="11F50612">
      <w:pPr>
        <w:pBdr>
          <w:bottom w:val="single" w:color="auto" w:sz="6" w:space="1"/>
        </w:pBdr>
        <w:spacing w:after="120"/>
      </w:pPr>
    </w:p>
    <w:p w14:paraId="35F7A3AF">
      <w:pPr>
        <w:spacing w:after="200"/>
      </w:pPr>
      <w:r>
        <w:t xml:space="preserve"> </w:t>
      </w:r>
    </w:p>
    <w:p w14:paraId="14D3C507">
      <w:pPr>
        <w:pStyle w:val="3"/>
        <w:spacing w:after="200"/>
        <w:jc w:val="left"/>
      </w:pPr>
      <w:r>
        <w:t>三、最终对齐确认表</w:t>
      </w:r>
    </w:p>
    <w:p w14:paraId="391AD7A8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89"/>
        <w:gridCol w:w="4277"/>
      </w:tblGrid>
      <w:tr w14:paraId="1C8C6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753BEB8B">
            <w:pPr>
              <w:jc w:val="left"/>
            </w:pPr>
            <w:r>
              <w:rPr>
                <w:b/>
                <w:bCs/>
              </w:rPr>
              <w:t>研究框架核心要求</w:t>
            </w:r>
          </w:p>
        </w:tc>
        <w:tc>
          <w:p w14:paraId="27B23A1D">
            <w:pPr>
              <w:jc w:val="left"/>
            </w:pPr>
            <w:r>
              <w:rPr>
                <w:b/>
                <w:bCs/>
              </w:rPr>
              <w:t>修正后规划是否满足</w:t>
            </w:r>
          </w:p>
        </w:tc>
      </w:tr>
      <w:tr w14:paraId="64929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94E5F0C">
            <w:pPr>
              <w:jc w:val="left"/>
            </w:pPr>
            <w:r>
              <w:t>八大高耗能行业样本</w:t>
            </w:r>
          </w:p>
        </w:tc>
        <w:tc>
          <w:p w14:paraId="019921F2">
            <w:pPr>
              <w:jc w:val="left"/>
            </w:pPr>
            <w:r>
              <w:t>✅ 已满足（Day1已确定75家企业名单）</w:t>
            </w:r>
          </w:p>
        </w:tc>
      </w:tr>
      <w:tr w14:paraId="38934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EDE3ED5">
            <w:pPr>
              <w:jc w:val="left"/>
            </w:pPr>
            <w:r>
              <w:t>方差最大化赋权法</w:t>
            </w:r>
          </w:p>
        </w:tc>
        <w:tc>
          <w:p w14:paraId="30AF25C2">
            <w:pPr>
              <w:jc w:val="left"/>
            </w:pPr>
            <w:r>
              <w:t>✅ 已修正（Day13-14任务）</w:t>
            </w:r>
          </w:p>
        </w:tc>
      </w:tr>
      <w:tr w14:paraId="4C669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39EB061">
            <w:pPr>
              <w:jc w:val="left"/>
            </w:pPr>
            <w:r>
              <w:t>9组模型对比（3特征×3学习器）</w:t>
            </w:r>
          </w:p>
        </w:tc>
        <w:tc>
          <w:p w14:paraId="4012A1F1">
            <w:pPr>
              <w:jc w:val="left"/>
            </w:pPr>
            <w:r>
              <w:t>✅ 已修正（Day15-17任务）</w:t>
            </w:r>
          </w:p>
        </w:tc>
      </w:tr>
      <w:tr w14:paraId="2F53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106F817">
            <w:pPr>
              <w:jc w:val="left"/>
            </w:pPr>
            <w:r>
              <w:t>极端情景压力测试</w:t>
            </w:r>
          </w:p>
        </w:tc>
        <w:tc>
          <w:p w14:paraId="5F5CAEA6">
            <w:pPr>
              <w:jc w:val="left"/>
            </w:pPr>
            <w:r>
              <w:t>✅ 已修正（Day18-20任务）</w:t>
            </w:r>
          </w:p>
        </w:tc>
      </w:tr>
      <w:tr w14:paraId="79A54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3A8B495">
            <w:pPr>
              <w:jc w:val="left"/>
            </w:pPr>
            <w:r>
              <w:t>沙盘新增功能（雷达图/热力图/导出）</w:t>
            </w:r>
          </w:p>
        </w:tc>
        <w:tc>
          <w:p w14:paraId="485BDF21">
            <w:pPr>
              <w:jc w:val="left"/>
            </w:pPr>
            <w:r>
              <w:t>✅ 已修正（Day21-22任务）</w:t>
            </w:r>
          </w:p>
        </w:tc>
      </w:tr>
      <w:tr w14:paraId="07EA0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4081D29">
            <w:pPr>
              <w:jc w:val="left"/>
            </w:pPr>
            <w:r>
              <w:t>术语统一为“漂绿”</w:t>
            </w:r>
          </w:p>
        </w:tc>
        <w:tc>
          <w:p w14:paraId="378ABB45">
            <w:pPr>
              <w:jc w:val="left"/>
            </w:pPr>
            <w:r>
              <w:t>✅ 已修正（全文替换）</w:t>
            </w:r>
          </w:p>
        </w:tc>
      </w:tr>
      <w:tr w14:paraId="59AC7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401AE43">
            <w:pPr>
              <w:jc w:val="left"/>
            </w:pPr>
            <w:r>
              <w:t>严格数据隔离（GWI训练集/验证集/独立测试集/标杆）</w:t>
            </w:r>
          </w:p>
        </w:tc>
        <w:tc>
          <w:p w14:paraId="49884A47">
            <w:pPr>
              <w:jc w:val="left"/>
            </w:pPr>
            <w:r>
              <w:t>✅ 已满足（所有环节均明确数据划分）</w:t>
            </w:r>
          </w:p>
        </w:tc>
      </w:tr>
    </w:tbl>
    <w:p w14:paraId="5A3ACF65">
      <w:pPr>
        <w:spacing w:before="240"/>
      </w:pPr>
      <w:r>
        <w:t xml:space="preserve"> </w:t>
      </w:r>
    </w:p>
    <w:p w14:paraId="6C7BF69B">
      <w:pPr>
        <w:spacing w:after="120"/>
        <w:jc w:val="left"/>
      </w:pPr>
      <w:r>
        <w:rPr>
          <w:b/>
          <w:bCs/>
        </w:rPr>
        <w:t>结论</w:t>
      </w:r>
      <w:r>
        <w:t>：修正后的任务分工与时间规划已100%对齐V6.0研究框架，可直接打印分发全员执行。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8CD0390"/>
    <w:rsid w:val="2C8F183C"/>
    <w:rsid w:val="5B704EBE"/>
    <w:rsid w:val="7B580C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43" w:firstLineChars="20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3068</Words>
  <Characters>3596</Characters>
  <TotalTime>58</TotalTime>
  <ScaleCrop>false</ScaleCrop>
  <LinksUpToDate>false</LinksUpToDate>
  <CharactersWithSpaces>3688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2026-05-27T04:21:00Z</dcterms:created>
  <dc:creator>Un-named</dc:creator>
  <cp:lastModifiedBy>滕燈</cp:lastModifiedBy>
  <dcterms:modified xsi:type="dcterms:W3CDTF">2026-06-03T15:28:59Z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eyJoZGlkIjoiZmViYTEwZmVkZmRhNjMwNmQ0YmZhNGMzZDJiNzFhMzgiLCJ1c2VySWQiOiI4MTQyMTE2NjcifQ==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08CFA11EF4034F13A4CD477148308707_13</vt:lpwstr>
  </property>
</Properties>
</file>