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FE260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 w:eastAsia="宋体"/>
          <w:lang w:eastAsia="zh-CN"/>
        </w:rPr>
        <w:t xml:space="preserve"> 《多模态数据驱动的上市公司“漂绿”识别与信贷风险预警研究》</w:t>
      </w:r>
    </w:p>
    <w:p w14:paraId="09572CE2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——基于文本、遥感与财务数据的交叉验证</w:t>
      </w:r>
    </w:p>
    <w:p w14:paraId="0D879CD7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 w:eastAsia="宋体"/>
          <w:lang w:eastAsia="zh-CN"/>
        </w:rPr>
        <w:t xml:space="preserve"> 摘要</w:t>
      </w:r>
    </w:p>
    <w:p w14:paraId="2938A762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（300字以内）</w:t>
      </w:r>
    </w:p>
    <w:p w14:paraId="027E06B7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 w:eastAsia="宋体"/>
          <w:lang w:eastAsia="zh-CN"/>
        </w:rPr>
        <w:t xml:space="preserve"> 目录</w:t>
      </w:r>
    </w:p>
    <w:p w14:paraId="34D31847">
      <w:pPr>
        <w:spacing w:after="200"/>
        <w:ind w:left="0" w:leftChars="0" w:firstLine="0" w:firstLineChars="0"/>
        <w:jc w:val="left"/>
        <w:rPr>
          <w:rFonts w:hint="eastAsia" w:eastAsia="宋体"/>
          <w:b/>
          <w:bCs/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 w:eastAsia="宋体"/>
          <w:b/>
          <w:bCs/>
          <w:lang w:eastAsia="zh-CN"/>
        </w:rPr>
        <w:t xml:space="preserve"> 第一章 项目概述</w:t>
      </w:r>
    </w:p>
    <w:p w14:paraId="58C7768F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1.1 研究背景</w:t>
      </w:r>
    </w:p>
    <w:p w14:paraId="30FA081C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1.1.1 双碳目标下绿色信贷的快速发展</w:t>
      </w:r>
    </w:p>
    <w:p w14:paraId="3BB18D17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1.1.2 企业“漂绿”行为的频发与隐蔽性</w:t>
      </w:r>
    </w:p>
    <w:p w14:paraId="6F2EF7FA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1.1.3 传统绿色信贷审核的三大结构性痛点</w:t>
      </w:r>
    </w:p>
    <w:p w14:paraId="49BF8A70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1.2 应用领域与场景</w:t>
      </w:r>
    </w:p>
    <w:p w14:paraId="54051614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1.2.1 银行绿色信贷贷前审核</w:t>
      </w:r>
    </w:p>
    <w:p w14:paraId="3F955216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1.2.2 绿色债券发行评估</w:t>
      </w:r>
    </w:p>
    <w:p w14:paraId="2476732A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1.2.3 金融监管机构风险监测</w:t>
      </w:r>
    </w:p>
    <w:p w14:paraId="30950F0F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1.3 主要工作及创新</w:t>
      </w:r>
    </w:p>
    <w:p w14:paraId="3F69DE9B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1.3.1 数据融合创新</w:t>
      </w:r>
    </w:p>
    <w:p w14:paraId="437541D0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1.3.2 指标构建创新</w:t>
      </w:r>
    </w:p>
    <w:p w14:paraId="15EAB84A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1.3.3 验证范式创新</w:t>
      </w:r>
    </w:p>
    <w:p w14:paraId="08B5FAE6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1.3.4 应用交互创新</w:t>
      </w:r>
    </w:p>
    <w:p w14:paraId="04B547F1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1.4 核心科学问题与研究目标</w:t>
      </w:r>
    </w:p>
    <w:p w14:paraId="2477F3F3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1.5 技术路线图</w:t>
      </w:r>
    </w:p>
    <w:p w14:paraId="489B84DF">
      <w:pPr>
        <w:spacing w:after="200"/>
        <w:ind w:left="0" w:leftChars="0" w:firstLine="0" w:firstLineChars="0"/>
        <w:jc w:val="left"/>
        <w:rPr>
          <w:rFonts w:hint="eastAsia" w:eastAsia="宋体"/>
          <w:b/>
          <w:bCs/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 w:eastAsia="宋体"/>
          <w:b/>
          <w:bCs/>
          <w:lang w:eastAsia="zh-CN"/>
        </w:rPr>
        <w:t xml:space="preserve"> 第二章 问题界定与理论框架</w:t>
      </w:r>
    </w:p>
    <w:p w14:paraId="25B16D82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2.1 核心问题界定</w:t>
      </w:r>
    </w:p>
    <w:p w14:paraId="2DF23624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2.1.1 漂绿识别问题</w:t>
      </w:r>
    </w:p>
    <w:p w14:paraId="4D07DB55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2.1.2 违约预测问题</w:t>
      </w:r>
    </w:p>
    <w:p w14:paraId="2A555049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2.1.3 多模态增量价值问题</w:t>
      </w:r>
    </w:p>
    <w:p w14:paraId="4D5E56D6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2.2 理论基础：“承诺-行动背离”理论</w:t>
      </w:r>
    </w:p>
    <w:p w14:paraId="1A7FB0DD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2.2.1 信息不对称与企业漂绿动机</w:t>
      </w:r>
    </w:p>
    <w:p w14:paraId="426F61BB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2.2.2 信号传递理论与绿色信贷市场失灵</w:t>
      </w:r>
    </w:p>
    <w:p w14:paraId="15D5D60E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2.3 三源交叉验证分析框架</w:t>
      </w:r>
    </w:p>
    <w:p w14:paraId="036ED0F6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2.3.1 文本维度：企业的“自我画像”</w:t>
      </w:r>
    </w:p>
    <w:p w14:paraId="3721AF52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2.3.2 遥感维度：不可篡改的“物理实情”</w:t>
      </w:r>
    </w:p>
    <w:p w14:paraId="32444096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2.3.3 财务维度：经济后果的“最终检验”</w:t>
      </w:r>
    </w:p>
    <w:p w14:paraId="3B26F859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2.4 核心研究假设（H1-H4）</w:t>
      </w:r>
    </w:p>
    <w:p w14:paraId="5879110B">
      <w:pPr>
        <w:spacing w:after="200"/>
        <w:ind w:left="0" w:leftChars="0" w:firstLine="0" w:firstLineChars="0"/>
        <w:jc w:val="left"/>
        <w:rPr>
          <w:rFonts w:hint="eastAsia" w:eastAsia="宋体"/>
          <w:b/>
          <w:bCs/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 w:eastAsia="宋体"/>
          <w:b/>
          <w:bCs/>
          <w:lang w:eastAsia="zh-CN"/>
        </w:rPr>
        <w:t xml:space="preserve"> 第三章 数据采集与预处理</w:t>
      </w:r>
    </w:p>
    <w:p w14:paraId="7B76849A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3.1 样本设计</w:t>
      </w:r>
    </w:p>
    <w:p w14:paraId="3D29C961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3.1.1 样本总体构成（75家企业）</w:t>
      </w:r>
    </w:p>
    <w:p w14:paraId="2AC7AE1B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3.1.2 抽样方式与行业覆盖</w:t>
      </w:r>
    </w:p>
    <w:p w14:paraId="1B4ED438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3.1.3 前瞻性时间窗口设计</w:t>
      </w:r>
    </w:p>
    <w:p w14:paraId="5E24C356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3.2 数据来源与获取</w:t>
      </w:r>
    </w:p>
    <w:p w14:paraId="68F2B011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3.2.1 数据来源清单</w:t>
      </w:r>
    </w:p>
    <w:p w14:paraId="0EB7835C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3.2.2 获取方式</w:t>
      </w:r>
    </w:p>
    <w:p w14:paraId="125AEFB3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3.3 数据划分与隔离保障</w:t>
      </w:r>
    </w:p>
    <w:p w14:paraId="375300EA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3.3.1 GWI训练集（35家）</w:t>
      </w:r>
    </w:p>
    <w:p w14:paraId="4BAE63F7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3.3.2 验证集（5家）</w:t>
      </w:r>
    </w:p>
    <w:p w14:paraId="5444F44D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3.3.3 独立测试集（10家）</w:t>
      </w:r>
    </w:p>
    <w:p w14:paraId="5CAA2E52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3.3.4 行业标杆集（15家）</w:t>
      </w:r>
    </w:p>
    <w:p w14:paraId="7250D93C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3.3.5 违约预测训练集（45家）</w:t>
      </w:r>
    </w:p>
    <w:p w14:paraId="65BB8B90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3.4 数据预处理流程</w:t>
      </w:r>
    </w:p>
    <w:p w14:paraId="029F198C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3.4.1 文本清洗</w:t>
      </w:r>
    </w:p>
    <w:p w14:paraId="787AD011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3.4.2 遥感影像预处理</w:t>
      </w:r>
    </w:p>
    <w:p w14:paraId="4ECD328C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3.4.3 财务数据标准化</w:t>
      </w:r>
    </w:p>
    <w:p w14:paraId="27B671C4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3.5 核心变量定义</w:t>
      </w:r>
    </w:p>
    <w:p w14:paraId="1F402D6E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3.5.1 被解释变量：违约标签</w:t>
      </w:r>
    </w:p>
    <w:p w14:paraId="3BD5AB89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3.5.2 核心解释变量：漂绿嫌疑综合指数（GWI）</w:t>
      </w:r>
    </w:p>
    <w:p w14:paraId="092004BA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3.5.3 控制变量</w:t>
      </w:r>
    </w:p>
    <w:p w14:paraId="7CEFCCAD">
      <w:pPr>
        <w:spacing w:after="200"/>
        <w:ind w:left="0" w:leftChars="0" w:firstLine="0" w:firstLineChars="0"/>
        <w:jc w:val="left"/>
        <w:rPr>
          <w:rFonts w:hint="eastAsia" w:eastAsia="宋体"/>
          <w:b/>
          <w:bCs/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 w:eastAsia="宋体"/>
          <w:b/>
          <w:bCs/>
          <w:lang w:eastAsia="zh-CN"/>
        </w:rPr>
        <w:t xml:space="preserve"> 第四章 模型构建与关键技术</w:t>
      </w:r>
    </w:p>
    <w:p w14:paraId="7747A112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4.1 模块一：文本维度——NLP“承诺-行动”分类</w:t>
      </w:r>
    </w:p>
    <w:p w14:paraId="60DE3822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4.1.1 规则前置过滤</w:t>
      </w:r>
    </w:p>
    <w:p w14:paraId="6FB20F95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4.1.2 RoBERTa微调与三级分类</w:t>
      </w:r>
    </w:p>
    <w:p w14:paraId="1B2CCF92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4.1.3 文本背离度指标构建</w:t>
      </w:r>
    </w:p>
    <w:p w14:paraId="226B1301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4.2 模块二：遥感维度——ResNet深度特征与双维度偏离度</w:t>
      </w:r>
    </w:p>
    <w:p w14:paraId="2DFB549B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4.2.1 数据源选择与预处理</w:t>
      </w:r>
    </w:p>
    <w:p w14:paraId="1F68807F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4.2.2 ResNet34特征提取</w:t>
      </w:r>
    </w:p>
    <w:p w14:paraId="339391B5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4.2.3 PCA降维与标杆库构建</w:t>
      </w:r>
    </w:p>
    <w:p w14:paraId="0D0FC2AD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4.2.4 双维度偏离度计算</w:t>
      </w:r>
    </w:p>
    <w:p w14:paraId="5963374B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4.2.5 遥感偏离度合成与辅助指标</w:t>
      </w:r>
    </w:p>
    <w:p w14:paraId="7DD32F58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4.3 模块三：漂绿嫌疑综合指数（GWI）构建</w:t>
      </w:r>
    </w:p>
    <w:p w14:paraId="4F962ED4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4.3.1 熵值法客观赋权</w:t>
      </w:r>
    </w:p>
    <w:p w14:paraId="224F5F73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4.3.2 等权法稳健性对照</w:t>
      </w:r>
    </w:p>
    <w:p w14:paraId="4DBFEDE8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4.3.3 独立测试集验证</w:t>
      </w:r>
    </w:p>
    <w:p w14:paraId="71B9841A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4.3.4 GWI等级划分标准</w:t>
      </w:r>
    </w:p>
    <w:p w14:paraId="58D9E0F7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4.4 模块四：违约风险预警模型</w:t>
      </w:r>
    </w:p>
    <w:p w14:paraId="799BC14D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4.4.1 三组对比实验设计</w:t>
      </w:r>
    </w:p>
    <w:p w14:paraId="5F88C7E6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4.4.2 多模型对比（LightGBM / XGBoost / 随机森林）</w:t>
      </w:r>
    </w:p>
    <w:p w14:paraId="3F87BDF0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4.4.3 调参与验证策略（验证集调参 + 独立测试集评估）</w:t>
      </w:r>
    </w:p>
    <w:p w14:paraId="27163771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4.4.4 评估指标体系</w:t>
      </w:r>
    </w:p>
    <w:p w14:paraId="005D7AFF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4.5 模块五：模型可解释性分析</w:t>
      </w:r>
    </w:p>
    <w:p w14:paraId="3DA2C52A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4.5.1 SHAP全局特征重要性</w:t>
      </w:r>
    </w:p>
    <w:p w14:paraId="4A2D9167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4.5.2 SHAP局部风险成因拆解</w:t>
      </w:r>
    </w:p>
    <w:p w14:paraId="533A362A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4.6 系统核心功能总览</w:t>
      </w:r>
    </w:p>
    <w:p w14:paraId="57107934">
      <w:pPr>
        <w:spacing w:after="200"/>
        <w:ind w:left="0" w:leftChars="0" w:firstLine="0" w:firstLineChars="0"/>
        <w:jc w:val="left"/>
        <w:rPr>
          <w:rFonts w:hint="eastAsia" w:eastAsia="宋体"/>
          <w:b/>
          <w:bCs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b/>
          <w:bCs/>
          <w:lang w:eastAsia="zh-CN"/>
        </w:rPr>
        <w:t xml:space="preserve">  </w:t>
      </w:r>
      <w:r>
        <w:rPr>
          <w:rFonts w:hint="eastAsia" w:eastAsia="宋体"/>
          <w:b/>
          <w:bCs/>
          <w:lang w:eastAsia="zh-CN"/>
        </w:rPr>
        <w:t xml:space="preserve"> 第五章 实证结果与分析</w:t>
      </w:r>
    </w:p>
    <w:p w14:paraId="4BC4105F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5.1 描述性统计分析</w:t>
      </w:r>
    </w:p>
    <w:p w14:paraId="6F84DC66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5.2 三组对比实验结果</w:t>
      </w:r>
    </w:p>
    <w:p w14:paraId="6C47A479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5.2.1 模型性能对比</w:t>
      </w:r>
    </w:p>
    <w:p w14:paraId="4EBFF6F0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5.2.2 多模态增量价值量化</w:t>
      </w:r>
    </w:p>
    <w:p w14:paraId="18A24C5A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5.2.3 消融实验</w:t>
      </w:r>
    </w:p>
    <w:p w14:paraId="647E34B7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5.3 SHAP可解释性分析</w:t>
      </w:r>
    </w:p>
    <w:p w14:paraId="65DC697E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5.4 典型案例深度分析</w:t>
      </w:r>
    </w:p>
    <w:p w14:paraId="3561EC31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5.4.1 典型“漂绿”企业</w:t>
      </w:r>
    </w:p>
    <w:p w14:paraId="544485C0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5.4.2 “言行一致”绿色标杆</w:t>
      </w:r>
    </w:p>
    <w:p w14:paraId="0A4C3EEC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5.4.3 文本少但表现好的企业</w:t>
      </w:r>
    </w:p>
    <w:p w14:paraId="7B079312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5.5 稳健性检验</w:t>
      </w:r>
    </w:p>
    <w:p w14:paraId="73B19567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5.5.1 模型替换</w:t>
      </w:r>
    </w:p>
    <w:p w14:paraId="0B2FFAD6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5.5.2 GWI权重敏感性分析</w:t>
      </w:r>
    </w:p>
    <w:p w14:paraId="7EDC24A5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5.5.3 分行业子样本回归</w:t>
      </w:r>
    </w:p>
    <w:p w14:paraId="0F3D3C34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5.5.4 压力测试与极端情景讨论</w:t>
      </w:r>
    </w:p>
    <w:p w14:paraId="7A46BB7F">
      <w:pPr>
        <w:spacing w:after="200"/>
        <w:ind w:left="0" w:leftChars="0" w:firstLine="0" w:firstLineChars="0"/>
        <w:jc w:val="left"/>
        <w:rPr>
          <w:rFonts w:hint="eastAsia" w:eastAsia="宋体"/>
          <w:b/>
          <w:bCs/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 w:eastAsia="宋体"/>
          <w:b/>
          <w:bCs/>
          <w:lang w:eastAsia="zh-CN"/>
        </w:rPr>
        <w:t xml:space="preserve"> 第六章 交互式证据链沙盘</w:t>
      </w:r>
    </w:p>
    <w:p w14:paraId="26058E8D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6.1 系统总体设计</w:t>
      </w:r>
    </w:p>
    <w:p w14:paraId="195C78AA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6.2 核心功能设计</w:t>
      </w:r>
    </w:p>
    <w:p w14:paraId="467FD836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6.2.1 企业风险画像雷达图</w:t>
      </w:r>
    </w:p>
    <w:p w14:paraId="2B90B4C0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6.2.2 行业风险热力图</w:t>
      </w:r>
    </w:p>
    <w:p w14:paraId="38612907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6.2.3 证据链联动展示</w:t>
      </w:r>
    </w:p>
    <w:p w14:paraId="48D9B59E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    6.2.4 一键导出审核报告</w:t>
      </w:r>
    </w:p>
    <w:p w14:paraId="7B8FF9AE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6.3 三级演示保障体系</w:t>
      </w:r>
    </w:p>
    <w:p w14:paraId="5807EAC1">
      <w:pPr>
        <w:spacing w:after="200"/>
        <w:ind w:left="0" w:leftChars="0" w:firstLine="0" w:firstLineChars="0"/>
        <w:jc w:val="left"/>
        <w:rPr>
          <w:rFonts w:hint="eastAsia" w:eastAsia="宋体"/>
          <w:b/>
          <w:bCs/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 w:eastAsia="宋体"/>
          <w:b/>
          <w:bCs/>
          <w:lang w:eastAsia="zh-CN"/>
        </w:rPr>
        <w:t xml:space="preserve"> 第七章 应用价值</w:t>
      </w:r>
    </w:p>
    <w:p w14:paraId="3231F233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7.1 经济效益</w:t>
      </w:r>
    </w:p>
    <w:p w14:paraId="5CB1CF98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7.2 社会效益</w:t>
      </w:r>
    </w:p>
    <w:p w14:paraId="7808A017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7.3 商业模式与推广路径</w:t>
      </w:r>
    </w:p>
    <w:p w14:paraId="1792F526">
      <w:pPr>
        <w:spacing w:after="200"/>
        <w:ind w:left="0" w:leftChars="0" w:firstLine="0" w:firstLineChars="0"/>
        <w:jc w:val="left"/>
        <w:rPr>
          <w:rFonts w:hint="eastAsia" w:eastAsia="宋体"/>
          <w:b/>
          <w:bCs/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 w:eastAsia="宋体"/>
          <w:lang w:eastAsia="zh-CN"/>
        </w:rPr>
        <w:t xml:space="preserve"> </w:t>
      </w:r>
      <w:r>
        <w:rPr>
          <w:rFonts w:hint="eastAsia" w:eastAsia="宋体"/>
          <w:b/>
          <w:bCs/>
          <w:lang w:eastAsia="zh-CN"/>
        </w:rPr>
        <w:t>第八章 合规与数据安全</w:t>
      </w:r>
    </w:p>
    <w:p w14:paraId="6A99805C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8.1 数据来源合法性说明</w:t>
      </w:r>
    </w:p>
    <w:p w14:paraId="68178FA3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8.2 数据隐私保护措施</w:t>
      </w:r>
    </w:p>
    <w:p w14:paraId="50745CF2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8.3 模型公平性与伦理审查</w:t>
      </w:r>
    </w:p>
    <w:p w14:paraId="30068072">
      <w:pPr>
        <w:spacing w:after="200"/>
        <w:ind w:left="0" w:leftChars="0" w:firstLine="0" w:firstLineChars="0"/>
        <w:jc w:val="left"/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  </w:t>
      </w:r>
      <w:r>
        <w:rPr>
          <w:rFonts w:hint="eastAsia" w:eastAsia="宋体"/>
          <w:b/>
          <w:bCs/>
          <w:lang w:eastAsia="zh-CN"/>
        </w:rPr>
        <w:t xml:space="preserve"> 第九章 结论与展望</w:t>
      </w:r>
    </w:p>
    <w:p w14:paraId="0D1CD83A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9.1 主要研究结论</w:t>
      </w:r>
    </w:p>
    <w:p w14:paraId="09440A08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9.2 研究局限性</w:t>
      </w:r>
    </w:p>
    <w:p w14:paraId="13F8837B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9.3 未来研究方向</w:t>
      </w:r>
    </w:p>
    <w:p w14:paraId="583C5FB4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 w:eastAsia="宋体"/>
          <w:lang w:eastAsia="zh-CN"/>
        </w:rPr>
        <w:t xml:space="preserve"> 参考文献</w:t>
      </w:r>
    </w:p>
    <w:p w14:paraId="0E824C21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 w:eastAsia="宋体"/>
          <w:lang w:eastAsia="zh-CN"/>
        </w:rPr>
        <w:t xml:space="preserve"> 附录</w:t>
      </w:r>
      <w:bookmarkStart w:id="0" w:name="_GoBack"/>
      <w:bookmarkEnd w:id="0"/>
    </w:p>
    <w:p w14:paraId="1FAB6A3D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附录A：75家企业名单与分组标签</w:t>
      </w:r>
    </w:p>
    <w:p w14:paraId="797E0EB7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附录B：熵值法权重计算过程</w:t>
      </w:r>
    </w:p>
    <w:p w14:paraId="4C468FC2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附录C：PCA方差解释率</w:t>
      </w:r>
    </w:p>
    <w:p w14:paraId="39228538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附录D：模型超参数设置</w:t>
      </w:r>
    </w:p>
    <w:p w14:paraId="12E18D31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附录E：核心代码说明</w:t>
      </w:r>
    </w:p>
    <w:p w14:paraId="4BD8D0D0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rFonts w:hint="eastAsia" w:eastAsia="宋体"/>
          <w:lang w:eastAsia="zh-CN"/>
        </w:rPr>
        <w:t xml:space="preserve"> 图表索引</w:t>
      </w:r>
    </w:p>
    <w:p w14:paraId="39DEA92A">
      <w:pPr>
        <w:spacing w:after="200"/>
        <w:ind w:left="0" w:leftChars="0" w:firstLine="0" w:firstLineChars="0"/>
        <w:jc w:val="left"/>
        <w:rPr>
          <w:rFonts w:hint="eastAsia" w:eastAsia="宋体"/>
          <w:lang w:eastAsia="zh-CN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C9E64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643" w:firstLineChars="200"/>
      <w:jc w:val="both"/>
    </w:pPr>
    <w:rPr>
      <w:sz w:val="24"/>
      <w:szCs w:val="24"/>
    </w:rPr>
  </w:style>
  <w:style w:type="paragraph" w:styleId="2">
    <w:name w:val="heading 1"/>
    <w:next w:val="1"/>
    <w:link w:val="17"/>
    <w:qFormat/>
    <w:uiPriority w:val="0"/>
    <w:pPr>
      <w:jc w:val="left"/>
    </w:pPr>
    <w:rPr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pPr>
      <w:jc w:val="left"/>
    </w:pPr>
    <w:rPr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pPr>
      <w:jc w:val="left"/>
    </w:pPr>
    <w:rPr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pPr>
      <w:jc w:val="left"/>
    </w:pPr>
    <w:rPr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pPr>
      <w:jc w:val="left"/>
    </w:pPr>
    <w:rPr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b/>
      <w:bCs/>
      <w:color w:val="000000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  <w:jc w:val="left"/>
    </w:pPr>
    <w:rPr>
      <w:sz w:val="20"/>
      <w:szCs w:val="20"/>
    </w:rPr>
  </w:style>
  <w:style w:type="paragraph" w:styleId="9">
    <w:name w:val="Title"/>
    <w:qFormat/>
    <w:uiPriority w:val="0"/>
    <w:pPr>
      <w:jc w:val="left"/>
    </w:pPr>
    <w:rPr>
      <w:sz w:val="56"/>
      <w:szCs w:val="56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pPr>
      <w:jc w:val="left"/>
    </w:pPr>
    <w:rPr>
      <w:sz w:val="24"/>
      <w:szCs w:val="24"/>
    </w:rPr>
  </w:style>
  <w:style w:type="character" w:customStyle="1" w:styleId="16">
    <w:name w:val="Footnote Text Char"/>
    <w:link w:val="8"/>
    <w:semiHidden/>
    <w:unhideWhenUsed/>
    <w:uiPriority w:val="99"/>
    <w:rPr>
      <w:sz w:val="20"/>
      <w:szCs w:val="20"/>
    </w:rPr>
  </w:style>
  <w:style w:type="character" w:customStyle="1" w:styleId="17">
    <w:name w:val="标题 1 Char1"/>
    <w:link w:val="2"/>
    <w:uiPriority w:val="0"/>
    <w:rPr>
      <w:b/>
      <w:bCs/>
      <w:color w:val="000000"/>
      <w:sz w:val="40"/>
      <w:szCs w:val="4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1834</Words>
  <Characters>2382</Characters>
  <TotalTime>27</TotalTime>
  <ScaleCrop>false</ScaleCrop>
  <LinksUpToDate>false</LinksUpToDate>
  <CharactersWithSpaces>2971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2026-05-26T12:29:00Z</dcterms:created>
  <dc:creator>Un-named</dc:creator>
  <cp:lastModifiedBy>滕燈</cp:lastModifiedBy>
  <dcterms:modified xsi:type="dcterms:W3CDTF">2026-05-26T13:01:49Z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eyJoZGlkIjoiZmViYTEwZmVkZmRhNjMwNmQ0YmZhNGMzZDJiNzFhMzgiLCJ1c2VySWQiOiI4MTQyMTE2NjcifQ==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EB382E9DF48D4D58A1ACD455EB9A02A9_13</vt:lpwstr>
  </property>
</Properties>
</file>