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83BDCE">
      <w:pPr>
        <w:spacing w:line="240" w:lineRule="auto"/>
        <w:ind w:firstLine="0" w:firstLineChars="0"/>
        <w:jc w:val="center"/>
        <w:rPr>
          <w:rFonts w:ascii="Times New Roman" w:hAnsi="Times New Roman" w:eastAsia="宋体" w:cs="Times New Roman"/>
          <w:b/>
          <w:bCs/>
          <w:kern w:val="2"/>
          <w:sz w:val="32"/>
          <w:lang w:val="en-US" w:eastAsia="zh-CN" w:bidi="ar-SA"/>
        </w:rPr>
      </w:pPr>
      <w:r>
        <w:rPr>
          <w:rFonts w:ascii="Times New Roman" w:hAnsi="Times New Roman" w:eastAsia="宋体" w:cs="Times New Roman"/>
          <w:b/>
          <w:bCs/>
          <w:kern w:val="2"/>
          <w:sz w:val="32"/>
          <w:lang w:val="en-US" w:eastAsia="zh-CN" w:bidi="ar-SA"/>
        </w:rPr>
        <w:t>多模态数据驱动的上市公司漂绿识别与信贷风险预警研究</w:t>
      </w:r>
    </w:p>
    <w:p w14:paraId="2936985A">
      <w:pPr>
        <w:spacing w:line="240" w:lineRule="auto"/>
        <w:ind w:firstLine="0" w:firstLineChars="0"/>
        <w:jc w:val="center"/>
        <w:rPr>
          <w:rFonts w:ascii="Times New Roman" w:hAnsi="Times New Roman" w:eastAsia="宋体" w:cs="Times New Roman"/>
          <w:b/>
          <w:bCs/>
          <w:kern w:val="2"/>
          <w:sz w:val="32"/>
          <w:lang w:val="en-US" w:eastAsia="zh-CN" w:bidi="ar-SA"/>
        </w:rPr>
      </w:pPr>
      <w:r>
        <w:rPr>
          <w:rFonts w:ascii="Times New Roman" w:hAnsi="Times New Roman" w:eastAsia="宋体" w:cs="Times New Roman"/>
          <w:b/>
          <w:bCs/>
          <w:kern w:val="2"/>
          <w:sz w:val="32"/>
          <w:lang w:val="en-US" w:eastAsia="zh-CN" w:bidi="ar-SA"/>
        </w:rPr>
        <w:t>——基于文本、遥感与财务数据的交叉验证（修正版）</w:t>
      </w:r>
    </w:p>
    <w:p w14:paraId="248A2B53">
      <w:pPr>
        <w:spacing w:before="120" w:beforeLines="50" w:after="120" w:afterLines="50"/>
        <w:ind w:firstLine="0" w:firstLineChars="0"/>
        <w:jc w:val="center"/>
        <w:rPr>
          <w:rFonts w:ascii="Times New Roman" w:hAnsi="Times New Roman" w:eastAsia="宋体" w:cs="Times New Roman"/>
          <w:b/>
          <w:bCs/>
          <w:sz w:val="32"/>
          <w:szCs w:val="32"/>
          <w:lang w:val="en-US" w:eastAsia="zh-CN" w:bidi="ar-SA"/>
        </w:rPr>
      </w:pPr>
      <w:r>
        <w:rPr>
          <w:rFonts w:ascii="Times New Roman" w:hAnsi="Times New Roman" w:eastAsia="宋体" w:cs="Times New Roman"/>
          <w:b/>
          <w:bCs/>
          <w:sz w:val="32"/>
          <w:szCs w:val="32"/>
          <w:lang w:val="en-US" w:eastAsia="zh-CN" w:bidi="ar-SA"/>
        </w:rPr>
        <w:t>摘要</w:t>
      </w:r>
    </w:p>
    <w:p w14:paraId="635339E7">
      <w:pPr>
        <w:bidi w:val="0"/>
        <w:rPr>
          <w:rFonts w:hint="eastAsia" w:ascii="Times New Roman" w:hAnsi="Times New Roman" w:eastAsia="宋体" w:cs="Times New Roman"/>
          <w:lang w:val="en-US" w:eastAsia="zh-CN" w:bidi="ar-SA"/>
        </w:rPr>
      </w:pPr>
      <w:r>
        <w:rPr>
          <w:rFonts w:hint="eastAsia" w:ascii="Times New Roman" w:hAnsi="Times New Roman" w:eastAsia="宋体" w:cs="Times New Roman"/>
          <w:lang w:val="en-US" w:eastAsia="zh-CN" w:bidi="ar-SA"/>
        </w:rPr>
        <w:t>双碳目标下，我国绿色信贷余额已突破30万亿元，但企业漂绿行为频发且隐蔽，严重威胁信贷资产质量。传统审核依赖财务数据与人工尽调，存在信息滞后、数据单一、效率低下三大痛点。本研究融合2019至2021年ESG报告文本、Sentinel-2多光谱卫星遥感影像和财务数据，构建文本自述、遥感实情、财务结果三源交叉验证的漂绿风险识别框架，前瞻性预测企业2022至2025年违约风险。基于50家上市公司建模，另采用10家已知漂绿企业独立验证，并选取15家样本外行业标杆构建遥感参照系，总计涉及75家企业数据。实证表明，多模态融合模型较传统财务模型AUC提升16.7%，遥感数据边际贡献最大。本研究开发的交互式证据链沙盘，可为银行绿色信贷审核提供可量化、可解释、可复现的技术支持，有效防范漂绿授信风险。</w:t>
      </w:r>
    </w:p>
    <w:p w14:paraId="3A652CF3">
      <w:pPr>
        <w:rPr>
          <w:rFonts w:hint="eastAsia" w:ascii="Times New Roman" w:hAnsi="Times New Roman" w:eastAsia="宋体" w:cs="Times New Roman"/>
          <w:sz w:val="32"/>
          <w:lang w:val="en-US" w:eastAsia="zh-CN" w:bidi="ar-SA"/>
        </w:rPr>
      </w:pPr>
      <w:r>
        <w:rPr>
          <w:rFonts w:hint="eastAsia" w:ascii="Times New Roman" w:hAnsi="Times New Roman" w:eastAsia="宋体" w:cs="Times New Roman"/>
          <w:sz w:val="32"/>
          <w:lang w:val="en-US" w:eastAsia="zh-CN" w:bidi="ar-SA"/>
        </w:rPr>
        <w:br w:type="page"/>
      </w:r>
    </w:p>
    <w:p w14:paraId="49541FEC">
      <w:pPr>
        <w:pStyle w:val="2"/>
        <w:spacing w:after="120" w:afterLines="50" w:line="400" w:lineRule="exact"/>
        <w:ind w:firstLine="0"/>
        <w:jc w:val="center"/>
        <w:outlineLvl w:val="0"/>
        <w:rPr>
          <w:rFonts w:hint="eastAsia" w:ascii="Times New Roman" w:hAnsi="Times New Roman" w:eastAsia="宋体" w:cs="Times New Roman"/>
          <w:sz w:val="32"/>
          <w:lang w:val="en-US" w:eastAsia="zh-CN" w:bidi="ar-SA"/>
        </w:rPr>
      </w:pPr>
      <w:r>
        <w:rPr>
          <w:rFonts w:hint="eastAsia" w:ascii="Times New Roman" w:hAnsi="Times New Roman" w:eastAsia="宋体" w:cs="Times New Roman"/>
          <w:sz w:val="32"/>
          <w:lang w:val="en-US" w:eastAsia="zh-CN" w:bidi="ar-SA"/>
        </w:rPr>
        <w:t>第一章 项目概述</w:t>
      </w:r>
    </w:p>
    <w:p w14:paraId="6D7B0346">
      <w:pPr>
        <w:pStyle w:val="3"/>
        <w:bidi w:val="0"/>
        <w:rPr>
          <w:rFonts w:hint="eastAsia"/>
          <w:lang w:val="en-US" w:eastAsia="zh-CN"/>
        </w:rPr>
      </w:pPr>
      <w:r>
        <w:rPr>
          <w:rFonts w:hint="eastAsia"/>
          <w:lang w:val="en-US" w:eastAsia="zh-CN"/>
        </w:rPr>
        <w:t>1.1 研究背景</w:t>
      </w:r>
    </w:p>
    <w:p w14:paraId="17F3C371">
      <w:pPr>
        <w:bidi w:val="0"/>
        <w:rPr>
          <w:rFonts w:hint="eastAsia" w:ascii="Times New Roman" w:hAnsi="Times New Roman" w:eastAsia="宋体" w:cs="Times New Roman"/>
          <w:lang w:val="en-US" w:eastAsia="zh-CN" w:bidi="ar-SA"/>
        </w:rPr>
      </w:pPr>
      <w:r>
        <w:rPr>
          <w:rFonts w:hint="eastAsia" w:ascii="Times New Roman" w:hAnsi="Times New Roman" w:eastAsia="宋体" w:cs="Times New Roman"/>
          <w:lang w:val="en-US" w:eastAsia="zh-CN" w:bidi="ar-SA"/>
        </w:rPr>
        <w:t>双碳目标下，我国绿色信贷余额已突破30万亿元。然而，企业漂绿行为频发，即在公开报告中夸大环保成效，实际生产活动并未改善，并且严重威胁绿色信贷的资产质量。传统信贷审核主要依赖财务报表和人工尽调，存在以下三个核心痛点。</w:t>
      </w:r>
    </w:p>
    <w:p w14:paraId="5AE4579C">
      <w:pPr>
        <w:bidi w:val="0"/>
        <w:rPr>
          <w:rFonts w:hint="eastAsia" w:ascii="Times New Roman" w:hAnsi="Times New Roman" w:eastAsia="宋体" w:cs="Times New Roman"/>
          <w:lang w:val="en-US" w:eastAsia="zh-CN" w:bidi="ar-SA"/>
        </w:rPr>
      </w:pPr>
      <w:r>
        <w:rPr>
          <w:rFonts w:hint="eastAsia" w:ascii="Times New Roman" w:hAnsi="Times New Roman" w:eastAsia="宋体" w:cs="Times New Roman"/>
          <w:lang w:val="en-US" w:eastAsia="zh-CN" w:bidi="ar-SA"/>
        </w:rPr>
        <w:t>一是效率低。人工审核单户耗时数天，难以规模化覆盖30万亿绿色信贷存量。</w:t>
      </w:r>
    </w:p>
    <w:p w14:paraId="0A085DF9">
      <w:pPr>
        <w:bidi w:val="0"/>
        <w:rPr>
          <w:rFonts w:hint="eastAsia" w:ascii="Times New Roman" w:hAnsi="Times New Roman" w:eastAsia="宋体" w:cs="Times New Roman"/>
          <w:lang w:val="en-US" w:eastAsia="zh-CN" w:bidi="ar-SA"/>
        </w:rPr>
      </w:pPr>
      <w:r>
        <w:rPr>
          <w:rFonts w:hint="eastAsia" w:ascii="Times New Roman" w:hAnsi="Times New Roman" w:eastAsia="宋体" w:cs="Times New Roman"/>
          <w:lang w:val="en-US" w:eastAsia="zh-CN" w:bidi="ar-SA"/>
        </w:rPr>
        <w:t>二是信息单一。仅看财务数据，无法识别企业在环保承诺与实际行为之间的背离。企业说一套做一套的漂绿行为，财务指标难以捕捉。</w:t>
      </w:r>
    </w:p>
    <w:p w14:paraId="687AB28D">
      <w:pPr>
        <w:bidi w:val="0"/>
        <w:rPr>
          <w:rFonts w:hint="eastAsia" w:ascii="Times New Roman" w:hAnsi="Times New Roman" w:eastAsia="宋体" w:cs="Times New Roman"/>
          <w:lang w:val="en-US" w:eastAsia="zh-CN" w:bidi="ar-SA"/>
        </w:rPr>
      </w:pPr>
      <w:r>
        <w:rPr>
          <w:rFonts w:hint="eastAsia" w:ascii="Times New Roman" w:hAnsi="Times New Roman" w:eastAsia="宋体" w:cs="Times New Roman"/>
          <w:lang w:val="en-US" w:eastAsia="zh-CN" w:bidi="ar-SA"/>
        </w:rPr>
        <w:t>三是滞后性强。财务指标反映的是历史经营结果，而漂绿行为是持续进行的过程，发现时往往已造成实际损失。</w:t>
      </w:r>
    </w:p>
    <w:p w14:paraId="72317AAE">
      <w:pPr>
        <w:bidi w:val="0"/>
        <w:rPr>
          <w:rFonts w:hint="eastAsia" w:ascii="Times New Roman" w:hAnsi="Times New Roman" w:eastAsia="宋体" w:cs="Times New Roman"/>
          <w:lang w:val="en-US" w:eastAsia="zh-CN" w:bidi="ar-SA"/>
        </w:rPr>
      </w:pPr>
      <w:r>
        <w:rPr>
          <w:rFonts w:hint="eastAsia" w:ascii="Times New Roman" w:hAnsi="Times New Roman" w:eastAsia="宋体" w:cs="Times New Roman"/>
          <w:lang w:val="en-US" w:eastAsia="zh-CN" w:bidi="ar-SA"/>
        </w:rPr>
        <w:t>在行业层面，国家发改委明确的八大高耗能行业，即发电、钢铁、建材、有色、石化、化工、造纸和航空行业。这些行业是绿色信贷投放的重点领域，也是漂绿行为的高发地带。这些行业的绿色转型关系到双碳目标能否如期实现。</w:t>
      </w:r>
    </w:p>
    <w:p w14:paraId="41A77F63">
      <w:pPr>
        <w:pStyle w:val="3"/>
        <w:bidi w:val="0"/>
        <w:rPr>
          <w:rFonts w:hint="eastAsia"/>
          <w:lang w:val="en-US" w:eastAsia="zh-CN"/>
        </w:rPr>
      </w:pPr>
      <w:r>
        <w:rPr>
          <w:rFonts w:hint="eastAsia"/>
          <w:lang w:val="en-US" w:eastAsia="zh-CN"/>
        </w:rPr>
        <w:t>1.2 应用领域与场景</w:t>
      </w:r>
    </w:p>
    <w:p w14:paraId="10E44964">
      <w:pPr>
        <w:bidi w:val="0"/>
        <w:rPr>
          <w:rFonts w:hint="eastAsia" w:ascii="Times New Roman" w:hAnsi="Times New Roman" w:eastAsia="宋体" w:cs="Times New Roman"/>
          <w:lang w:val="en-US" w:eastAsia="zh-CN" w:bidi="ar-SA"/>
        </w:rPr>
      </w:pPr>
      <w:r>
        <w:rPr>
          <w:rFonts w:hint="eastAsia" w:ascii="Times New Roman" w:hAnsi="Times New Roman" w:eastAsia="宋体" w:cs="Times New Roman"/>
          <w:lang w:val="en-US" w:eastAsia="zh-CN" w:bidi="ar-SA"/>
        </w:rPr>
        <w:t>本研究构建的多模态漂绿识别与风险预警系统，可深度适配以下核心场景。</w:t>
      </w:r>
    </w:p>
    <w:p w14:paraId="17D8E459">
      <w:pPr>
        <w:bidi w:val="0"/>
        <w:rPr>
          <w:rFonts w:hint="eastAsia" w:ascii="Times New Roman" w:hAnsi="Times New Roman" w:eastAsia="宋体" w:cs="Times New Roman"/>
          <w:lang w:val="en-US" w:eastAsia="zh-CN" w:bidi="ar-SA"/>
        </w:rPr>
      </w:pPr>
      <w:r>
        <w:rPr>
          <w:rFonts w:hint="eastAsia" w:ascii="Times New Roman" w:hAnsi="Times New Roman" w:eastAsia="宋体" w:cs="Times New Roman"/>
          <w:lang w:val="en-US" w:eastAsia="zh-CN" w:bidi="ar-SA"/>
        </w:rPr>
        <w:t>银行绿色信贷贷前审核场景。对申请绿色贷款的企业进行漂绿筛查与违约概率预测，辅助信贷审批决策，降低绿色信贷不良率。</w:t>
      </w:r>
    </w:p>
    <w:p w14:paraId="0273F447">
      <w:pPr>
        <w:bidi w:val="0"/>
        <w:rPr>
          <w:rFonts w:hint="eastAsia" w:ascii="Times New Roman" w:hAnsi="Times New Roman" w:eastAsia="宋体" w:cs="Times New Roman"/>
          <w:lang w:val="en-US" w:eastAsia="zh-CN" w:bidi="ar-SA"/>
        </w:rPr>
      </w:pPr>
      <w:r>
        <w:rPr>
          <w:rFonts w:hint="eastAsia" w:ascii="Times New Roman" w:hAnsi="Times New Roman" w:eastAsia="宋体" w:cs="Times New Roman"/>
          <w:lang w:val="en-US" w:eastAsia="zh-CN" w:bidi="ar-SA"/>
        </w:rPr>
        <w:t>绿色债券发行评估场景。对发债主体的环境承诺与实际行为进行交叉验证，防范漂绿债券，保护投资者利益。</w:t>
      </w:r>
    </w:p>
    <w:p w14:paraId="24DE9855">
      <w:pPr>
        <w:bidi w:val="0"/>
        <w:rPr>
          <w:rFonts w:hint="eastAsia" w:ascii="Times New Roman" w:hAnsi="Times New Roman" w:eastAsia="宋体" w:cs="Times New Roman"/>
          <w:lang w:val="en-US" w:eastAsia="zh-CN" w:bidi="ar-SA"/>
        </w:rPr>
      </w:pPr>
      <w:r>
        <w:rPr>
          <w:rFonts w:hint="eastAsia" w:ascii="Times New Roman" w:hAnsi="Times New Roman" w:eastAsia="宋体" w:cs="Times New Roman"/>
          <w:lang w:val="en-US" w:eastAsia="zh-CN" w:bidi="ar-SA"/>
        </w:rPr>
        <w:t>金融监管机构风险监测场景。对辖区内的绿色信贷资产质量进行动态监测与预警，支持穿透式监管，防范系统性金融风险。</w:t>
      </w:r>
    </w:p>
    <w:p w14:paraId="30DD167D">
      <w:pPr>
        <w:pStyle w:val="3"/>
        <w:bidi w:val="0"/>
        <w:rPr>
          <w:rFonts w:hint="eastAsia"/>
          <w:lang w:val="en-US" w:eastAsia="zh-CN"/>
        </w:rPr>
      </w:pPr>
      <w:r>
        <w:rPr>
          <w:rFonts w:hint="eastAsia"/>
          <w:lang w:val="en-US" w:eastAsia="zh-CN"/>
        </w:rPr>
        <w:t>1.3 主要工作及创新</w:t>
      </w:r>
    </w:p>
    <w:p w14:paraId="53A8DA52">
      <w:pPr>
        <w:bidi w:val="0"/>
        <w:rPr>
          <w:rFonts w:hint="eastAsia" w:ascii="Times New Roman" w:hAnsi="Times New Roman" w:eastAsia="宋体" w:cs="Times New Roman"/>
          <w:lang w:val="en-US" w:eastAsia="zh-CN" w:bidi="ar-SA"/>
        </w:rPr>
      </w:pPr>
      <w:r>
        <w:rPr>
          <w:rFonts w:hint="eastAsia" w:ascii="Times New Roman" w:hAnsi="Times New Roman" w:eastAsia="宋体" w:cs="Times New Roman"/>
          <w:lang w:val="en-US" w:eastAsia="zh-CN" w:bidi="ar-SA"/>
        </w:rPr>
        <w:t>本研究围绕漂绿识别、违约预测、系统落地全链条开展系统性工作，形成以下四项核心创新。</w:t>
      </w:r>
    </w:p>
    <w:p w14:paraId="07BDC954">
      <w:pPr>
        <w:bidi w:val="0"/>
        <w:rPr>
          <w:rFonts w:hint="eastAsia" w:ascii="Times New Roman" w:hAnsi="Times New Roman" w:eastAsia="宋体" w:cs="Times New Roman"/>
          <w:lang w:val="en-US" w:eastAsia="zh-CN" w:bidi="ar-SA"/>
        </w:rPr>
      </w:pPr>
      <w:r>
        <w:rPr>
          <w:rFonts w:hint="eastAsia" w:ascii="Times New Roman" w:hAnsi="Times New Roman" w:eastAsia="宋体" w:cs="Times New Roman"/>
          <w:lang w:val="en-US" w:eastAsia="zh-CN" w:bidi="ar-SA"/>
        </w:rPr>
        <w:t>数据融合创新。首次将NLP文本分析与卫星遥感影像解译融合，构建文本自述、遥感实情、财务结果三源交叉验证框架，突破单一数据源的信息壁垒。</w:t>
      </w:r>
    </w:p>
    <w:p w14:paraId="68CE4207">
      <w:pPr>
        <w:bidi w:val="0"/>
        <w:rPr>
          <w:rFonts w:hint="eastAsia" w:ascii="Times New Roman" w:hAnsi="Times New Roman" w:eastAsia="宋体" w:cs="Times New Roman"/>
          <w:lang w:val="en-US" w:eastAsia="zh-CN" w:bidi="ar-SA"/>
        </w:rPr>
      </w:pPr>
      <w:r>
        <w:rPr>
          <w:rFonts w:hint="eastAsia" w:ascii="Times New Roman" w:hAnsi="Times New Roman" w:eastAsia="宋体" w:cs="Times New Roman"/>
          <w:lang w:val="en-US" w:eastAsia="zh-CN" w:bidi="ar-SA"/>
        </w:rPr>
        <w:t>指标构建创新。设计承诺兑现比、双维度遥感偏离度等可量化、可复现的核心指标，替代笼统的ESG评级。遥感偏离度采用行业横向标杆比较与历史纵向自身比较的双维度设计，无需像素级标注即可实现有效异常检测。</w:t>
      </w:r>
    </w:p>
    <w:p w14:paraId="463D1876">
      <w:pPr>
        <w:bidi w:val="0"/>
        <w:rPr>
          <w:rFonts w:hint="eastAsia" w:ascii="Times New Roman" w:hAnsi="Times New Roman" w:eastAsia="宋体" w:cs="Times New Roman"/>
          <w:lang w:val="en-US" w:eastAsia="zh-CN" w:bidi="ar-SA"/>
        </w:rPr>
      </w:pPr>
      <w:r>
        <w:rPr>
          <w:rFonts w:hint="eastAsia" w:ascii="Times New Roman" w:hAnsi="Times New Roman" w:eastAsia="宋体" w:cs="Times New Roman"/>
          <w:lang w:val="en-US" w:eastAsia="zh-CN" w:bidi="ar-SA"/>
        </w:rPr>
        <w:t>验证范式创新。采用严格前瞻性设计，以2019至2021年数据为特征窗口，预测2022至2025年违约事件。独立测试集全程隔离，不参与任何训练与权重计算，确保评估无偏。行业标杆企业独立于研究样本，从样本外国家级绿色工厂中另选，避免自我参照偏差。</w:t>
      </w:r>
    </w:p>
    <w:p w14:paraId="2E432D85">
      <w:pPr>
        <w:bidi w:val="0"/>
        <w:rPr>
          <w:rFonts w:hint="eastAsia" w:ascii="Times New Roman" w:hAnsi="Times New Roman" w:eastAsia="宋体" w:cs="Times New Roman"/>
          <w:lang w:val="en-US" w:eastAsia="zh-CN" w:bidi="ar-SA"/>
        </w:rPr>
      </w:pPr>
      <w:r>
        <w:rPr>
          <w:rFonts w:hint="eastAsia" w:ascii="Times New Roman" w:hAnsi="Times New Roman" w:eastAsia="宋体" w:cs="Times New Roman"/>
          <w:lang w:val="en-US" w:eastAsia="zh-CN" w:bidi="ar-SA"/>
        </w:rPr>
        <w:t>应用交互创新。开发证据链联动交互式沙盘，实现漂绿证据的直观追溯与审核报告一键导出，将抽象的风险分数转化为可视化证据。</w:t>
      </w:r>
    </w:p>
    <w:p w14:paraId="3D8B0E2C">
      <w:pPr>
        <w:pStyle w:val="3"/>
        <w:bidi w:val="0"/>
        <w:rPr>
          <w:rFonts w:hint="eastAsia"/>
          <w:lang w:val="en-US" w:eastAsia="zh-CN"/>
        </w:rPr>
      </w:pPr>
      <w:r>
        <w:rPr>
          <w:rFonts w:hint="eastAsia"/>
          <w:lang w:val="en-US" w:eastAsia="zh-CN"/>
        </w:rPr>
        <w:t>1.4 核心科学问题与研究目标</w:t>
      </w:r>
    </w:p>
    <w:p w14:paraId="5828CCFB">
      <w:pPr>
        <w:bidi w:val="0"/>
        <w:rPr>
          <w:rFonts w:hint="eastAsia" w:ascii="Times New Roman" w:hAnsi="Times New Roman" w:eastAsia="宋体" w:cs="Times New Roman"/>
          <w:lang w:val="en-US" w:eastAsia="zh-CN" w:bidi="ar-SA"/>
        </w:rPr>
      </w:pPr>
      <w:r>
        <w:rPr>
          <w:rFonts w:hint="eastAsia" w:ascii="Times New Roman" w:hAnsi="Times New Roman" w:eastAsia="宋体" w:cs="Times New Roman"/>
          <w:lang w:val="en-US" w:eastAsia="zh-CN" w:bidi="ar-SA"/>
        </w:rPr>
        <w:t>本研究提出并回答三个层层递进的科学问题。</w:t>
      </w:r>
    </w:p>
    <w:p w14:paraId="582E9F2A">
      <w:pPr>
        <w:bidi w:val="0"/>
        <w:rPr>
          <w:rFonts w:hint="eastAsia" w:ascii="Times New Roman" w:hAnsi="Times New Roman" w:eastAsia="宋体" w:cs="Times New Roman"/>
          <w:lang w:val="en-US" w:eastAsia="zh-CN" w:bidi="ar-SA"/>
        </w:rPr>
      </w:pPr>
      <w:r>
        <w:rPr>
          <w:rFonts w:hint="eastAsia" w:ascii="Times New Roman" w:hAnsi="Times New Roman" w:eastAsia="宋体" w:cs="Times New Roman"/>
          <w:lang w:val="en-US" w:eastAsia="zh-CN" w:bidi="ar-SA"/>
        </w:rPr>
        <w:t>Q1识别问题：如何利用ESG文本和卫星遥感影像，量化企业的漂绿嫌疑？</w:t>
      </w:r>
    </w:p>
    <w:p w14:paraId="78932208">
      <w:pPr>
        <w:bidi w:val="0"/>
        <w:rPr>
          <w:rFonts w:hint="eastAsia" w:ascii="Times New Roman" w:hAnsi="Times New Roman" w:eastAsia="宋体" w:cs="Times New Roman"/>
          <w:lang w:val="en-US" w:eastAsia="zh-CN" w:bidi="ar-SA"/>
        </w:rPr>
      </w:pPr>
      <w:r>
        <w:rPr>
          <w:rFonts w:hint="eastAsia" w:ascii="Times New Roman" w:hAnsi="Times New Roman" w:eastAsia="宋体" w:cs="Times New Roman"/>
          <w:lang w:val="en-US" w:eastAsia="zh-CN" w:bidi="ar-SA"/>
        </w:rPr>
        <w:t>Q2预测问题：高漂绿嫌疑是否显著增加企业未来的信贷违约概率？</w:t>
      </w:r>
    </w:p>
    <w:p w14:paraId="547FB96B">
      <w:pPr>
        <w:bidi w:val="0"/>
        <w:rPr>
          <w:rFonts w:hint="eastAsia" w:ascii="Times New Roman" w:hAnsi="Times New Roman" w:eastAsia="宋体" w:cs="Times New Roman"/>
          <w:lang w:val="en-US" w:eastAsia="zh-CN" w:bidi="ar-SA"/>
        </w:rPr>
      </w:pPr>
      <w:r>
        <w:rPr>
          <w:rFonts w:hint="eastAsia" w:ascii="Times New Roman" w:hAnsi="Times New Roman" w:eastAsia="宋体" w:cs="Times New Roman"/>
          <w:lang w:val="en-US" w:eastAsia="zh-CN" w:bidi="ar-SA"/>
        </w:rPr>
        <w:t>Q3增量问题：引入遥感数据后，相比传统财务模型，违约预测的准确率提升多少？</w:t>
      </w:r>
    </w:p>
    <w:p w14:paraId="689EAE6E">
      <w:pPr>
        <w:bidi w:val="0"/>
        <w:rPr>
          <w:rFonts w:hint="eastAsia" w:ascii="Times New Roman" w:hAnsi="Times New Roman" w:eastAsia="宋体" w:cs="Times New Roman"/>
          <w:lang w:val="en-US" w:eastAsia="zh-CN" w:bidi="ar-SA"/>
        </w:rPr>
      </w:pPr>
      <w:r>
        <w:rPr>
          <w:rFonts w:hint="eastAsia" w:ascii="Times New Roman" w:hAnsi="Times New Roman" w:eastAsia="宋体" w:cs="Times New Roman"/>
          <w:lang w:val="en-US" w:eastAsia="zh-CN" w:bidi="ar-SA"/>
        </w:rPr>
        <w:t>1.5 技术路线图</w:t>
      </w:r>
    </w:p>
    <w:p w14:paraId="6D82F8AF">
      <w:pPr>
        <w:bidi w:val="0"/>
        <w:rPr>
          <w:rFonts w:hint="eastAsia" w:ascii="Times New Roman" w:hAnsi="Times New Roman" w:eastAsia="宋体" w:cs="Times New Roman"/>
          <w:lang w:val="en-US" w:eastAsia="zh-CN" w:bidi="ar-SA"/>
        </w:rPr>
      </w:pPr>
      <w:r>
        <w:rPr>
          <w:rFonts w:hint="eastAsia" w:ascii="Times New Roman" w:hAnsi="Times New Roman" w:eastAsia="宋体" w:cs="Times New Roman"/>
          <w:lang w:val="en-US" w:eastAsia="zh-CN" w:bidi="ar-SA"/>
        </w:rPr>
        <w:t>问题层。绿色信贷漂绿识别难、传统风控滞后、遥感数据未被充分利用。</w:t>
      </w:r>
    </w:p>
    <w:p w14:paraId="05A0EB6D">
      <w:pPr>
        <w:bidi w:val="0"/>
        <w:rPr>
          <w:rFonts w:hint="eastAsia" w:ascii="Times New Roman" w:hAnsi="Times New Roman" w:eastAsia="宋体" w:cs="Times New Roman"/>
          <w:lang w:val="en-US" w:eastAsia="zh-CN" w:bidi="ar-SA"/>
        </w:rPr>
      </w:pPr>
      <w:r>
        <w:rPr>
          <w:rFonts w:hint="eastAsia" w:ascii="Times New Roman" w:hAnsi="Times New Roman" w:eastAsia="宋体" w:cs="Times New Roman"/>
          <w:lang w:val="en-US" w:eastAsia="zh-CN" w:bidi="ar-SA"/>
        </w:rPr>
        <w:t>理论层。信息不对称与信号传递理论，承诺-行动背离假说，三源交叉验证分析框架。</w:t>
      </w:r>
    </w:p>
    <w:p w14:paraId="52940105">
      <w:pPr>
        <w:bidi w:val="0"/>
        <w:rPr>
          <w:rFonts w:hint="eastAsia" w:ascii="Times New Roman" w:hAnsi="Times New Roman" w:eastAsia="宋体" w:cs="Times New Roman"/>
          <w:lang w:val="en-US" w:eastAsia="zh-CN" w:bidi="ar-SA"/>
        </w:rPr>
      </w:pPr>
      <w:r>
        <w:rPr>
          <w:rFonts w:hint="eastAsia" w:ascii="Times New Roman" w:hAnsi="Times New Roman" w:eastAsia="宋体" w:cs="Times New Roman"/>
          <w:lang w:val="en-US" w:eastAsia="zh-CN" w:bidi="ar-SA"/>
        </w:rPr>
        <w:t>数据层。2019至2021年ESG报告文本、2019与2021年Sentinel-2多光谱影像、2019至2021年财务数据。</w:t>
      </w:r>
    </w:p>
    <w:p w14:paraId="644AC461">
      <w:pPr>
        <w:bidi w:val="0"/>
        <w:rPr>
          <w:rFonts w:hint="eastAsia" w:ascii="Times New Roman" w:hAnsi="Times New Roman" w:eastAsia="宋体" w:cs="Times New Roman"/>
          <w:lang w:val="en-US" w:eastAsia="zh-CN" w:bidi="ar-SA"/>
        </w:rPr>
      </w:pPr>
      <w:r>
        <w:rPr>
          <w:rFonts w:hint="eastAsia" w:ascii="Times New Roman" w:hAnsi="Times New Roman" w:eastAsia="宋体" w:cs="Times New Roman"/>
          <w:lang w:val="en-US" w:eastAsia="zh-CN" w:bidi="ar-SA"/>
        </w:rPr>
        <w:t>特征层。RoBERTa文本承诺-行动分类、ResNet加PCA加马氏距离遥感偏离度、12个财务预警指标。</w:t>
      </w:r>
    </w:p>
    <w:p w14:paraId="403799EA">
      <w:pPr>
        <w:bidi w:val="0"/>
        <w:rPr>
          <w:rFonts w:hint="eastAsia" w:ascii="Times New Roman" w:hAnsi="Times New Roman" w:eastAsia="宋体" w:cs="Times New Roman"/>
          <w:lang w:val="en-US" w:eastAsia="zh-CN" w:bidi="ar-SA"/>
        </w:rPr>
      </w:pPr>
      <w:r>
        <w:rPr>
          <w:rFonts w:hint="eastAsia" w:ascii="Times New Roman" w:hAnsi="Times New Roman" w:eastAsia="宋体" w:cs="Times New Roman"/>
          <w:lang w:val="en-US" w:eastAsia="zh-CN" w:bidi="ar-SA"/>
        </w:rPr>
        <w:t>融合层。</w:t>
      </w:r>
      <w:r>
        <w:rPr>
          <w:rFonts w:hint="eastAsia" w:ascii="Times New Roman" w:hAnsi="Times New Roman" w:eastAsia="宋体" w:cs="Times New Roman"/>
          <w:color w:val="FF0000"/>
          <w:lang w:val="en-US" w:eastAsia="zh-CN" w:bidi="ar-SA"/>
        </w:rPr>
        <w:t>方差最大化赋权法</w:t>
      </w:r>
      <w:r>
        <w:rPr>
          <w:rFonts w:hint="eastAsia" w:ascii="Times New Roman" w:hAnsi="Times New Roman" w:eastAsia="宋体" w:cs="Times New Roman"/>
          <w:lang w:val="en-US" w:eastAsia="zh-CN" w:bidi="ar-SA"/>
        </w:rPr>
        <w:t>合成漂绿嫌疑综合指数GWI，三组对比实验设计。</w:t>
      </w:r>
    </w:p>
    <w:p w14:paraId="6271D49A">
      <w:pPr>
        <w:bidi w:val="0"/>
        <w:rPr>
          <w:rFonts w:hint="eastAsia" w:ascii="Times New Roman" w:hAnsi="Times New Roman" w:eastAsia="宋体" w:cs="Times New Roman"/>
          <w:lang w:val="en-US" w:eastAsia="zh-CN" w:bidi="ar-SA"/>
        </w:rPr>
      </w:pPr>
      <w:r>
        <w:rPr>
          <w:rFonts w:hint="eastAsia" w:ascii="Times New Roman" w:hAnsi="Times New Roman" w:eastAsia="宋体" w:cs="Times New Roman"/>
          <w:lang w:val="en-US" w:eastAsia="zh-CN" w:bidi="ar-SA"/>
        </w:rPr>
        <w:t>模型层。Model 1仅财务，Model 2财务加文本，Model 3财务加文本加遥感。LightGBM、XGBoost、随机森林三种学习器共9组模型对比。验证集调参，独立测试集评估。</w:t>
      </w:r>
    </w:p>
    <w:p w14:paraId="69A40A5A">
      <w:pPr>
        <w:bidi w:val="0"/>
        <w:rPr>
          <w:rFonts w:hint="eastAsia" w:ascii="Times New Roman" w:hAnsi="Times New Roman" w:eastAsia="宋体" w:cs="Times New Roman"/>
          <w:lang w:val="en-US" w:eastAsia="zh-CN" w:bidi="ar-SA"/>
        </w:rPr>
      </w:pPr>
      <w:r>
        <w:rPr>
          <w:rFonts w:hint="eastAsia" w:ascii="Times New Roman" w:hAnsi="Times New Roman" w:eastAsia="宋体" w:cs="Times New Roman"/>
          <w:lang w:val="en-US" w:eastAsia="zh-CN" w:bidi="ar-SA"/>
        </w:rPr>
        <w:t>解释层。SHAP全局特征重要性加局部风险成因拆解。</w:t>
      </w:r>
    </w:p>
    <w:p w14:paraId="0DC80C2E">
      <w:pPr>
        <w:bidi w:val="0"/>
        <w:rPr>
          <w:rFonts w:hint="eastAsia" w:ascii="Times New Roman" w:hAnsi="Times New Roman" w:eastAsia="宋体" w:cs="Times New Roman"/>
          <w:lang w:val="en-US" w:eastAsia="zh-CN" w:bidi="ar-SA"/>
        </w:rPr>
      </w:pPr>
      <w:r>
        <w:rPr>
          <w:rFonts w:hint="eastAsia" w:ascii="Times New Roman" w:hAnsi="Times New Roman" w:eastAsia="宋体" w:cs="Times New Roman"/>
          <w:lang w:val="en-US" w:eastAsia="zh-CN" w:bidi="ar-SA"/>
        </w:rPr>
        <w:t>应用层。证据链沙盘联动展示文本片段、遥感影像对比与NDVI曲线，一键导出绿色信贷风险审核报告。</w:t>
      </w:r>
    </w:p>
    <w:p w14:paraId="6889208B">
      <w:pPr>
        <w:bidi w:val="0"/>
        <w:rPr>
          <w:rFonts w:hint="eastAsia" w:ascii="Times New Roman" w:hAnsi="Times New Roman" w:eastAsia="宋体" w:cs="Times New Roman"/>
          <w:lang w:val="en-US" w:eastAsia="zh-CN" w:bidi="ar-SA"/>
        </w:rPr>
      </w:pPr>
      <w:r>
        <w:rPr>
          <w:rFonts w:hint="eastAsia" w:ascii="Times New Roman" w:hAnsi="Times New Roman" w:eastAsia="宋体" w:cs="Times New Roman"/>
          <w:lang w:val="en-US" w:eastAsia="zh-CN" w:bidi="ar-SA"/>
        </w:rPr>
        <w:t xml:space="preserve"> </w:t>
      </w:r>
    </w:p>
    <w:p w14:paraId="5CF05EAA">
      <w:pPr>
        <w:rPr>
          <w:rFonts w:hint="eastAsia"/>
          <w:lang w:val="en-US" w:eastAsia="zh-CN"/>
        </w:rPr>
      </w:pPr>
      <w:r>
        <w:rPr>
          <w:rFonts w:hint="eastAsia"/>
          <w:lang w:val="en-US" w:eastAsia="zh-CN"/>
        </w:rPr>
        <w:br w:type="page"/>
      </w:r>
    </w:p>
    <w:p w14:paraId="0285AD56">
      <w:pPr>
        <w:pStyle w:val="2"/>
        <w:bidi w:val="0"/>
        <w:rPr>
          <w:rFonts w:hint="eastAsia"/>
          <w:lang w:val="en-US" w:eastAsia="zh-CN"/>
        </w:rPr>
      </w:pPr>
      <w:r>
        <w:rPr>
          <w:rFonts w:hint="eastAsia"/>
          <w:lang w:val="en-US" w:eastAsia="zh-CN"/>
        </w:rPr>
        <w:t>第二章 问题界定与理论框架</w:t>
      </w:r>
    </w:p>
    <w:p w14:paraId="2B014214">
      <w:pPr>
        <w:pStyle w:val="3"/>
        <w:bidi w:val="0"/>
        <w:rPr>
          <w:rFonts w:hint="eastAsia"/>
          <w:lang w:val="en-US" w:eastAsia="zh-CN"/>
        </w:rPr>
      </w:pPr>
      <w:r>
        <w:rPr>
          <w:rFonts w:hint="eastAsia"/>
          <w:lang w:val="en-US" w:eastAsia="zh-CN"/>
        </w:rPr>
        <w:t>2.1 核心问题界定</w:t>
      </w:r>
    </w:p>
    <w:p w14:paraId="3B7E8236">
      <w:pPr>
        <w:bidi w:val="0"/>
        <w:rPr>
          <w:rFonts w:hint="eastAsia" w:ascii="Times New Roman" w:hAnsi="Times New Roman" w:eastAsia="宋体" w:cs="Times New Roman"/>
          <w:lang w:val="en-US" w:eastAsia="zh-CN" w:bidi="ar-SA"/>
        </w:rPr>
      </w:pPr>
      <w:r>
        <w:rPr>
          <w:rFonts w:hint="eastAsia" w:ascii="Times New Roman" w:hAnsi="Times New Roman" w:eastAsia="宋体" w:cs="Times New Roman"/>
          <w:lang w:val="en-US" w:eastAsia="zh-CN" w:bidi="ar-SA"/>
        </w:rPr>
        <w:t>如1.4节所述，本研究的三个核心科学问题分别对应漂绿识别、违约预测和多模态增量价值验证三项任务。本章在此基础上，从信息不对称理论和信号传递理论出发，构建承诺-行动背离理论框架与三源交叉验证分析框架，为后续模型设计提供理论支撑。</w:t>
      </w:r>
    </w:p>
    <w:p w14:paraId="287BA7FC">
      <w:pPr>
        <w:pStyle w:val="3"/>
        <w:bidi w:val="0"/>
        <w:rPr>
          <w:rFonts w:hint="eastAsia"/>
          <w:lang w:val="en-US" w:eastAsia="zh-CN"/>
        </w:rPr>
      </w:pPr>
      <w:r>
        <w:rPr>
          <w:rFonts w:hint="eastAsia"/>
          <w:lang w:val="en-US" w:eastAsia="zh-CN"/>
        </w:rPr>
        <w:t>2.2 理论基础</w:t>
      </w:r>
    </w:p>
    <w:p w14:paraId="49D72F36">
      <w:pPr>
        <w:bidi w:val="0"/>
        <w:rPr>
          <w:rFonts w:hint="eastAsia"/>
          <w:lang w:val="en-US" w:eastAsia="zh-CN"/>
        </w:rPr>
      </w:pPr>
      <w:r>
        <w:rPr>
          <w:rFonts w:hint="eastAsia"/>
          <w:lang w:val="en-US" w:eastAsia="zh-CN"/>
        </w:rPr>
        <w:t>核心理论：承诺-行动背离理论。</w:t>
      </w:r>
    </w:p>
    <w:p w14:paraId="5E7075B1">
      <w:pPr>
        <w:bidi w:val="0"/>
        <w:rPr>
          <w:rFonts w:hint="eastAsia" w:ascii="Times New Roman" w:hAnsi="Times New Roman" w:eastAsia="宋体" w:cs="Times New Roman"/>
          <w:lang w:val="en-US" w:eastAsia="zh-CN" w:bidi="ar-SA"/>
        </w:rPr>
      </w:pPr>
      <w:r>
        <w:rPr>
          <w:rFonts w:hint="eastAsia" w:ascii="Times New Roman" w:hAnsi="Times New Roman" w:eastAsia="宋体" w:cs="Times New Roman"/>
          <w:lang w:val="en-US" w:eastAsia="zh-CN" w:bidi="ar-SA"/>
        </w:rPr>
        <w:t>企业漂绿行为的本质是信息披露与实际行为之间的系统性背离。基于信息不对称理论和信号传递理论，本研究提出以下分析逻辑。</w:t>
      </w:r>
    </w:p>
    <w:p w14:paraId="67FC4A5F">
      <w:pPr>
        <w:bidi w:val="0"/>
        <w:rPr>
          <w:rFonts w:hint="eastAsia" w:ascii="Times New Roman" w:hAnsi="Times New Roman" w:eastAsia="宋体" w:cs="Times New Roman"/>
          <w:lang w:val="en-US" w:eastAsia="zh-CN" w:bidi="ar-SA"/>
        </w:rPr>
      </w:pPr>
      <w:r>
        <w:rPr>
          <w:rFonts w:hint="eastAsia" w:ascii="Times New Roman" w:hAnsi="Times New Roman" w:eastAsia="宋体" w:cs="Times New Roman"/>
          <w:lang w:val="en-US" w:eastAsia="zh-CN" w:bidi="ar-SA"/>
        </w:rPr>
        <w:t>企业在ESG报告中做出的绿色承诺，如将投入若干亿元用于环保改造，是向市场传递的积极信号，有助于获取低息绿色信贷。</w:t>
      </w:r>
    </w:p>
    <w:p w14:paraId="3376B659">
      <w:pPr>
        <w:bidi w:val="0"/>
        <w:rPr>
          <w:rFonts w:hint="eastAsia" w:ascii="Times New Roman" w:hAnsi="Times New Roman" w:eastAsia="宋体" w:cs="Times New Roman"/>
          <w:lang w:val="en-US" w:eastAsia="zh-CN" w:bidi="ar-SA"/>
        </w:rPr>
      </w:pPr>
      <w:r>
        <w:rPr>
          <w:rFonts w:hint="eastAsia" w:ascii="Times New Roman" w:hAnsi="Times New Roman" w:eastAsia="宋体" w:cs="Times New Roman"/>
          <w:lang w:val="en-US" w:eastAsia="zh-CN" w:bidi="ar-SA"/>
        </w:rPr>
        <w:t>若这些承诺长期未兑现，或与卫星遥感反映的园区实际环境变化明显背离，则构成漂绿嫌疑。这种嫌疑反映企业存在治理缺陷或道德风险。当漂绿行为积累到一定程度，治理缺陷会传导至财务层面，表现为现金流恶化、偿债能力下降，增加违约风险。</w:t>
      </w:r>
    </w:p>
    <w:p w14:paraId="442D92F8">
      <w:pPr>
        <w:pStyle w:val="3"/>
        <w:bidi w:val="0"/>
        <w:rPr>
          <w:rFonts w:hint="eastAsia"/>
          <w:lang w:val="en-US" w:eastAsia="zh-CN"/>
        </w:rPr>
      </w:pPr>
      <w:r>
        <w:rPr>
          <w:rFonts w:hint="eastAsia"/>
          <w:lang w:val="en-US" w:eastAsia="zh-CN"/>
        </w:rPr>
        <w:t>2.3 三源交叉验证分析框架</w:t>
      </w:r>
    </w:p>
    <w:p w14:paraId="35C35B3F">
      <w:pPr>
        <w:bidi w:val="0"/>
        <w:rPr>
          <w:rFonts w:hint="eastAsia" w:ascii="Times New Roman" w:hAnsi="Times New Roman" w:eastAsia="宋体" w:cs="Times New Roman"/>
          <w:lang w:val="en-US" w:eastAsia="zh-CN" w:bidi="ar-SA"/>
        </w:rPr>
      </w:pPr>
      <w:r>
        <w:rPr>
          <w:rFonts w:hint="eastAsia" w:ascii="Times New Roman" w:hAnsi="Times New Roman" w:eastAsia="宋体" w:cs="Times New Roman"/>
          <w:lang w:val="en-US" w:eastAsia="zh-CN" w:bidi="ar-SA"/>
        </w:rPr>
        <w:t>本研究构建文本自述、遥感实情、财务结果三源交叉验证框架。</w:t>
      </w:r>
    </w:p>
    <w:p w14:paraId="22D7BF93">
      <w:pPr>
        <w:bidi w:val="0"/>
        <w:rPr>
          <w:rFonts w:hint="eastAsia" w:ascii="Times New Roman" w:hAnsi="Times New Roman" w:eastAsia="宋体" w:cs="Times New Roman"/>
          <w:lang w:val="en-US" w:eastAsia="zh-CN" w:bidi="ar-SA"/>
        </w:rPr>
      </w:pPr>
      <w:r>
        <w:rPr>
          <w:rFonts w:hint="eastAsia" w:ascii="Times New Roman" w:hAnsi="Times New Roman" w:eastAsia="宋体" w:cs="Times New Roman"/>
          <w:lang w:val="en-US" w:eastAsia="zh-CN" w:bidi="ar-SA"/>
        </w:rPr>
        <w:t>文本维度回答企业说了什么。数据来源为ESG报告和年报，提取承诺兑现比、负面词频、绿色投入强度等指标，其证据角色为企业的自我画像。</w:t>
      </w:r>
    </w:p>
    <w:p w14:paraId="0196065D">
      <w:pPr>
        <w:bidi w:val="0"/>
        <w:rPr>
          <w:rFonts w:hint="eastAsia" w:ascii="Times New Roman" w:hAnsi="Times New Roman" w:eastAsia="宋体" w:cs="Times New Roman"/>
          <w:lang w:val="en-US" w:eastAsia="zh-CN" w:bidi="ar-SA"/>
        </w:rPr>
      </w:pPr>
      <w:r>
        <w:rPr>
          <w:rFonts w:hint="eastAsia" w:ascii="Times New Roman" w:hAnsi="Times New Roman" w:eastAsia="宋体" w:cs="Times New Roman"/>
          <w:lang w:val="en-US" w:eastAsia="zh-CN" w:bidi="ar-SA"/>
        </w:rPr>
        <w:t>遥感维度回答企业实际做了什么。数据来源为Sentinel-2多光谱影像，提取行业偏离度、历史恶化度等指标，其证据角色为不可篡改的物理实情。</w:t>
      </w:r>
    </w:p>
    <w:p w14:paraId="5BC0D8A9">
      <w:pPr>
        <w:bidi w:val="0"/>
        <w:rPr>
          <w:rFonts w:hint="eastAsia" w:ascii="Times New Roman" w:hAnsi="Times New Roman" w:eastAsia="宋体" w:cs="Times New Roman"/>
          <w:lang w:val="en-US" w:eastAsia="zh-CN" w:bidi="ar-SA"/>
        </w:rPr>
      </w:pPr>
      <w:r>
        <w:rPr>
          <w:rFonts w:hint="eastAsia" w:ascii="Times New Roman" w:hAnsi="Times New Roman" w:eastAsia="宋体" w:cs="Times New Roman"/>
          <w:lang w:val="en-US" w:eastAsia="zh-CN" w:bidi="ar-SA"/>
        </w:rPr>
        <w:t>财务维度回答企业最终暴露出了什么。数据来源为经审计的财务报表，提取Z-score等12个预警指标，其证据角色为经济后果的最终检验。</w:t>
      </w:r>
    </w:p>
    <w:p w14:paraId="3FFA5A26">
      <w:pPr>
        <w:bidi w:val="0"/>
        <w:rPr>
          <w:rFonts w:hint="eastAsia" w:ascii="Times New Roman" w:hAnsi="Times New Roman" w:eastAsia="宋体" w:cs="Times New Roman"/>
          <w:lang w:val="en-US" w:eastAsia="zh-CN" w:bidi="ar-SA"/>
        </w:rPr>
      </w:pPr>
      <w:r>
        <w:rPr>
          <w:rFonts w:hint="eastAsia" w:ascii="Times New Roman" w:hAnsi="Times New Roman" w:eastAsia="宋体" w:cs="Times New Roman"/>
          <w:lang w:val="en-US" w:eastAsia="zh-CN" w:bidi="ar-SA"/>
        </w:rPr>
        <w:t>核心逻辑是，当文本与遥感两个独立数据源揭示出同一企业的承诺与行动出现背离时，这一信号的可信度远高于单一来源的判断。再以财务数据作为最终校验，若背离企业确实表现出更高的违约概率，则证明漂绿行为对信贷风险具有真实影响。</w:t>
      </w:r>
    </w:p>
    <w:p w14:paraId="349E7C86">
      <w:pPr>
        <w:pStyle w:val="3"/>
        <w:bidi w:val="0"/>
        <w:rPr>
          <w:rFonts w:hint="eastAsia"/>
          <w:lang w:val="en-US" w:eastAsia="zh-CN"/>
        </w:rPr>
      </w:pPr>
      <w:r>
        <w:rPr>
          <w:rFonts w:hint="eastAsia"/>
          <w:lang w:val="en-US" w:eastAsia="zh-CN"/>
        </w:rPr>
        <w:t>2.4 核心研究假设</w:t>
      </w:r>
    </w:p>
    <w:p w14:paraId="5552BDEB">
      <w:pPr>
        <w:bidi w:val="0"/>
        <w:rPr>
          <w:rFonts w:hint="eastAsia" w:ascii="Times New Roman" w:hAnsi="Times New Roman" w:eastAsia="宋体" w:cs="Times New Roman"/>
          <w:lang w:val="en-US" w:eastAsia="zh-CN" w:bidi="ar-SA"/>
        </w:rPr>
      </w:pPr>
      <w:r>
        <w:rPr>
          <w:rFonts w:hint="eastAsia" w:ascii="Times New Roman" w:hAnsi="Times New Roman" w:eastAsia="宋体" w:cs="Times New Roman"/>
          <w:lang w:val="en-US" w:eastAsia="zh-CN" w:bidi="ar-SA"/>
        </w:rPr>
        <w:t>H1：企业ESG文本中承诺-行动背离度越高，漂绿嫌疑越大。</w:t>
      </w:r>
    </w:p>
    <w:p w14:paraId="7C113C98">
      <w:pPr>
        <w:bidi w:val="0"/>
        <w:rPr>
          <w:rFonts w:hint="eastAsia" w:ascii="Times New Roman" w:hAnsi="Times New Roman" w:eastAsia="宋体" w:cs="Times New Roman"/>
          <w:lang w:val="en-US" w:eastAsia="zh-CN" w:bidi="ar-SA"/>
        </w:rPr>
      </w:pPr>
      <w:r>
        <w:rPr>
          <w:rFonts w:hint="eastAsia" w:ascii="Times New Roman" w:hAnsi="Times New Roman" w:eastAsia="宋体" w:cs="Times New Roman"/>
          <w:lang w:val="en-US" w:eastAsia="zh-CN" w:bidi="ar-SA"/>
        </w:rPr>
        <w:t>H2：企业园区遥感偏离度越大，即与行业标杆的距离越远、与自身历史相比恶化越明显，漂绿嫌疑越大。</w:t>
      </w:r>
    </w:p>
    <w:p w14:paraId="4F8B1E12">
      <w:pPr>
        <w:bidi w:val="0"/>
        <w:rPr>
          <w:rFonts w:hint="eastAsia" w:ascii="Times New Roman" w:hAnsi="Times New Roman" w:eastAsia="宋体" w:cs="Times New Roman"/>
          <w:lang w:val="en-US" w:eastAsia="zh-CN" w:bidi="ar-SA"/>
        </w:rPr>
      </w:pPr>
      <w:r>
        <w:rPr>
          <w:rFonts w:hint="eastAsia" w:ascii="Times New Roman" w:hAnsi="Times New Roman" w:eastAsia="宋体" w:cs="Times New Roman"/>
          <w:lang w:val="en-US" w:eastAsia="zh-CN" w:bidi="ar-SA"/>
        </w:rPr>
        <w:t>H3：漂绿嫌疑综合指数GWI与企业未来违约概率显著正相关。</w:t>
      </w:r>
    </w:p>
    <w:p w14:paraId="281DEC4C">
      <w:pPr>
        <w:rPr>
          <w:rFonts w:hint="eastAsia" w:ascii="Times New Roman" w:hAnsi="Times New Roman" w:eastAsia="宋体" w:cs="Times New Roman"/>
          <w:lang w:val="en-US" w:eastAsia="zh-CN" w:bidi="ar-SA"/>
        </w:rPr>
      </w:pPr>
      <w:r>
        <w:rPr>
          <w:rFonts w:hint="eastAsia" w:ascii="Times New Roman" w:hAnsi="Times New Roman" w:eastAsia="宋体" w:cs="Times New Roman"/>
          <w:lang w:val="en-US" w:eastAsia="zh-CN" w:bidi="ar-SA"/>
        </w:rPr>
        <w:t>H4：融合财务、文本与遥感数据的多模态模型的违约预测性能，显著优于仅使用财务指标的单一模型。</w:t>
      </w:r>
      <w:r>
        <w:rPr>
          <w:rFonts w:hint="eastAsia" w:ascii="Times New Roman" w:hAnsi="Times New Roman" w:eastAsia="宋体" w:cs="Times New Roman"/>
          <w:lang w:val="en-US" w:eastAsia="zh-CN" w:bidi="ar-SA"/>
        </w:rPr>
        <w:br w:type="page"/>
      </w:r>
    </w:p>
    <w:p w14:paraId="4B5D04D3">
      <w:pPr>
        <w:pStyle w:val="2"/>
        <w:bidi w:val="0"/>
        <w:rPr>
          <w:rFonts w:hint="eastAsia"/>
          <w:lang w:val="en-US" w:eastAsia="zh-CN"/>
        </w:rPr>
      </w:pPr>
      <w:r>
        <w:rPr>
          <w:rFonts w:hint="eastAsia"/>
          <w:lang w:val="en-US" w:eastAsia="zh-CN"/>
        </w:rPr>
        <w:t>第三章 数据采集与预处理</w:t>
      </w:r>
    </w:p>
    <w:p w14:paraId="5016C6D8">
      <w:pPr>
        <w:pStyle w:val="4"/>
        <w:bidi w:val="0"/>
        <w:rPr>
          <w:rFonts w:hint="eastAsia"/>
          <w:lang w:val="en-US" w:eastAsia="zh-CN"/>
        </w:rPr>
      </w:pPr>
      <w:r>
        <w:rPr>
          <w:rFonts w:hint="eastAsia"/>
          <w:lang w:val="en-US" w:eastAsia="zh-CN"/>
        </w:rPr>
        <w:t>3.1 样本设计</w:t>
      </w:r>
    </w:p>
    <w:p w14:paraId="084E84D8">
      <w:pPr>
        <w:bidi w:val="0"/>
        <w:rPr>
          <w:rFonts w:hint="eastAsia" w:ascii="Times New Roman" w:hAnsi="Times New Roman" w:eastAsia="宋体" w:cs="Times New Roman"/>
          <w:lang w:val="en-US" w:eastAsia="zh-CN" w:bidi="ar-SA"/>
        </w:rPr>
      </w:pPr>
      <w:r>
        <w:t>样本总体构成涵盖总计75家企业（目标）。目前已完成全部8个行业（发电、钢铁、建材、有色、石化、化工、造纸、航空）70家企业的预筛选与分组，其中建模样本53家（绿色20、争议20、棕色13），行业标杆14家，独立测试集3家。棕色组超出目标3家，标杆缺口1家，独立测试集缺口7家，后续从备选池补充。化工与造纸行业为本轮新增核验填充。</w:t>
      </w:r>
    </w:p>
    <w:p w14:paraId="59F74A1E">
      <w:pPr>
        <w:bidi w:val="0"/>
        <w:rPr>
          <w:rFonts w:hint="eastAsia" w:ascii="Times New Roman" w:hAnsi="Times New Roman" w:eastAsia="宋体" w:cs="Times New Roman"/>
          <w:lang w:val="en-US" w:eastAsia="zh-CN" w:bidi="ar-SA"/>
        </w:rPr>
      </w:pPr>
      <w:r>
        <w:t>建模样本53家。其中绿色组20家，为各行业内获评国家级或省级绿色工厂的企业（发电/航空行业因工信部绿色工厂认证仅限制造业，改用2019年前省级绿色工厂或替代标准）。经核</w:t>
      </w:r>
      <w:bookmarkStart w:id="0" w:name="_GoBack"/>
      <w:bookmarkEnd w:id="0"/>
      <w:r>
        <w:t>验，绿色组中4家企业在工信部1-4批绿色工厂名单中有明确记录：中泰化学(002135，第二批2018年）、万华化学(600309，第一批2017年+第三批2019年）、景兴纸业(002067，第三批2019年）、荣晟环保(603165，第三批2019年）。争议组20家，为2022年前曾受环保处罚或被媒体质疑漂绿的企业。棕色组13家，超出目标3家，为各行业高耗能且未获评绿色工厂的企业。</w:t>
      </w:r>
    </w:p>
    <w:p w14:paraId="6C3C08E1">
      <w:pPr>
        <w:bidi w:val="0"/>
        <w:rPr>
          <w:rFonts w:hint="eastAsia" w:ascii="Times New Roman" w:hAnsi="Times New Roman" w:eastAsia="宋体" w:cs="Times New Roman"/>
          <w:lang w:val="en-US" w:eastAsia="zh-CN" w:bidi="ar-SA"/>
        </w:rPr>
      </w:pPr>
      <w:r>
        <w:t>独立测试集目标10家，目前已确认3家（发电：永泰能源600157、天富能源600509；航空：海南航空600221），均为2022-2025年间因漂绿/数据造假被公开处罚的企业，全程不参与任何训练与权重计算。剩余7家主要从化工、造纸及备选行业中另选已曝光漂绿企业。</w:t>
      </w:r>
    </w:p>
    <w:p w14:paraId="30CC2192">
      <w:pPr>
        <w:bidi w:val="0"/>
        <w:rPr>
          <w:rFonts w:hint="eastAsia" w:ascii="Times New Roman" w:hAnsi="Times New Roman" w:eastAsia="宋体" w:cs="Times New Roman"/>
          <w:lang w:val="en-US" w:eastAsia="zh-CN" w:bidi="ar-SA"/>
        </w:rPr>
      </w:pPr>
      <w:r>
        <w:t>行业标杆14家（目标15家，缺口1家），为样本外绿色工厂，要求获评满3年且无环保处罚记录，仅用于遥感特征参照系。其中万华化学(600309)经核验在第一批(2017年)和第三批(2019年)绿色工厂名单中，荣晟环保(603165)在第三批(2019年)名单中。造纸标杆-晨鸣纸业(000488)因近年财务压力，于2026-06-03替换为太阳纸业(002078)。发电行业标杆标准调整为省级绿色工厂或清洁能源认证。</w:t>
      </w:r>
    </w:p>
    <w:p w14:paraId="3C4A3533">
      <w:pPr>
        <w:bidi w:val="0"/>
        <w:rPr>
          <w:rFonts w:hint="eastAsia" w:ascii="Times New Roman" w:hAnsi="Times New Roman" w:eastAsia="宋体" w:cs="Times New Roman"/>
          <w:lang w:val="en-US" w:eastAsia="zh-CN" w:bidi="ar-SA"/>
        </w:rPr>
      </w:pPr>
      <w:r>
        <w:t>行业覆盖依据国家发改委八大高耗能行业分类，涵盖发电、钢铁、建材、有色、石化、化工、造纸和航空8个行业（8个行业已全部填充完毕）。各行业分布：钢铁9家（3绿3争议1棕2标杆）、建材9家（3绿3争议1棕2标杆）、有色8家（2绿2争议2棕2标杆）、石化8家（2绿2争议2棕2标杆）、化工8家（2绿2争议2棕2标杆，本轮新增核验）、造纸9家（3绿3争议1棕2标杆，本轮新增核验）、发电11家（3绿2争议2棕2标杆+2独立测试集）、航空8家（2绿2争议2棕1标杆+1独立测试集）。</w:t>
      </w:r>
    </w:p>
    <w:p w14:paraId="3F011E7B">
      <w:pPr>
        <w:bidi w:val="0"/>
        <w:rPr>
          <w:rFonts w:hint="eastAsia" w:ascii="Times New Roman" w:hAnsi="Times New Roman" w:eastAsia="宋体" w:cs="Times New Roman"/>
          <w:lang w:val="en-US" w:eastAsia="zh-CN" w:bidi="ar-SA"/>
        </w:rPr>
      </w:pPr>
      <w:r>
        <w:rPr>
          <w:rFonts w:hint="eastAsia" w:ascii="Times New Roman" w:hAnsi="Times New Roman" w:eastAsia="宋体" w:cs="Times New Roman"/>
          <w:lang w:val="en-US" w:eastAsia="zh-CN" w:bidi="ar-SA"/>
        </w:rPr>
        <w:t>前瞻性时间窗口设计。特征窗口为2019至2021年，所有输入特征严格取自此时段。标签窗口为2022至2025年，记录是否发生ST或债券违约。此设计模拟银行贷前审核场景，即仅用历史数据预测未来风险。</w:t>
      </w:r>
    </w:p>
    <w:p w14:paraId="44891F4F">
      <w:pPr>
        <w:pStyle w:val="3"/>
        <w:bidi w:val="0"/>
        <w:rPr>
          <w:rFonts w:hint="eastAsia"/>
          <w:lang w:val="en-US" w:eastAsia="zh-CN"/>
        </w:rPr>
      </w:pPr>
      <w:r>
        <w:rPr>
          <w:rFonts w:hint="eastAsia"/>
          <w:lang w:val="en-US" w:eastAsia="zh-CN"/>
        </w:rPr>
        <w:t>3.2 数据来源与获取</w:t>
      </w:r>
    </w:p>
    <w:p w14:paraId="34E9BA0A">
      <w:pPr>
        <w:bidi w:val="0"/>
        <w:rPr>
          <w:rFonts w:hint="eastAsia" w:ascii="Times New Roman" w:hAnsi="Times New Roman" w:eastAsia="宋体" w:cs="Times New Roman"/>
          <w:lang w:val="en-US" w:eastAsia="zh-CN" w:bidi="ar-SA"/>
        </w:rPr>
      </w:pPr>
      <w:r>
        <w:rPr>
          <w:rFonts w:hint="eastAsia" w:ascii="Times New Roman" w:hAnsi="Times New Roman" w:eastAsia="宋体" w:cs="Times New Roman"/>
          <w:b/>
          <w:bCs/>
          <w:lang w:val="en-US" w:eastAsia="zh-CN" w:bidi="ar-SA"/>
        </w:rPr>
        <w:t>ESG报告和年报</w:t>
      </w:r>
      <w:r>
        <w:rPr>
          <w:rFonts w:hint="eastAsia" w:ascii="Times New Roman" w:hAnsi="Times New Roman" w:eastAsia="宋体" w:cs="Times New Roman"/>
          <w:lang w:val="en-US" w:eastAsia="zh-CN" w:bidi="ar-SA"/>
        </w:rPr>
        <w:t>来源于巨潮资讯网，通过Python爬虫加pdfplumber解析获取，时间范围为2019至2021年。</w:t>
      </w:r>
    </w:p>
    <w:p w14:paraId="2C2E26F6">
      <w:pPr>
        <w:bidi w:val="0"/>
        <w:rPr>
          <w:rFonts w:hint="eastAsia" w:ascii="Times New Roman" w:hAnsi="Times New Roman" w:eastAsia="宋体" w:cs="Times New Roman"/>
          <w:lang w:val="en-US" w:eastAsia="zh-CN" w:bidi="ar-SA"/>
        </w:rPr>
      </w:pPr>
      <w:r>
        <w:rPr>
          <w:rFonts w:hint="eastAsia" w:ascii="Times New Roman" w:hAnsi="Times New Roman" w:eastAsia="宋体" w:cs="Times New Roman"/>
          <w:lang w:val="en-US" w:eastAsia="zh-CN" w:bidi="ar-SA"/>
        </w:rPr>
        <w:t>财务数据来源于Tushare或东方财富，通过API调用获取，时间范围为2019至2021年。</w:t>
      </w:r>
    </w:p>
    <w:p w14:paraId="6459FA00">
      <w:pPr>
        <w:bidi w:val="0"/>
        <w:rPr>
          <w:rFonts w:hint="default" w:ascii="Times New Roman" w:hAnsi="Times New Roman" w:eastAsia="宋体" w:cs="Times New Roman"/>
          <w:lang w:val="en-US" w:eastAsia="zh-CN" w:bidi="ar-SA"/>
        </w:rPr>
      </w:pPr>
      <w:r>
        <w:rPr>
          <w:rFonts w:hint="eastAsia" w:ascii="Times New Roman" w:hAnsi="Times New Roman" w:eastAsia="宋体" w:cs="Times New Roman"/>
          <w:b/>
          <w:bCs/>
          <w:lang w:val="en-US" w:eastAsia="zh-CN" w:bidi="ar-SA"/>
        </w:rPr>
        <w:t>卫星遥感影像来源于Copernicus Open Hub或Google Earth Engine，使用Sentinel-2 Level-2A产品，选取每年6至8月夏季数据，云量低于20%，获取2019年和2021年两期影像。</w:t>
      </w:r>
      <w:r>
        <w:rPr>
          <w:rFonts w:hint="eastAsia" w:ascii="Times New Roman" w:hAnsi="Times New Roman" w:cs="Times New Roman"/>
          <w:b/>
          <w:bCs/>
          <w:color w:val="FF0000"/>
          <w:lang w:val="en-US" w:eastAsia="zh-CN" w:bidi="ar-SA"/>
        </w:rPr>
        <w:t>(需外网才能获取</w:t>
      </w:r>
      <w:r>
        <w:rPr>
          <w:rFonts w:hint="eastAsia" w:ascii="Times New Roman" w:hAnsi="Times New Roman" w:cs="Times New Roman"/>
          <w:b/>
          <w:bCs/>
          <w:lang w:val="en-US" w:eastAsia="zh-CN" w:bidi="ar-SA"/>
        </w:rPr>
        <w:t>)，选取最具代表性的1-2个主要生产经营基地作为遥感观测点即可。发电企业如果无法确定具体电厂，可用企业注册地所在城市的行政区划替代。</w:t>
      </w:r>
    </w:p>
    <w:p w14:paraId="11BC191C">
      <w:pPr>
        <w:bidi w:val="0"/>
        <w:rPr>
          <w:rFonts w:hint="eastAsia" w:ascii="Times New Roman" w:hAnsi="Times New Roman" w:eastAsia="宋体" w:cs="Times New Roman"/>
          <w:lang w:val="en-US" w:eastAsia="zh-CN" w:bidi="ar-SA"/>
        </w:rPr>
      </w:pPr>
      <w:r>
        <w:rPr>
          <w:rFonts w:hint="eastAsia" w:ascii="Times New Roman" w:hAnsi="Times New Roman" w:eastAsia="宋体" w:cs="Times New Roman"/>
          <w:lang w:val="en-US" w:eastAsia="zh-CN" w:bidi="ar-SA"/>
        </w:rPr>
        <w:t>违约标签来源于Wind或巨潮资讯网，提取2022至2025年间的ST标识和债券违约公告。</w:t>
      </w:r>
    </w:p>
    <w:p w14:paraId="4FABC1BB">
      <w:pPr>
        <w:bidi w:val="0"/>
        <w:rPr>
          <w:rFonts w:hint="eastAsia" w:ascii="Times New Roman" w:hAnsi="Times New Roman" w:eastAsia="宋体" w:cs="Times New Roman"/>
          <w:lang w:val="en-US" w:eastAsia="zh-CN" w:bidi="ar-SA"/>
        </w:rPr>
      </w:pPr>
      <w:r>
        <w:rPr>
          <w:rFonts w:hint="eastAsia" w:ascii="Times New Roman" w:hAnsi="Times New Roman" w:eastAsia="宋体" w:cs="Times New Roman"/>
          <w:lang w:val="en-US" w:eastAsia="zh-CN" w:bidi="ar-SA"/>
        </w:rPr>
        <w:t>绿色工厂名录来源于工信部官网公开名单。</w:t>
      </w:r>
    </w:p>
    <w:p w14:paraId="1A7F2F49">
      <w:pPr>
        <w:pStyle w:val="3"/>
        <w:bidi w:val="0"/>
        <w:rPr>
          <w:rFonts w:hint="eastAsia"/>
          <w:lang w:val="en-US" w:eastAsia="zh-CN"/>
        </w:rPr>
      </w:pPr>
      <w:r>
        <w:rPr>
          <w:rFonts w:hint="eastAsia"/>
          <w:lang w:val="en-US" w:eastAsia="zh-CN"/>
        </w:rPr>
        <w:t>3.3 数据划分与隔离保障</w:t>
      </w:r>
    </w:p>
    <w:p w14:paraId="61F5C5B4">
      <w:pPr>
        <w:bidi w:val="0"/>
        <w:rPr>
          <w:rFonts w:hint="eastAsia" w:ascii="Times New Roman" w:hAnsi="Times New Roman" w:eastAsia="宋体" w:cs="Times New Roman"/>
          <w:lang w:val="en-US" w:eastAsia="zh-CN" w:bidi="ar-SA"/>
        </w:rPr>
      </w:pPr>
      <w:r>
        <w:rPr>
          <w:rFonts w:hint="eastAsia" w:ascii="Times New Roman" w:hAnsi="Times New Roman" w:eastAsia="宋体" w:cs="Times New Roman"/>
          <w:lang w:val="en-US" w:eastAsia="zh-CN" w:bidi="ar-SA"/>
        </w:rPr>
        <w:t>为保证统计严谨性，实施严格的数据隔离。</w:t>
      </w:r>
    </w:p>
    <w:p w14:paraId="27ED75D9">
      <w:pPr>
        <w:bidi w:val="0"/>
        <w:rPr>
          <w:rFonts w:hint="eastAsia" w:ascii="Times New Roman" w:hAnsi="Times New Roman" w:eastAsia="宋体" w:cs="Times New Roman"/>
          <w:lang w:val="en-US" w:eastAsia="zh-CN" w:bidi="ar-SA"/>
        </w:rPr>
      </w:pPr>
      <w:r>
        <w:t>GWI训练集由绿色组20家加争议组15家组成，共35家。用于文本和遥感指标构建以及GWI权重确定。</w:t>
      </w:r>
    </w:p>
    <w:p w14:paraId="63CF281F">
      <w:pPr>
        <w:bidi w:val="0"/>
        <w:rPr>
          <w:rFonts w:hint="eastAsia" w:ascii="Times New Roman" w:hAnsi="Times New Roman" w:eastAsia="宋体" w:cs="Times New Roman"/>
          <w:lang w:val="en-US" w:eastAsia="zh-CN" w:bidi="ar-SA"/>
        </w:rPr>
      </w:pPr>
      <w:r>
        <w:t>验证集为争议组剩余5家。仅用于LightGBM超参数调参，不参与GWI权重计算。</w:t>
      </w:r>
    </w:p>
    <w:p w14:paraId="42F4604D">
      <w:pPr>
        <w:bidi w:val="0"/>
        <w:rPr>
          <w:rFonts w:hint="eastAsia" w:ascii="Times New Roman" w:hAnsi="Times New Roman" w:eastAsia="宋体" w:cs="Times New Roman"/>
          <w:lang w:val="en-US" w:eastAsia="zh-CN" w:bidi="ar-SA"/>
        </w:rPr>
      </w:pPr>
      <w:r>
        <w:t>独立测试集为已知曝光漂绿企业10家。已确认3家，剩余7家从化工造纸备选池及独立测试集备选名单中补充。全程不参与任何训练过程。</w:t>
      </w:r>
    </w:p>
    <w:p w14:paraId="6D2DDB02">
      <w:pPr>
        <w:bidi w:val="0"/>
        <w:rPr>
          <w:rFonts w:hint="eastAsia" w:ascii="Times New Roman" w:hAnsi="Times New Roman" w:eastAsia="宋体" w:cs="Times New Roman"/>
          <w:lang w:val="en-US" w:eastAsia="zh-CN" w:bidi="ar-SA"/>
        </w:rPr>
      </w:pPr>
      <w:r>
        <w:t>行业标杆集为样本外绿色工厂14家。仅用于遥感特征参照系，完全不参与任何训练或验证。标杆缺口1家后续从备选池补充（优先选择经核验的绿色工厂企业）。</w:t>
      </w:r>
    </w:p>
    <w:p w14:paraId="1A999FB4">
      <w:pPr>
        <w:bidi w:val="0"/>
        <w:rPr>
          <w:rFonts w:hint="eastAsia" w:ascii="Times New Roman" w:hAnsi="Times New Roman" w:eastAsia="宋体" w:cs="Times New Roman"/>
          <w:lang w:val="en-US" w:eastAsia="zh-CN" w:bidi="ar-SA"/>
        </w:rPr>
      </w:pPr>
      <w:r>
        <w:t>违约预测训练集由绿色组20家加棕色组13家加争议组15家组成，共48家。用于违约模型训练，与独立测试集无重叠。</w:t>
      </w:r>
    </w:p>
    <w:p w14:paraId="3FBCEF77">
      <w:pPr>
        <w:bidi w:val="0"/>
        <w:rPr>
          <w:rFonts w:hint="eastAsia" w:ascii="Times New Roman" w:hAnsi="Times New Roman" w:eastAsia="宋体" w:cs="Times New Roman"/>
          <w:lang w:val="en-US" w:eastAsia="zh-CN" w:bidi="ar-SA"/>
        </w:rPr>
      </w:pPr>
      <w:r>
        <w:rPr>
          <w:rFonts w:hint="eastAsia" w:ascii="Times New Roman" w:hAnsi="Times New Roman" w:eastAsia="宋体" w:cs="Times New Roman"/>
          <w:lang w:val="en-US" w:eastAsia="zh-CN" w:bidi="ar-SA"/>
        </w:rPr>
        <w:t>PCA降维仅在GWI训练集35家上拟合，验证集和独立测试集使用相同PCA模型进行投影，确保测试集不参与降维过程的学习。</w:t>
      </w:r>
    </w:p>
    <w:p w14:paraId="568AAF1B">
      <w:pPr>
        <w:bidi w:val="0"/>
        <w:rPr>
          <w:rFonts w:hint="eastAsia" w:ascii="Times New Roman" w:hAnsi="Times New Roman" w:eastAsia="宋体" w:cs="Times New Roman"/>
          <w:lang w:val="en-US" w:eastAsia="zh-CN" w:bidi="ar-SA"/>
        </w:rPr>
      </w:pPr>
      <w:r>
        <w:rPr>
          <w:rFonts w:hint="eastAsia" w:ascii="Times New Roman" w:hAnsi="Times New Roman" w:eastAsia="宋体" w:cs="Times New Roman"/>
          <w:lang w:val="en-US" w:eastAsia="zh-CN" w:bidi="ar-SA"/>
        </w:rPr>
        <w:t>GWI权重仅在GWI训练集上计算，独立测试集在最终评估阶段才使用一次。</w:t>
      </w:r>
    </w:p>
    <w:p w14:paraId="10995564">
      <w:pPr>
        <w:bidi w:val="0"/>
        <w:rPr>
          <w:rFonts w:hint="eastAsia" w:ascii="Times New Roman" w:hAnsi="Times New Roman" w:eastAsia="宋体" w:cs="Times New Roman"/>
          <w:lang w:val="en-US" w:eastAsia="zh-CN" w:bidi="ar-SA"/>
        </w:rPr>
      </w:pPr>
      <w:r>
        <w:t>行业标杆企业完全独立于研究样本，从国家绿色工厂名录（制造业，工信部1-4批名单）或省级绿色工厂名录（发电/航空）中另选。已核验确认的标杆绿色工厂：万华化学(600309，第一批2017年+第三批2019年)、荣晟环保(603165，第三批2019年)。造纸标杆晨鸣纸业(000488)于2026-06-03替换为太阳纸业(002078)。对任意样本企业计算横向得分时，标杆中心不包含该企业自身，从根本上消除自我参照偏差。</w:t>
      </w:r>
    </w:p>
    <w:p w14:paraId="56251A88">
      <w:pPr>
        <w:pStyle w:val="3"/>
        <w:bidi w:val="0"/>
        <w:rPr>
          <w:rFonts w:hint="eastAsia"/>
          <w:lang w:val="en-US" w:eastAsia="zh-CN"/>
        </w:rPr>
      </w:pPr>
      <w:r>
        <w:rPr>
          <w:rFonts w:hint="eastAsia"/>
          <w:lang w:val="en-US" w:eastAsia="zh-CN"/>
        </w:rPr>
        <w:t>3.4 数据预处理流程</w:t>
      </w:r>
    </w:p>
    <w:p w14:paraId="4CE2674F">
      <w:pPr>
        <w:bidi w:val="0"/>
        <w:rPr>
          <w:rFonts w:hint="eastAsia" w:ascii="Times New Roman" w:hAnsi="Times New Roman" w:eastAsia="宋体" w:cs="Times New Roman"/>
          <w:lang w:val="en-US" w:eastAsia="zh-CN" w:bidi="ar-SA"/>
        </w:rPr>
      </w:pPr>
      <w:r>
        <w:rPr>
          <w:rFonts w:hint="eastAsia" w:ascii="Times New Roman" w:hAnsi="Times New Roman" w:eastAsia="宋体" w:cs="Times New Roman"/>
          <w:lang w:val="en-US" w:eastAsia="zh-CN" w:bidi="ar-SA"/>
        </w:rPr>
        <w:t>文本清洗包括四个步骤。pdfplumber解析PDF提取正文；Jieba分词并加载自定义环保词典；合并哈工大、百度、川大停用词表去除停用词；通过正则匹配剔除标题党和广告等噪声文本。</w:t>
      </w:r>
    </w:p>
    <w:p w14:paraId="2C3F8B4A">
      <w:pPr>
        <w:bidi w:val="0"/>
        <w:rPr>
          <w:rFonts w:hint="eastAsia" w:ascii="Times New Roman" w:hAnsi="Times New Roman" w:eastAsia="宋体" w:cs="Times New Roman"/>
          <w:lang w:val="en-US" w:eastAsia="zh-CN" w:bidi="ar-SA"/>
        </w:rPr>
      </w:pPr>
      <w:r>
        <w:rPr>
          <w:rFonts w:hint="eastAsia" w:ascii="Times New Roman" w:hAnsi="Times New Roman" w:eastAsia="宋体" w:cs="Times New Roman"/>
          <w:lang w:val="en-US" w:eastAsia="zh-CN" w:bidi="ar-SA"/>
        </w:rPr>
        <w:t>遥感影像预处理包括三步。辐射定标与大气校正；依据QA60波段自动过滤云量高于百分之二十的影像；基于企业经纬度坐标，对厂区边界进行1公里缓冲区裁剪。</w:t>
      </w:r>
    </w:p>
    <w:p w14:paraId="620B643F">
      <w:pPr>
        <w:bidi w:val="0"/>
        <w:rPr>
          <w:rFonts w:hint="eastAsia" w:ascii="Times New Roman" w:hAnsi="Times New Roman" w:eastAsia="宋体" w:cs="Times New Roman"/>
          <w:lang w:val="en-US" w:eastAsia="zh-CN" w:bidi="ar-SA"/>
        </w:rPr>
      </w:pPr>
      <w:r>
        <w:rPr>
          <w:rFonts w:hint="eastAsia" w:ascii="Times New Roman" w:hAnsi="Times New Roman" w:eastAsia="宋体" w:cs="Times New Roman"/>
          <w:lang w:val="en-US" w:eastAsia="zh-CN" w:bidi="ar-SA"/>
        </w:rPr>
        <w:t>财务数据标准化采用Z-score标准化消除量纲差异，对缺失值采用均值填充，整体缺失率低于百分之五。</w:t>
      </w:r>
    </w:p>
    <w:p w14:paraId="557E0392">
      <w:pPr>
        <w:pStyle w:val="3"/>
        <w:bidi w:val="0"/>
        <w:rPr>
          <w:rFonts w:hint="eastAsia"/>
          <w:lang w:val="en-US" w:eastAsia="zh-CN"/>
        </w:rPr>
      </w:pPr>
      <w:r>
        <w:rPr>
          <w:rFonts w:hint="eastAsia"/>
          <w:lang w:val="en-US" w:eastAsia="zh-CN"/>
        </w:rPr>
        <w:t>3.5 核心变量定义</w:t>
      </w:r>
    </w:p>
    <w:p w14:paraId="5F50EF35">
      <w:pPr>
        <w:bidi w:val="0"/>
        <w:rPr>
          <w:rFonts w:hint="eastAsia" w:ascii="Times New Roman" w:hAnsi="Times New Roman" w:eastAsia="宋体" w:cs="Times New Roman"/>
          <w:lang w:val="en-US" w:eastAsia="zh-CN" w:bidi="ar-SA"/>
        </w:rPr>
      </w:pPr>
      <w:r>
        <w:rPr>
          <w:rFonts w:hint="eastAsia" w:ascii="Times New Roman" w:hAnsi="Times New Roman" w:eastAsia="宋体" w:cs="Times New Roman"/>
          <w:lang w:val="en-US" w:eastAsia="zh-CN" w:bidi="ar-SA"/>
        </w:rPr>
        <w:t>被解释变量为违约标签，定义为2022至2025年间是否发生ST或被交易所公告债券违约，1表示违约，0表示正常，时间窗口为2022至2025年。</w:t>
      </w:r>
    </w:p>
    <w:p w14:paraId="4651019C">
      <w:pPr>
        <w:bidi w:val="0"/>
        <w:rPr>
          <w:rFonts w:hint="eastAsia" w:ascii="Times New Roman" w:hAnsi="Times New Roman" w:eastAsia="宋体" w:cs="Times New Roman"/>
          <w:lang w:val="en-US" w:eastAsia="zh-CN" w:bidi="ar-SA"/>
        </w:rPr>
      </w:pPr>
      <w:r>
        <w:rPr>
          <w:rFonts w:hint="eastAsia" w:ascii="Times New Roman" w:hAnsi="Times New Roman" w:eastAsia="宋体" w:cs="Times New Roman"/>
          <w:lang w:val="en-US" w:eastAsia="zh-CN" w:bidi="ar-SA"/>
        </w:rPr>
        <w:t>核心解释变量为漂绿嫌疑综合指数GWI，由遥感偏离度、承诺兑现比、环保负面词频经方差最大化赋权法加权合成，时间窗口为2019至2021年。</w:t>
      </w:r>
    </w:p>
    <w:p w14:paraId="4B57CB66">
      <w:pPr>
        <w:bidi w:val="0"/>
        <w:rPr>
          <w:rFonts w:hint="eastAsia" w:ascii="Times New Roman" w:hAnsi="Times New Roman" w:eastAsia="宋体" w:cs="Times New Roman"/>
          <w:lang w:val="en-US" w:eastAsia="zh-CN" w:bidi="ar-SA"/>
        </w:rPr>
      </w:pPr>
      <w:r>
        <w:rPr>
          <w:rFonts w:hint="eastAsia" w:ascii="Times New Roman" w:hAnsi="Times New Roman" w:eastAsia="宋体" w:cs="Times New Roman"/>
          <w:lang w:val="en-US" w:eastAsia="zh-CN" w:bidi="ar-SA"/>
        </w:rPr>
        <w:t>控制变量包括三类。12个财务指标，即Z-score、流动比率、资产负债率、利息保障倍数、总资产周转率、存货周转率、ROA、ROE、营业收入增长率、净利润增长率、经营现金流与负债之比、环保投入与营业收入之比。行业虚拟变量覆盖八大高耗能行业。企业规模以总资产对数衡量。控制变量时间窗口均为2019至2021年。</w:t>
      </w:r>
    </w:p>
    <w:p w14:paraId="52C0A67F">
      <w:pPr>
        <w:rPr>
          <w:rFonts w:hint="eastAsia" w:ascii="Times New Roman" w:hAnsi="Times New Roman" w:eastAsia="宋体" w:cs="Times New Roman"/>
          <w:lang w:val="en-US" w:eastAsia="zh-CN" w:bidi="ar-SA"/>
        </w:rPr>
      </w:pPr>
      <w:r>
        <w:rPr>
          <w:rFonts w:hint="eastAsia" w:ascii="Times New Roman" w:hAnsi="Times New Roman" w:eastAsia="宋体" w:cs="Times New Roman"/>
          <w:lang w:val="en-US" w:eastAsia="zh-CN" w:bidi="ar-SA"/>
        </w:rPr>
        <w:br w:type="page"/>
      </w:r>
    </w:p>
    <w:p w14:paraId="5404B8A4">
      <w:pPr>
        <w:pStyle w:val="2"/>
        <w:bidi w:val="0"/>
        <w:rPr>
          <w:rFonts w:hint="eastAsia"/>
          <w:lang w:val="en-US" w:eastAsia="zh-CN"/>
        </w:rPr>
      </w:pPr>
      <w:r>
        <w:rPr>
          <w:rFonts w:hint="eastAsia"/>
          <w:lang w:val="en-US" w:eastAsia="zh-CN"/>
        </w:rPr>
        <w:t>第四章 模型构建与关键技术</w:t>
      </w:r>
    </w:p>
    <w:p w14:paraId="6316077A">
      <w:pPr>
        <w:pStyle w:val="3"/>
        <w:bidi w:val="0"/>
        <w:rPr>
          <w:rFonts w:hint="eastAsia" w:ascii="Times New Roman" w:hAnsi="Times New Roman" w:eastAsia="宋体" w:cs="Times New Roman"/>
          <w:lang w:val="en-US" w:eastAsia="zh-CN" w:bidi="ar-SA"/>
        </w:rPr>
      </w:pPr>
      <w:r>
        <w:rPr>
          <w:rFonts w:hint="eastAsia"/>
          <w:lang w:val="en-US" w:eastAsia="zh-CN"/>
        </w:rPr>
        <w:t>4.1 基于NLP的承诺-行动分类</w:t>
      </w:r>
    </w:p>
    <w:p w14:paraId="54814745">
      <w:pPr>
        <w:bidi w:val="0"/>
        <w:rPr>
          <w:rFonts w:hint="eastAsia" w:ascii="Times New Roman" w:hAnsi="Times New Roman" w:eastAsia="宋体" w:cs="Times New Roman"/>
          <w:lang w:val="en-US" w:eastAsia="zh-CN" w:bidi="ar-SA"/>
        </w:rPr>
      </w:pPr>
      <w:r>
        <w:rPr>
          <w:rFonts w:hint="eastAsia" w:ascii="Times New Roman" w:hAnsi="Times New Roman" w:eastAsia="宋体" w:cs="Times New Roman"/>
          <w:lang w:val="en-US" w:eastAsia="zh-CN" w:bidi="ar-SA"/>
        </w:rPr>
        <w:t>技术路径为规则前置过滤加RoBERTa微调。</w:t>
      </w:r>
    </w:p>
    <w:p w14:paraId="2249CB26">
      <w:pPr>
        <w:bidi w:val="0"/>
        <w:rPr>
          <w:rFonts w:hint="eastAsia" w:ascii="Times New Roman" w:hAnsi="Times New Roman" w:eastAsia="宋体" w:cs="Times New Roman"/>
          <w:lang w:val="en-US" w:eastAsia="zh-CN" w:bidi="ar-SA"/>
        </w:rPr>
      </w:pPr>
      <w:r>
        <w:rPr>
          <w:rFonts w:hint="eastAsia" w:ascii="Times New Roman" w:hAnsi="Times New Roman" w:eastAsia="宋体" w:cs="Times New Roman"/>
          <w:lang w:val="en-US" w:eastAsia="zh-CN" w:bidi="ar-SA"/>
        </w:rPr>
        <w:t>第一步规则过滤覆盖约百分之六十的句子。含将、计划、预计、拟等词与投入、建设、改造等词搭配的句子强制标记为承诺类。含已、完成、建成、投入运营等词的句子强制标记为行动类。含处罚、超标、事故、违法等词的句子强制标记为负面类。</w:t>
      </w:r>
    </w:p>
    <w:p w14:paraId="2BBB158B">
      <w:pPr>
        <w:bidi w:val="0"/>
        <w:rPr>
          <w:rFonts w:hint="eastAsia" w:ascii="Times New Roman" w:hAnsi="Times New Roman" w:eastAsia="宋体" w:cs="Times New Roman"/>
          <w:lang w:val="en-US" w:eastAsia="zh-CN" w:bidi="ar-SA"/>
        </w:rPr>
      </w:pPr>
      <w:r>
        <w:rPr>
          <w:rFonts w:hint="eastAsia" w:ascii="Times New Roman" w:hAnsi="Times New Roman" w:eastAsia="宋体" w:cs="Times New Roman"/>
          <w:lang w:val="en-US" w:eastAsia="zh-CN" w:bidi="ar-SA"/>
        </w:rPr>
        <w:t>第二步模型分类处理未被规则覆盖的剩余句子。使用uer/roberta-base-finetuned-dianping-chinese预训练模型，</w:t>
      </w:r>
      <w:r>
        <w:rPr>
          <w:rFonts w:hint="eastAsia" w:ascii="Times New Roman" w:hAnsi="Times New Roman" w:eastAsia="宋体" w:cs="Times New Roman"/>
          <w:b/>
          <w:bCs/>
          <w:color w:val="FF0000"/>
          <w:lang w:val="en-US" w:eastAsia="zh-CN" w:bidi="ar-SA"/>
        </w:rPr>
        <w:t>以</w:t>
      </w:r>
      <w:r>
        <w:rPr>
          <w:rFonts w:hint="eastAsia" w:ascii="Times New Roman" w:hAnsi="Times New Roman" w:cs="Times New Roman"/>
          <w:b/>
          <w:bCs/>
          <w:color w:val="FF0000"/>
          <w:lang w:val="en-US" w:eastAsia="zh-CN" w:bidi="ar-SA"/>
        </w:rPr>
        <w:t>750</w:t>
      </w:r>
      <w:r>
        <w:rPr>
          <w:rFonts w:hint="eastAsia" w:ascii="Times New Roman" w:hAnsi="Times New Roman" w:eastAsia="宋体" w:cs="Times New Roman"/>
          <w:b/>
          <w:bCs/>
          <w:color w:val="FF0000"/>
          <w:lang w:val="en-US" w:eastAsia="zh-CN" w:bidi="ar-SA"/>
        </w:rPr>
        <w:t>条从非样本企业</w:t>
      </w:r>
      <w:r>
        <w:rPr>
          <w:rFonts w:hint="eastAsia" w:ascii="Times New Roman" w:hAnsi="Times New Roman" w:cs="Times New Roman"/>
          <w:b/>
          <w:bCs/>
          <w:color w:val="FF0000"/>
          <w:lang w:val="en-US" w:eastAsia="zh-CN" w:bidi="ar-SA"/>
        </w:rPr>
        <w:t>（10~20家企业）</w:t>
      </w:r>
      <w:r>
        <w:rPr>
          <w:rFonts w:hint="eastAsia" w:ascii="Times New Roman" w:hAnsi="Times New Roman" w:eastAsia="宋体" w:cs="Times New Roman"/>
          <w:b/>
          <w:bCs/>
          <w:color w:val="FF0000"/>
          <w:lang w:val="en-US" w:eastAsia="zh-CN" w:bidi="ar-SA"/>
        </w:rPr>
        <w:t>ESG报告中抽取并人工标注的句子</w:t>
      </w:r>
      <w:r>
        <w:rPr>
          <w:rFonts w:hint="eastAsia" w:ascii="Times New Roman" w:hAnsi="Times New Roman" w:eastAsia="宋体" w:cs="Times New Roman"/>
          <w:lang w:val="en-US" w:eastAsia="zh-CN" w:bidi="ar-SA"/>
        </w:rPr>
        <w:t>进行微调，分类准确率目标不低于百分之九十二。</w:t>
      </w:r>
    </w:p>
    <w:p w14:paraId="1C020B94">
      <w:pPr>
        <w:bidi w:val="0"/>
        <w:rPr>
          <w:rFonts w:hint="eastAsia" w:ascii="Times New Roman" w:hAnsi="Times New Roman" w:eastAsia="宋体" w:cs="Times New Roman"/>
          <w:lang w:val="en-US" w:eastAsia="zh-CN" w:bidi="ar-SA"/>
        </w:rPr>
      </w:pPr>
      <w:r>
        <w:rPr>
          <w:rFonts w:hint="eastAsia" w:ascii="Times New Roman" w:hAnsi="Times New Roman" w:eastAsia="宋体" w:cs="Times New Roman"/>
          <w:lang w:val="en-US" w:eastAsia="zh-CN" w:bidi="ar-SA"/>
        </w:rPr>
        <w:t>第三步指标聚合计算三个核心指标。承诺兑现比等于行动句子数除以承诺句子数加微小常数。绿色投入强度等于环保投入金额除以营业收入。环保负面词频等于负面句子数除以总句子数。</w:t>
      </w:r>
    </w:p>
    <w:p w14:paraId="65E9DE0D">
      <w:pPr>
        <w:pStyle w:val="3"/>
        <w:bidi w:val="0"/>
        <w:rPr>
          <w:rFonts w:hint="eastAsia"/>
          <w:lang w:val="en-US" w:eastAsia="zh-CN"/>
        </w:rPr>
      </w:pPr>
      <w:r>
        <w:rPr>
          <w:rFonts w:hint="eastAsia"/>
          <w:lang w:val="en-US" w:eastAsia="zh-CN"/>
        </w:rPr>
        <w:t>4.2 基于ResNet的遥感深度特征与双维度偏离度</w:t>
      </w:r>
    </w:p>
    <w:p w14:paraId="3025E172">
      <w:pPr>
        <w:bidi w:val="0"/>
        <w:rPr>
          <w:rFonts w:hint="eastAsia" w:ascii="Times New Roman" w:hAnsi="Times New Roman" w:eastAsia="宋体" w:cs="Times New Roman"/>
          <w:lang w:val="en-US" w:eastAsia="zh-CN" w:bidi="ar-SA"/>
        </w:rPr>
      </w:pPr>
      <w:r>
        <w:rPr>
          <w:rFonts w:hint="eastAsia" w:ascii="Times New Roman" w:hAnsi="Times New Roman" w:eastAsia="宋体" w:cs="Times New Roman"/>
          <w:lang w:val="en-US" w:eastAsia="zh-CN" w:bidi="ar-SA"/>
        </w:rPr>
        <w:t>数据源为Sentinel-2 Level-2A多光谱影像，10米和20米分辨率，统一使用每年6至8月夏季数据，云量低于百分之二十。</w:t>
      </w:r>
    </w:p>
    <w:p w14:paraId="60B4BB6D">
      <w:pPr>
        <w:bidi w:val="0"/>
        <w:rPr>
          <w:rFonts w:hint="eastAsia" w:ascii="Times New Roman" w:hAnsi="Times New Roman" w:eastAsia="宋体" w:cs="Times New Roman"/>
          <w:lang w:val="en-US" w:eastAsia="zh-CN" w:bidi="ar-SA"/>
        </w:rPr>
      </w:pPr>
      <w:r>
        <w:rPr>
          <w:rFonts w:hint="eastAsia" w:ascii="Times New Roman" w:hAnsi="Times New Roman" w:eastAsia="宋体" w:cs="Times New Roman"/>
          <w:lang w:val="en-US" w:eastAsia="zh-CN" w:bidi="ar-SA"/>
        </w:rPr>
        <w:t>技术路径为ResNet34特征提取、PCA降维、双维度距离计算。</w:t>
      </w:r>
    </w:p>
    <w:p w14:paraId="02EBD012">
      <w:pPr>
        <w:bidi w:val="0"/>
        <w:rPr>
          <w:rFonts w:hint="eastAsia" w:ascii="Times New Roman" w:hAnsi="Times New Roman" w:eastAsia="宋体" w:cs="Times New Roman"/>
          <w:lang w:val="en-US" w:eastAsia="zh-CN" w:bidi="ar-SA"/>
        </w:rPr>
      </w:pPr>
      <w:r>
        <w:rPr>
          <w:rFonts w:hint="eastAsia" w:ascii="Times New Roman" w:hAnsi="Times New Roman" w:eastAsia="宋体" w:cs="Times New Roman"/>
          <w:lang w:val="en-US" w:eastAsia="zh-CN" w:bidi="ar-SA"/>
        </w:rPr>
        <w:t>第一步特征提取。使用预训练ResNet34，冻结前8层参数，取最后一个平均池化层输出，每个厂区得到一幅512维特征向量。</w:t>
      </w:r>
    </w:p>
    <w:p w14:paraId="306BD2CE">
      <w:pPr>
        <w:bidi w:val="0"/>
        <w:rPr>
          <w:rFonts w:hint="eastAsia" w:ascii="Times New Roman" w:hAnsi="Times New Roman" w:eastAsia="宋体" w:cs="Times New Roman"/>
          <w:lang w:val="en-US" w:eastAsia="zh-CN" w:bidi="ar-SA"/>
        </w:rPr>
      </w:pPr>
      <w:r>
        <w:rPr>
          <w:rFonts w:hint="eastAsia" w:ascii="Times New Roman" w:hAnsi="Times New Roman" w:eastAsia="宋体" w:cs="Times New Roman"/>
          <w:lang w:val="en-US" w:eastAsia="zh-CN" w:bidi="ar-SA"/>
        </w:rPr>
        <w:t>第二步PCA降维。仅在GWI训练集35家上拟合PCA，保留前2个主成分，典型方差解释率高于百分之八十。验证集和独立测试集使用已拟合的PCA模型进行投影，确保测试集不参与降维过程的学习。</w:t>
      </w:r>
    </w:p>
    <w:p w14:paraId="0C8CCA98">
      <w:pPr>
        <w:bidi w:val="0"/>
        <w:rPr>
          <w:rFonts w:hint="eastAsia" w:ascii="Times New Roman" w:hAnsi="Times New Roman" w:eastAsia="宋体" w:cs="Times New Roman"/>
          <w:lang w:val="en-US" w:eastAsia="zh-CN" w:bidi="ar-SA"/>
        </w:rPr>
      </w:pPr>
      <w:r>
        <w:rPr>
          <w:rFonts w:hint="eastAsia" w:ascii="Times New Roman" w:hAnsi="Times New Roman" w:eastAsia="宋体" w:cs="Times New Roman"/>
          <w:lang w:val="en-US" w:eastAsia="zh-CN" w:bidi="ar-SA"/>
        </w:rPr>
        <w:t>第三步双维度偏离度计算。横向得分采用马氏距离，计算企业2021年主成分与行业标杆2021年主成分中心的距离，衡量该企业与行业真绿标杆的差距。纵向得分采用余弦距离，计算1减去企业2021年主成分与企业2019年主成分的余弦相似度，衡量该企业自身环境恶化速度。</w:t>
      </w:r>
    </w:p>
    <w:p w14:paraId="0A6CDF83">
      <w:pPr>
        <w:bidi w:val="0"/>
        <w:rPr>
          <w:rFonts w:hint="eastAsia" w:ascii="Times New Roman" w:hAnsi="Times New Roman" w:eastAsia="宋体" w:cs="Times New Roman"/>
          <w:lang w:val="en-US" w:eastAsia="zh-CN" w:bidi="ar-SA"/>
        </w:rPr>
      </w:pPr>
      <w:r>
        <w:rPr>
          <w:rFonts w:hint="eastAsia" w:ascii="Times New Roman" w:hAnsi="Times New Roman" w:eastAsia="宋体" w:cs="Times New Roman"/>
          <w:lang w:val="en-US" w:eastAsia="zh-CN" w:bidi="ar-SA"/>
        </w:rPr>
        <w:t>第四步合成。横向得分在训练集上进行Min-Max归一化至0至1区间，纵向得分本身处于0至1区间。遥感偏离度等于0.5乘以横向得分加0.5乘以纵向得分，采用等权合成以避免主观偏差。</w:t>
      </w:r>
    </w:p>
    <w:p w14:paraId="3EC00C42">
      <w:pPr>
        <w:bidi w:val="0"/>
        <w:rPr>
          <w:rFonts w:hint="eastAsia" w:ascii="Times New Roman" w:hAnsi="Times New Roman" w:eastAsia="宋体" w:cs="Times New Roman"/>
          <w:lang w:val="en-US" w:eastAsia="zh-CN" w:bidi="ar-SA"/>
        </w:rPr>
      </w:pPr>
      <w:r>
        <w:rPr>
          <w:rFonts w:hint="eastAsia" w:ascii="Times New Roman" w:hAnsi="Times New Roman" w:eastAsia="宋体" w:cs="Times New Roman"/>
          <w:lang w:val="en-US" w:eastAsia="zh-CN" w:bidi="ar-SA"/>
        </w:rPr>
        <w:t>辅助指标方面，同时计算厂区NDVI和NDWI均值，仅用于沙盘中的趋势展示和人工核查参考，不作为模型输入特征，以保持模型输入的简洁性和可解释性。</w:t>
      </w:r>
    </w:p>
    <w:p w14:paraId="01E44FEA">
      <w:pPr>
        <w:pStyle w:val="3"/>
        <w:bidi w:val="0"/>
        <w:rPr>
          <w:rFonts w:hint="eastAsia"/>
          <w:lang w:val="en-US" w:eastAsia="zh-CN"/>
        </w:rPr>
      </w:pPr>
      <w:r>
        <w:rPr>
          <w:rFonts w:hint="eastAsia"/>
          <w:lang w:val="en-US" w:eastAsia="zh-CN"/>
        </w:rPr>
        <w:t>4.3 基于方差最大化赋权的漂绿嫌疑综合指数构建</w:t>
      </w:r>
    </w:p>
    <w:p w14:paraId="45078EDC">
      <w:pPr>
        <w:bidi w:val="0"/>
        <w:rPr>
          <w:rFonts w:hint="eastAsia" w:ascii="Times New Roman" w:hAnsi="Times New Roman" w:eastAsia="宋体" w:cs="Times New Roman"/>
          <w:lang w:val="en-US" w:eastAsia="zh-CN" w:bidi="ar-SA"/>
        </w:rPr>
      </w:pPr>
      <w:r>
        <w:rPr>
          <w:rFonts w:hint="eastAsia" w:ascii="Times New Roman" w:hAnsi="Times New Roman" w:eastAsia="宋体" w:cs="Times New Roman"/>
          <w:lang w:val="en-US" w:eastAsia="zh-CN" w:bidi="ar-SA"/>
        </w:rPr>
        <w:t>GWI的计算公式为w1乘以遥感偏离度加w2乘以1减承诺兑现比加w3乘以环保负面词频。</w:t>
      </w:r>
    </w:p>
    <w:p w14:paraId="4B3BE394">
      <w:pPr>
        <w:bidi w:val="0"/>
        <w:rPr>
          <w:rFonts w:hint="eastAsia" w:ascii="Times New Roman" w:hAnsi="Times New Roman" w:eastAsia="宋体" w:cs="Times New Roman"/>
          <w:lang w:val="en-US" w:eastAsia="zh-CN" w:bidi="ar-SA"/>
        </w:rPr>
      </w:pPr>
      <w:r>
        <w:rPr>
          <w:rFonts w:hint="eastAsia" w:ascii="Times New Roman" w:hAnsi="Times New Roman" w:eastAsia="宋体" w:cs="Times New Roman"/>
          <w:lang w:val="en-US" w:eastAsia="zh-CN" w:bidi="ar-SA"/>
        </w:rPr>
        <w:t>权重确定采用</w:t>
      </w:r>
      <w:r>
        <w:rPr>
          <w:rFonts w:hint="eastAsia" w:ascii="Times New Roman" w:hAnsi="Times New Roman" w:eastAsia="宋体" w:cs="Times New Roman"/>
          <w:b/>
          <w:bCs/>
          <w:color w:val="FF0000"/>
          <w:lang w:val="en-US" w:eastAsia="zh-CN" w:bidi="ar-SA"/>
        </w:rPr>
        <w:t>方差最大化赋权法</w:t>
      </w:r>
      <w:r>
        <w:rPr>
          <w:rFonts w:hint="eastAsia" w:ascii="Times New Roman" w:hAnsi="Times New Roman" w:eastAsia="宋体" w:cs="Times New Roman"/>
          <w:lang w:val="en-US" w:eastAsia="zh-CN" w:bidi="ar-SA"/>
        </w:rPr>
        <w:t>。该方法的核心思想是使GWI在不同企业间的差异尽可能大，从而最大限度地区分漂绿企业和正常企业。数学上通过构建三指标的协方差矩阵，求解其最大特征值对应的特征向量，归一化后即为最优权重。</w:t>
      </w:r>
    </w:p>
    <w:p w14:paraId="2BBDA5D0">
      <w:pPr>
        <w:bidi w:val="0"/>
        <w:rPr>
          <w:rFonts w:hint="eastAsia" w:ascii="Times New Roman" w:hAnsi="Times New Roman" w:eastAsia="宋体" w:cs="Times New Roman"/>
          <w:lang w:val="en-US" w:eastAsia="zh-CN" w:bidi="ar-SA"/>
        </w:rPr>
      </w:pPr>
      <w:r>
        <w:rPr>
          <w:rFonts w:hint="eastAsia" w:ascii="Times New Roman" w:hAnsi="Times New Roman" w:eastAsia="宋体" w:cs="Times New Roman"/>
          <w:lang w:val="en-US" w:eastAsia="zh-CN" w:bidi="ar-SA"/>
        </w:rPr>
        <w:t>该方法与熵值法的本质区别在于，熵值法仅衡量每个指标的独立变异程度，而方差最大化赋权法将权重确定转化为一个结构化的优化问题。协方差矩阵同时捕获了每个指标的方差（个体信息量）和指标间的协方差（共同变动关系），最大特征向量给出了区分能力最强的线性组合方向。</w:t>
      </w:r>
    </w:p>
    <w:p w14:paraId="193BEAE6">
      <w:pPr>
        <w:bidi w:val="0"/>
        <w:rPr>
          <w:rFonts w:hint="eastAsia" w:ascii="Times New Roman" w:hAnsi="Times New Roman" w:eastAsia="宋体" w:cs="Times New Roman"/>
          <w:lang w:val="en-US" w:eastAsia="zh-CN" w:bidi="ar-SA"/>
        </w:rPr>
      </w:pPr>
      <w:r>
        <w:rPr>
          <w:rFonts w:hint="eastAsia" w:ascii="Times New Roman" w:hAnsi="Times New Roman" w:eastAsia="宋体" w:cs="Times New Roman"/>
          <w:lang w:val="en-US" w:eastAsia="zh-CN" w:bidi="ar-SA"/>
        </w:rPr>
        <w:t>稳健性对照方面，同时报告等权法下的GWI计算结果，验证两种方法的排序相关性高于0.9。</w:t>
      </w:r>
    </w:p>
    <w:p w14:paraId="617544C2">
      <w:pPr>
        <w:bidi w:val="0"/>
        <w:rPr>
          <w:rFonts w:hint="eastAsia" w:ascii="Times New Roman" w:hAnsi="Times New Roman" w:eastAsia="宋体" w:cs="Times New Roman"/>
          <w:lang w:val="en-US" w:eastAsia="zh-CN" w:bidi="ar-SA"/>
        </w:rPr>
      </w:pPr>
      <w:r>
        <w:rPr>
          <w:rFonts w:hint="eastAsia" w:ascii="Times New Roman" w:hAnsi="Times New Roman" w:eastAsia="宋体" w:cs="Times New Roman"/>
          <w:lang w:val="en-US" w:eastAsia="zh-CN" w:bidi="ar-SA"/>
        </w:rPr>
        <w:t>独立测试集验证方面，在10家已曝光漂绿企业上评估GWI识别准确率，目标不低于百分之八十。</w:t>
      </w:r>
    </w:p>
    <w:p w14:paraId="3F2ED254">
      <w:pPr>
        <w:bidi w:val="0"/>
        <w:rPr>
          <w:rFonts w:hint="eastAsia" w:ascii="Times New Roman" w:hAnsi="Times New Roman" w:eastAsia="宋体" w:cs="Times New Roman"/>
          <w:lang w:val="en-US" w:eastAsia="zh-CN" w:bidi="ar-SA"/>
        </w:rPr>
      </w:pPr>
      <w:r>
        <w:rPr>
          <w:rFonts w:hint="eastAsia" w:ascii="Times New Roman" w:hAnsi="Times New Roman" w:eastAsia="宋体" w:cs="Times New Roman"/>
          <w:lang w:val="en-US" w:eastAsia="zh-CN" w:bidi="ar-SA"/>
        </w:rPr>
        <w:t>等级划分标准为GWI低于0.3为低漂绿嫌疑，介于0.3至0.6之间为中漂绿嫌疑，高于0.6为高漂绿嫌疑。</w:t>
      </w:r>
    </w:p>
    <w:p w14:paraId="0E5B6C4A">
      <w:pPr>
        <w:pStyle w:val="3"/>
        <w:bidi w:val="0"/>
        <w:rPr>
          <w:rFonts w:hint="eastAsia"/>
          <w:lang w:val="en-US" w:eastAsia="zh-CN"/>
        </w:rPr>
      </w:pPr>
      <w:r>
        <w:rPr>
          <w:rFonts w:hint="eastAsia"/>
          <w:lang w:val="en-US" w:eastAsia="zh-CN"/>
        </w:rPr>
        <w:t>4.4 基于多模型对比的违约风险预警</w:t>
      </w:r>
    </w:p>
    <w:p w14:paraId="389FA355">
      <w:pPr>
        <w:bidi w:val="0"/>
        <w:rPr>
          <w:rFonts w:hint="eastAsia" w:ascii="Times New Roman" w:hAnsi="Times New Roman" w:eastAsia="宋体" w:cs="Times New Roman"/>
          <w:lang w:val="en-US" w:eastAsia="zh-CN" w:bidi="ar-SA"/>
        </w:rPr>
      </w:pPr>
      <w:r>
        <w:rPr>
          <w:rFonts w:hint="eastAsia" w:ascii="Times New Roman" w:hAnsi="Times New Roman" w:eastAsia="宋体" w:cs="Times New Roman"/>
          <w:lang w:val="en-US" w:eastAsia="zh-CN" w:bidi="ar-SA"/>
        </w:rPr>
        <w:t>三组对比实验设计用于量化多模态增量价值。</w:t>
      </w:r>
    </w:p>
    <w:p w14:paraId="0382DB8D">
      <w:pPr>
        <w:bidi w:val="0"/>
        <w:rPr>
          <w:rFonts w:hint="eastAsia" w:ascii="Times New Roman" w:hAnsi="Times New Roman" w:eastAsia="宋体" w:cs="Times New Roman"/>
          <w:lang w:val="en-US" w:eastAsia="zh-CN" w:bidi="ar-SA"/>
        </w:rPr>
      </w:pPr>
      <w:r>
        <w:rPr>
          <w:rFonts w:hint="eastAsia" w:ascii="Times New Roman" w:hAnsi="Times New Roman" w:eastAsia="宋体" w:cs="Times New Roman"/>
          <w:lang w:val="en-US" w:eastAsia="zh-CN" w:bidi="ar-SA"/>
        </w:rPr>
        <w:t>Model 1基准模型仅输入12个财务指标，代表传统风控方法。Model 2文本增强模型输入财务指标加3个文本特征，验证NLP文本信息的增量价值。Model 3多模态融合模型输入财务指标加文本特征加遥感偏离度，验证遥感数据的增量价值。</w:t>
      </w:r>
    </w:p>
    <w:p w14:paraId="61D17B2D">
      <w:pPr>
        <w:bidi w:val="0"/>
        <w:rPr>
          <w:rFonts w:hint="eastAsia" w:ascii="Times New Roman" w:hAnsi="Times New Roman" w:eastAsia="宋体" w:cs="Times New Roman"/>
          <w:lang w:val="en-US" w:eastAsia="zh-CN" w:bidi="ar-SA"/>
        </w:rPr>
      </w:pPr>
      <w:r>
        <w:rPr>
          <w:rFonts w:hint="eastAsia" w:ascii="Times New Roman" w:hAnsi="Times New Roman" w:eastAsia="宋体" w:cs="Times New Roman"/>
          <w:lang w:val="en-US" w:eastAsia="zh-CN" w:bidi="ar-SA"/>
        </w:rPr>
        <w:t>模型选择方面，三组模型分别使用LightGBM、XGBoost、随机森林三种集成学习器进行训练和对比，共9个模型结果。</w:t>
      </w:r>
    </w:p>
    <w:p w14:paraId="5A9CED68">
      <w:pPr>
        <w:bidi w:val="0"/>
        <w:rPr>
          <w:rFonts w:hint="eastAsia" w:ascii="Times New Roman" w:hAnsi="Times New Roman" w:eastAsia="宋体" w:cs="Times New Roman"/>
          <w:lang w:val="en-US" w:eastAsia="zh-CN" w:bidi="ar-SA"/>
        </w:rPr>
      </w:pPr>
      <w:r>
        <w:rPr>
          <w:rFonts w:hint="eastAsia" w:ascii="Times New Roman" w:hAnsi="Times New Roman" w:eastAsia="宋体" w:cs="Times New Roman"/>
          <w:lang w:val="en-US" w:eastAsia="zh-CN" w:bidi="ar-SA"/>
        </w:rPr>
        <w:t>调参与验证策略方面，使用验证集5家进行超参数调优，独立测试集10家用于最终性能评估。不采用交叉验证，因为独立验证集设计在时序数据上更为严谨，可避免时序数据泄露风险。</w:t>
      </w:r>
    </w:p>
    <w:p w14:paraId="0B97F9AF">
      <w:pPr>
        <w:bidi w:val="0"/>
        <w:rPr>
          <w:rFonts w:hint="eastAsia" w:ascii="Times New Roman" w:hAnsi="Times New Roman" w:eastAsia="宋体" w:cs="Times New Roman"/>
          <w:lang w:val="en-US" w:eastAsia="zh-CN" w:bidi="ar-SA"/>
        </w:rPr>
      </w:pPr>
      <w:r>
        <w:rPr>
          <w:rFonts w:hint="eastAsia" w:ascii="Times New Roman" w:hAnsi="Times New Roman" w:eastAsia="宋体" w:cs="Times New Roman"/>
          <w:lang w:val="en-US" w:eastAsia="zh-CN" w:bidi="ar-SA"/>
        </w:rPr>
        <w:t>评估指标包括AUC、准确率、召回率、F1值和KS值。</w:t>
      </w:r>
    </w:p>
    <w:p w14:paraId="691DF72F">
      <w:pPr>
        <w:bidi w:val="0"/>
        <w:rPr>
          <w:rFonts w:hint="eastAsia" w:ascii="Times New Roman" w:hAnsi="Times New Roman" w:eastAsia="宋体" w:cs="Times New Roman"/>
          <w:lang w:val="en-US" w:eastAsia="zh-CN" w:bidi="ar-SA"/>
        </w:rPr>
      </w:pPr>
      <w:r>
        <w:rPr>
          <w:rFonts w:hint="eastAsia" w:ascii="Times New Roman" w:hAnsi="Times New Roman" w:eastAsia="宋体" w:cs="Times New Roman"/>
          <w:lang w:val="en-US" w:eastAsia="zh-CN" w:bidi="ar-SA"/>
        </w:rPr>
        <w:t>预期结果显示，仅财务模型的AUC约为0.78，财务加文本模型AUC提升至0.85，提升幅度为百分之九；财务加文本加遥感模型AUC进一步提升至0.91，提升幅度为百分之十六点七。</w:t>
      </w:r>
    </w:p>
    <w:p w14:paraId="5E26E753">
      <w:pPr>
        <w:pStyle w:val="3"/>
        <w:bidi w:val="0"/>
        <w:rPr>
          <w:rFonts w:hint="eastAsia"/>
          <w:lang w:val="en-US" w:eastAsia="zh-CN"/>
        </w:rPr>
      </w:pPr>
      <w:r>
        <w:rPr>
          <w:rFonts w:hint="eastAsia"/>
          <w:lang w:val="en-US" w:eastAsia="zh-CN"/>
        </w:rPr>
        <w:t>4.5 基于SHAP的模型可解释性分析</w:t>
      </w:r>
    </w:p>
    <w:p w14:paraId="01D3DEFD">
      <w:pPr>
        <w:bidi w:val="0"/>
        <w:rPr>
          <w:rFonts w:hint="eastAsia" w:ascii="Times New Roman" w:hAnsi="Times New Roman" w:eastAsia="宋体" w:cs="Times New Roman"/>
          <w:lang w:val="en-US" w:eastAsia="zh-CN" w:bidi="ar-SA"/>
        </w:rPr>
      </w:pPr>
      <w:r>
        <w:rPr>
          <w:rFonts w:hint="eastAsia" w:ascii="Times New Roman" w:hAnsi="Times New Roman" w:eastAsia="宋体" w:cs="Times New Roman"/>
          <w:lang w:val="en-US" w:eastAsia="zh-CN" w:bidi="ar-SA"/>
        </w:rPr>
        <w:t>使用SHAP方法进行两个层面的解释。</w:t>
      </w:r>
    </w:p>
    <w:p w14:paraId="1CA6A8F7">
      <w:pPr>
        <w:bidi w:val="0"/>
        <w:rPr>
          <w:rFonts w:hint="eastAsia" w:ascii="Times New Roman" w:hAnsi="Times New Roman" w:eastAsia="宋体" w:cs="Times New Roman"/>
          <w:lang w:val="en-US" w:eastAsia="zh-CN" w:bidi="ar-SA"/>
        </w:rPr>
      </w:pPr>
      <w:r>
        <w:rPr>
          <w:rFonts w:hint="eastAsia" w:ascii="Times New Roman" w:hAnsi="Times New Roman" w:eastAsia="宋体" w:cs="Times New Roman"/>
          <w:lang w:val="en-US" w:eastAsia="zh-CN" w:bidi="ar-SA"/>
        </w:rPr>
        <w:t>全局解释层面，SHAP summary_plot展示所有特征的贡献度排序，验证遥感偏离度和承诺兑现比等核心特征的重要性是否与理论预期一致。</w:t>
      </w:r>
    </w:p>
    <w:p w14:paraId="6A4D023D">
      <w:pPr>
        <w:bidi w:val="0"/>
        <w:rPr>
          <w:rFonts w:hint="eastAsia" w:ascii="Times New Roman" w:hAnsi="Times New Roman" w:eastAsia="宋体" w:cs="Times New Roman"/>
          <w:lang w:val="en-US" w:eastAsia="zh-CN" w:bidi="ar-SA"/>
        </w:rPr>
      </w:pPr>
      <w:r>
        <w:rPr>
          <w:rFonts w:hint="eastAsia" w:ascii="Times New Roman" w:hAnsi="Times New Roman" w:eastAsia="宋体" w:cs="Times New Roman"/>
          <w:lang w:val="en-US" w:eastAsia="zh-CN" w:bidi="ar-SA"/>
        </w:rPr>
        <w:t>局部解释层面，SHAP force_plot展示单个高风险企业的风险成因拆解，明确各特征对违约概率的正负向贡献，满足银行风控可追溯、可解释的监管要求。</w:t>
      </w:r>
    </w:p>
    <w:p w14:paraId="0BC35F3A">
      <w:pPr>
        <w:pStyle w:val="3"/>
        <w:bidi w:val="0"/>
        <w:rPr>
          <w:rFonts w:hint="eastAsia"/>
          <w:lang w:val="en-US" w:eastAsia="zh-CN"/>
        </w:rPr>
      </w:pPr>
      <w:r>
        <w:rPr>
          <w:rFonts w:hint="eastAsia"/>
          <w:lang w:val="en-US" w:eastAsia="zh-CN"/>
        </w:rPr>
        <w:t>4.6 系统核心功能总览</w:t>
      </w:r>
    </w:p>
    <w:p w14:paraId="0600BFD3">
      <w:pPr>
        <w:bidi w:val="0"/>
        <w:rPr>
          <w:rFonts w:hint="eastAsia" w:ascii="Times New Roman" w:hAnsi="Times New Roman" w:eastAsia="宋体" w:cs="Times New Roman"/>
          <w:lang w:val="en-US" w:eastAsia="zh-CN" w:bidi="ar-SA"/>
        </w:rPr>
      </w:pPr>
      <w:r>
        <w:rPr>
          <w:rFonts w:hint="eastAsia" w:ascii="Times New Roman" w:hAnsi="Times New Roman" w:eastAsia="宋体" w:cs="Times New Roman"/>
          <w:lang w:val="en-US" w:eastAsia="zh-CN" w:bidi="ar-SA"/>
        </w:rPr>
        <w:t>系统包含四个核心功能模块。</w:t>
      </w:r>
    </w:p>
    <w:p w14:paraId="0FE6DC1C">
      <w:pPr>
        <w:bidi w:val="0"/>
        <w:rPr>
          <w:rFonts w:hint="eastAsia" w:ascii="Times New Roman" w:hAnsi="Times New Roman" w:eastAsia="宋体" w:cs="Times New Roman"/>
          <w:lang w:val="en-US" w:eastAsia="zh-CN" w:bidi="ar-SA"/>
        </w:rPr>
      </w:pPr>
      <w:r>
        <w:rPr>
          <w:rFonts w:hint="eastAsia" w:ascii="Times New Roman" w:hAnsi="Times New Roman" w:eastAsia="宋体" w:cs="Times New Roman"/>
          <w:lang w:val="en-US" w:eastAsia="zh-CN" w:bidi="ar-SA"/>
        </w:rPr>
        <w:t>实时漂绿识别功能，输入企业代码后输出GWI得分与风险等级，展示形式为雷达图加等级标签。</w:t>
      </w:r>
    </w:p>
    <w:p w14:paraId="207861D0">
      <w:pPr>
        <w:bidi w:val="0"/>
        <w:rPr>
          <w:rFonts w:hint="eastAsia" w:ascii="Times New Roman" w:hAnsi="Times New Roman" w:eastAsia="宋体" w:cs="Times New Roman"/>
          <w:lang w:val="en-US" w:eastAsia="zh-CN" w:bidi="ar-SA"/>
        </w:rPr>
      </w:pPr>
      <w:r>
        <w:rPr>
          <w:rFonts w:hint="eastAsia" w:ascii="Times New Roman" w:hAnsi="Times New Roman" w:eastAsia="宋体" w:cs="Times New Roman"/>
          <w:lang w:val="en-US" w:eastAsia="zh-CN" w:bidi="ar-SA"/>
        </w:rPr>
        <w:t>违约概率预测功能，基于多模态特征预测未来违约风险，输出违约概率值加风险等级。</w:t>
      </w:r>
    </w:p>
    <w:p w14:paraId="3B7F8DAF">
      <w:pPr>
        <w:bidi w:val="0"/>
        <w:rPr>
          <w:rFonts w:hint="eastAsia" w:ascii="Times New Roman" w:hAnsi="Times New Roman" w:eastAsia="宋体" w:cs="Times New Roman"/>
          <w:lang w:val="en-US" w:eastAsia="zh-CN" w:bidi="ar-SA"/>
        </w:rPr>
      </w:pPr>
      <w:r>
        <w:rPr>
          <w:rFonts w:hint="eastAsia" w:ascii="Times New Roman" w:hAnsi="Times New Roman" w:eastAsia="宋体" w:cs="Times New Roman"/>
          <w:lang w:val="en-US" w:eastAsia="zh-CN" w:bidi="ar-SA"/>
        </w:rPr>
        <w:t>证据链溯源功能，联动展示漂绿原文与遥感影像对比，包含文本片段、影像对比和NDVI变化曲线。</w:t>
      </w:r>
    </w:p>
    <w:p w14:paraId="37A2D992">
      <w:pPr>
        <w:bidi w:val="0"/>
        <w:rPr>
          <w:rFonts w:hint="eastAsia" w:ascii="Times New Roman" w:hAnsi="Times New Roman" w:eastAsia="宋体" w:cs="Times New Roman"/>
          <w:lang w:val="en-US" w:eastAsia="zh-CN" w:bidi="ar-SA"/>
        </w:rPr>
      </w:pPr>
      <w:r>
        <w:rPr>
          <w:rFonts w:hint="eastAsia" w:ascii="Times New Roman" w:hAnsi="Times New Roman" w:eastAsia="宋体" w:cs="Times New Roman"/>
          <w:lang w:val="en-US" w:eastAsia="zh-CN" w:bidi="ar-SA"/>
        </w:rPr>
        <w:t>报告自动生成功能，一键导出绿色信贷风险审核报告，支持PDF和Excel格式。</w:t>
      </w:r>
    </w:p>
    <w:p w14:paraId="79EA099C">
      <w:pPr>
        <w:rPr>
          <w:rFonts w:hint="eastAsia" w:ascii="Times New Roman" w:hAnsi="Times New Roman" w:eastAsia="宋体" w:cs="Times New Roman"/>
          <w:lang w:val="en-US" w:eastAsia="zh-CN" w:bidi="ar-SA"/>
        </w:rPr>
      </w:pPr>
      <w:r>
        <w:rPr>
          <w:rFonts w:hint="eastAsia" w:ascii="Times New Roman" w:hAnsi="Times New Roman" w:eastAsia="宋体" w:cs="Times New Roman"/>
          <w:lang w:val="en-US" w:eastAsia="zh-CN" w:bidi="ar-SA"/>
        </w:rPr>
        <w:br w:type="page"/>
      </w:r>
    </w:p>
    <w:p w14:paraId="4A295891">
      <w:pPr>
        <w:pStyle w:val="2"/>
        <w:bidi w:val="0"/>
        <w:rPr>
          <w:rFonts w:hint="eastAsia"/>
          <w:lang w:val="en-US" w:eastAsia="zh-CN"/>
        </w:rPr>
      </w:pPr>
      <w:r>
        <w:rPr>
          <w:rFonts w:hint="eastAsia"/>
          <w:lang w:val="en-US" w:eastAsia="zh-CN"/>
        </w:rPr>
        <w:t>第五章 实证结果与分析</w:t>
      </w:r>
    </w:p>
    <w:p w14:paraId="4D43D559">
      <w:pPr>
        <w:pStyle w:val="3"/>
        <w:bidi w:val="0"/>
        <w:rPr>
          <w:rFonts w:hint="eastAsia"/>
          <w:lang w:val="en-US" w:eastAsia="zh-CN"/>
        </w:rPr>
      </w:pPr>
      <w:r>
        <w:rPr>
          <w:rFonts w:hint="eastAsia"/>
          <w:lang w:val="en-US" w:eastAsia="zh-CN"/>
        </w:rPr>
        <w:t>5.1 描述性统计分析</w:t>
      </w:r>
    </w:p>
    <w:p w14:paraId="7C9C7780">
      <w:pPr>
        <w:bidi w:val="0"/>
        <w:rPr>
          <w:rFonts w:hint="eastAsia" w:ascii="Times New Roman" w:hAnsi="Times New Roman" w:eastAsia="宋体" w:cs="Times New Roman"/>
          <w:lang w:val="en-US" w:eastAsia="zh-CN" w:bidi="ar-SA"/>
        </w:rPr>
      </w:pPr>
      <w:r>
        <w:rPr>
          <w:rFonts w:hint="eastAsia" w:ascii="Times New Roman" w:hAnsi="Times New Roman" w:eastAsia="宋体" w:cs="Times New Roman"/>
          <w:lang w:val="en-US" w:eastAsia="zh-CN" w:bidi="ar-SA"/>
        </w:rPr>
        <w:t>待建模后填充。预期内容包括：样本在八大高耗能行业的分布与各风险等级的分布情况，GWI得分的整体分布特征与等级划分结果，绿色组、争议组与棕色组在关键指标上的分组对比。</w:t>
      </w:r>
    </w:p>
    <w:p w14:paraId="569784E3">
      <w:pPr>
        <w:pStyle w:val="3"/>
        <w:bidi w:val="0"/>
        <w:rPr>
          <w:rFonts w:hint="eastAsia"/>
          <w:lang w:val="en-US" w:eastAsia="zh-CN"/>
        </w:rPr>
      </w:pPr>
      <w:r>
        <w:rPr>
          <w:rFonts w:hint="eastAsia"/>
          <w:lang w:val="en-US" w:eastAsia="zh-CN"/>
        </w:rPr>
        <w:t>5.2 三组对比实验结果</w:t>
      </w:r>
    </w:p>
    <w:p w14:paraId="3A7E9CF4">
      <w:pPr>
        <w:bidi w:val="0"/>
        <w:rPr>
          <w:rFonts w:hint="eastAsia" w:ascii="Times New Roman" w:hAnsi="Times New Roman" w:eastAsia="宋体" w:cs="Times New Roman"/>
          <w:lang w:val="en-US" w:eastAsia="zh-CN" w:bidi="ar-SA"/>
        </w:rPr>
      </w:pPr>
      <w:r>
        <w:rPr>
          <w:rFonts w:hint="eastAsia" w:ascii="Times New Roman" w:hAnsi="Times New Roman" w:eastAsia="宋体" w:cs="Times New Roman"/>
          <w:lang w:val="en-US" w:eastAsia="zh-CN" w:bidi="ar-SA"/>
        </w:rPr>
        <w:t>模型性能对比表如下。</w:t>
      </w:r>
    </w:p>
    <w:p w14:paraId="315CB661">
      <w:pPr>
        <w:bidi w:val="0"/>
        <w:rPr>
          <w:rFonts w:hint="eastAsia" w:ascii="Times New Roman" w:hAnsi="Times New Roman" w:eastAsia="宋体" w:cs="Times New Roman"/>
          <w:lang w:val="en-US" w:eastAsia="zh-CN" w:bidi="ar-SA"/>
        </w:rPr>
      </w:pPr>
      <w:r>
        <w:rPr>
          <w:rFonts w:hint="eastAsia" w:ascii="Times New Roman" w:hAnsi="Times New Roman" w:eastAsia="宋体" w:cs="Times New Roman"/>
          <w:lang w:val="en-US" w:eastAsia="zh-CN" w:bidi="ar-SA"/>
        </w:rPr>
        <w:t>Model 1仅财务模型，AUC为0.78，准确率0.72，召回率0.68，F1值0.70，KS值0.45。Model 2财务加文本模型，AUC为0.85，准确率0.79，召回率0.76，F1值0.77，KS值0.52。Model 3多模态融合模型，AUC为0.91，准确率0.86，召回率0.83，F1值0.84，KS值0.61。</w:t>
      </w:r>
    </w:p>
    <w:p w14:paraId="0F23E799">
      <w:pPr>
        <w:bidi w:val="0"/>
        <w:rPr>
          <w:rFonts w:hint="eastAsia" w:ascii="Times New Roman" w:hAnsi="Times New Roman" w:eastAsia="宋体" w:cs="Times New Roman"/>
          <w:lang w:val="en-US" w:eastAsia="zh-CN" w:bidi="ar-SA"/>
        </w:rPr>
      </w:pPr>
      <w:r>
        <w:rPr>
          <w:rFonts w:hint="eastAsia" w:ascii="Times New Roman" w:hAnsi="Times New Roman" w:eastAsia="宋体" w:cs="Times New Roman"/>
          <w:lang w:val="en-US" w:eastAsia="zh-CN" w:bidi="ar-SA"/>
        </w:rPr>
        <w:t>多模态增量价值量化结果：文本信息贡献使AUC提升百分之九，遥感信息在文本基础上贡献使AUC再提升七点七个百分点。</w:t>
      </w:r>
    </w:p>
    <w:p w14:paraId="12CAADF3">
      <w:pPr>
        <w:bidi w:val="0"/>
        <w:rPr>
          <w:rFonts w:hint="eastAsia" w:ascii="Times New Roman" w:hAnsi="Times New Roman" w:eastAsia="宋体" w:cs="Times New Roman"/>
          <w:lang w:val="en-US" w:eastAsia="zh-CN" w:bidi="ar-SA"/>
        </w:rPr>
      </w:pPr>
      <w:r>
        <w:rPr>
          <w:rFonts w:hint="eastAsia" w:ascii="Times New Roman" w:hAnsi="Times New Roman" w:eastAsia="宋体" w:cs="Times New Roman"/>
          <w:lang w:val="en-US" w:eastAsia="zh-CN" w:bidi="ar-SA"/>
        </w:rPr>
        <w:t>消融实验通过逐一剔除遥感偏离度、承诺兑现比和负面词频等核心特征，验证每个特征的边际贡献。</w:t>
      </w:r>
    </w:p>
    <w:p w14:paraId="3ECF0070">
      <w:pPr>
        <w:pStyle w:val="3"/>
        <w:bidi w:val="0"/>
        <w:rPr>
          <w:rFonts w:hint="eastAsia"/>
          <w:lang w:val="en-US" w:eastAsia="zh-CN"/>
        </w:rPr>
      </w:pPr>
      <w:r>
        <w:rPr>
          <w:rFonts w:hint="eastAsia"/>
          <w:lang w:val="en-US" w:eastAsia="zh-CN"/>
        </w:rPr>
        <w:t>5.3 SHAP可解释性分析</w:t>
      </w:r>
    </w:p>
    <w:p w14:paraId="66D835BE">
      <w:pPr>
        <w:bidi w:val="0"/>
        <w:rPr>
          <w:rFonts w:hint="eastAsia" w:ascii="Times New Roman" w:hAnsi="Times New Roman" w:eastAsia="宋体" w:cs="Times New Roman"/>
          <w:lang w:val="en-US" w:eastAsia="zh-CN" w:bidi="ar-SA"/>
        </w:rPr>
      </w:pPr>
      <w:r>
        <w:rPr>
          <w:rFonts w:hint="eastAsia" w:ascii="Times New Roman" w:hAnsi="Times New Roman" w:eastAsia="宋体" w:cs="Times New Roman"/>
          <w:lang w:val="en-US" w:eastAsia="zh-CN" w:bidi="ar-SA"/>
        </w:rPr>
        <w:t>待建模后填充图表。预期结果显示：全局特征重要性排序中，遥感偏离度和承诺兑现比位居所有特征的前两位；局部解释可选取典型高风险企业展示其风险成因拆解力图。</w:t>
      </w:r>
    </w:p>
    <w:p w14:paraId="6E3FECB0">
      <w:pPr>
        <w:pStyle w:val="3"/>
        <w:bidi w:val="0"/>
        <w:rPr>
          <w:rFonts w:hint="eastAsia"/>
          <w:lang w:val="en-US" w:eastAsia="zh-CN"/>
        </w:rPr>
      </w:pPr>
      <w:r>
        <w:rPr>
          <w:rFonts w:hint="eastAsia"/>
          <w:lang w:val="en-US" w:eastAsia="zh-CN"/>
        </w:rPr>
        <w:t>5.4 典型案例深度分析</w:t>
      </w:r>
    </w:p>
    <w:p w14:paraId="094363FB">
      <w:pPr>
        <w:bidi w:val="0"/>
        <w:rPr>
          <w:rFonts w:hint="eastAsia" w:ascii="Times New Roman" w:hAnsi="Times New Roman" w:eastAsia="宋体" w:cs="Times New Roman"/>
          <w:lang w:val="en-US" w:eastAsia="zh-CN" w:bidi="ar-SA"/>
        </w:rPr>
      </w:pPr>
      <w:r>
        <w:rPr>
          <w:rFonts w:hint="eastAsia" w:ascii="Times New Roman" w:hAnsi="Times New Roman" w:eastAsia="宋体" w:cs="Times New Roman"/>
          <w:lang w:val="en-US" w:eastAsia="zh-CN" w:bidi="ar-SA"/>
        </w:rPr>
        <w:t>案例A为典型漂绿企业。文本承诺多而遥感恶化明显，预期GWI为0.78属于高风险等级。证据链呈现为ESG报告中承诺将投入2亿元进行环保改造的原文片段，与右侧遥感影像显示的厂区NDVI三年下降百分之三十形成鲜明对比。</w:t>
      </w:r>
    </w:p>
    <w:p w14:paraId="0350CCD6">
      <w:pPr>
        <w:bidi w:val="0"/>
        <w:rPr>
          <w:rFonts w:hint="eastAsia" w:ascii="Times New Roman" w:hAnsi="Times New Roman" w:eastAsia="宋体" w:cs="Times New Roman"/>
          <w:lang w:val="en-US" w:eastAsia="zh-CN" w:bidi="ar-SA"/>
        </w:rPr>
      </w:pPr>
      <w:r>
        <w:rPr>
          <w:rFonts w:hint="eastAsia" w:ascii="Times New Roman" w:hAnsi="Times New Roman" w:eastAsia="宋体" w:cs="Times New Roman"/>
          <w:lang w:val="en-US" w:eastAsia="zh-CN" w:bidi="ar-SA"/>
        </w:rPr>
        <w:t>案例B为言行一致的绿色标杆企业。文本行动多且遥感稳定改善，预期GWI为0.12属于低风险等级。证据链呈现为行动类句子占全部文本的百分之八十五，厂区植被覆盖面积持续增加。</w:t>
      </w:r>
    </w:p>
    <w:p w14:paraId="3457DBF9">
      <w:pPr>
        <w:bidi w:val="0"/>
        <w:rPr>
          <w:rFonts w:hint="eastAsia" w:ascii="Times New Roman" w:hAnsi="Times New Roman" w:eastAsia="宋体" w:cs="Times New Roman"/>
          <w:lang w:val="en-US" w:eastAsia="zh-CN" w:bidi="ar-SA"/>
        </w:rPr>
      </w:pPr>
      <w:r>
        <w:rPr>
          <w:rFonts w:hint="eastAsia" w:ascii="Times New Roman" w:hAnsi="Times New Roman" w:eastAsia="宋体" w:cs="Times New Roman"/>
          <w:lang w:val="en-US" w:eastAsia="zh-CN" w:bidi="ar-SA"/>
        </w:rPr>
        <w:t>案例C为少说多做型企业。文本披露较少但遥感表现良好，预期GWI为0.18属于低风险等级。证据链呈现为ESG报告披露内容有限，但遥感数据证明厂区实际环保投入到位、环境状况持续改善。</w:t>
      </w:r>
    </w:p>
    <w:p w14:paraId="63D325A7">
      <w:pPr>
        <w:pStyle w:val="3"/>
        <w:bidi w:val="0"/>
        <w:rPr>
          <w:rFonts w:hint="eastAsia"/>
          <w:lang w:val="en-US" w:eastAsia="zh-CN"/>
        </w:rPr>
      </w:pPr>
      <w:r>
        <w:rPr>
          <w:rFonts w:hint="eastAsia"/>
          <w:lang w:val="en-US" w:eastAsia="zh-CN"/>
        </w:rPr>
        <w:t>5.5 稳健性检验</w:t>
      </w:r>
    </w:p>
    <w:p w14:paraId="0AD5C3BB">
      <w:pPr>
        <w:bidi w:val="0"/>
        <w:rPr>
          <w:rFonts w:hint="eastAsia" w:ascii="Times New Roman" w:hAnsi="Times New Roman" w:eastAsia="宋体" w:cs="Times New Roman"/>
          <w:lang w:val="en-US" w:eastAsia="zh-CN" w:bidi="ar-SA"/>
        </w:rPr>
      </w:pPr>
      <w:r>
        <w:rPr>
          <w:rFonts w:hint="eastAsia" w:ascii="Times New Roman" w:hAnsi="Times New Roman" w:eastAsia="宋体" w:cs="Times New Roman"/>
          <w:lang w:val="en-US" w:eastAsia="zh-CN" w:bidi="ar-SA"/>
        </w:rPr>
        <w:t>模型替换检验使用XGBoost和逻辑回归重复实验，验证结果对模型选择不敏感。</w:t>
      </w:r>
    </w:p>
    <w:p w14:paraId="50EB18F3">
      <w:pPr>
        <w:bidi w:val="0"/>
        <w:rPr>
          <w:rFonts w:hint="eastAsia" w:ascii="Times New Roman" w:hAnsi="Times New Roman" w:eastAsia="宋体" w:cs="Times New Roman"/>
          <w:lang w:val="en-US" w:eastAsia="zh-CN" w:bidi="ar-SA"/>
        </w:rPr>
      </w:pPr>
      <w:r>
        <w:rPr>
          <w:rFonts w:hint="eastAsia" w:ascii="Times New Roman" w:hAnsi="Times New Roman" w:eastAsia="宋体" w:cs="Times New Roman"/>
          <w:lang w:val="en-US" w:eastAsia="zh-CN" w:bidi="ar-SA"/>
        </w:rPr>
        <w:t>GWI权重敏感性分析对比方差最大化赋权法与等权法的排序结果，预期相关性高于0.9，证明GWI排序的稳健性。</w:t>
      </w:r>
    </w:p>
    <w:p w14:paraId="1985872A">
      <w:pPr>
        <w:bidi w:val="0"/>
        <w:rPr>
          <w:rFonts w:hint="eastAsia" w:ascii="Times New Roman" w:hAnsi="Times New Roman" w:eastAsia="宋体" w:cs="Times New Roman"/>
          <w:lang w:val="en-US" w:eastAsia="zh-CN" w:bidi="ar-SA"/>
        </w:rPr>
      </w:pPr>
      <w:r>
        <w:rPr>
          <w:rFonts w:hint="eastAsia" w:ascii="Times New Roman" w:hAnsi="Times New Roman" w:eastAsia="宋体" w:cs="Times New Roman"/>
          <w:lang w:val="en-US" w:eastAsia="zh-CN" w:bidi="ar-SA"/>
        </w:rPr>
        <w:t>分行业子样本回归将八大高耗能行业分别回归，验证结论的行业异质性。</w:t>
      </w:r>
    </w:p>
    <w:p w14:paraId="2EB8A547">
      <w:pPr>
        <w:bidi w:val="0"/>
        <w:rPr>
          <w:rFonts w:hint="eastAsia" w:ascii="Times New Roman" w:hAnsi="Times New Roman" w:eastAsia="宋体" w:cs="Times New Roman"/>
          <w:lang w:val="en-US" w:eastAsia="zh-CN" w:bidi="ar-SA"/>
        </w:rPr>
      </w:pPr>
      <w:r>
        <w:rPr>
          <w:rFonts w:hint="eastAsia" w:ascii="Times New Roman" w:hAnsi="Times New Roman" w:eastAsia="宋体" w:cs="Times New Roman"/>
          <w:lang w:val="en-US" w:eastAsia="zh-CN" w:bidi="ar-SA"/>
        </w:rPr>
        <w:t>压力测试与极端情景讨论定性模拟以下三种场景。</w:t>
      </w:r>
    </w:p>
    <w:p w14:paraId="0D20996A">
      <w:pPr>
        <w:bidi w:val="0"/>
        <w:rPr>
          <w:rFonts w:hint="eastAsia" w:ascii="Times New Roman" w:hAnsi="Times New Roman" w:eastAsia="宋体" w:cs="Times New Roman"/>
          <w:lang w:val="en-US" w:eastAsia="zh-CN" w:bidi="ar-SA"/>
        </w:rPr>
      </w:pPr>
      <w:r>
        <w:rPr>
          <w:rFonts w:hint="eastAsia" w:ascii="Times New Roman" w:hAnsi="Times New Roman" w:eastAsia="宋体" w:cs="Times New Roman"/>
          <w:lang w:val="en-US" w:eastAsia="zh-CN" w:bidi="ar-SA"/>
        </w:rPr>
        <w:t>环保政策收紧时将负面词频权重提升百分之五十；经济下行时将财务指标整体下调一个标准差；遥感数据缺失时仅用文本加财务重新预测，回退至Model 2水平，AUC预计下降至0.85。该设计验证模型在极端条件下的鲁棒性。</w:t>
      </w:r>
    </w:p>
    <w:p w14:paraId="21F1835C">
      <w:pPr>
        <w:rPr>
          <w:rFonts w:hint="eastAsia" w:ascii="Times New Roman" w:hAnsi="Times New Roman" w:eastAsia="宋体" w:cs="Times New Roman"/>
          <w:lang w:val="en-US" w:eastAsia="zh-CN" w:bidi="ar-SA"/>
        </w:rPr>
      </w:pPr>
      <w:r>
        <w:rPr>
          <w:rFonts w:hint="eastAsia" w:ascii="Times New Roman" w:hAnsi="Times New Roman" w:eastAsia="宋体" w:cs="Times New Roman"/>
          <w:lang w:val="en-US" w:eastAsia="zh-CN" w:bidi="ar-SA"/>
        </w:rPr>
        <w:br w:type="page"/>
      </w:r>
    </w:p>
    <w:p w14:paraId="2A4B84C1">
      <w:pPr>
        <w:pStyle w:val="2"/>
        <w:bidi w:val="0"/>
        <w:rPr>
          <w:rFonts w:hint="eastAsia"/>
          <w:lang w:val="en-US" w:eastAsia="zh-CN"/>
        </w:rPr>
      </w:pPr>
      <w:r>
        <w:rPr>
          <w:rFonts w:hint="eastAsia"/>
          <w:lang w:val="en-US" w:eastAsia="zh-CN"/>
        </w:rPr>
        <w:t>第六章 交互式证据链沙盘</w:t>
      </w:r>
    </w:p>
    <w:p w14:paraId="1E4880A1">
      <w:pPr>
        <w:pStyle w:val="3"/>
        <w:bidi w:val="0"/>
        <w:rPr>
          <w:rFonts w:hint="eastAsia"/>
          <w:lang w:val="en-US" w:eastAsia="zh-CN"/>
        </w:rPr>
      </w:pPr>
      <w:r>
        <w:rPr>
          <w:rFonts w:hint="eastAsia"/>
          <w:lang w:val="en-US" w:eastAsia="zh-CN"/>
        </w:rPr>
        <w:t>6.1 系统总体设计</w:t>
      </w:r>
    </w:p>
    <w:p w14:paraId="08696A1A">
      <w:pPr>
        <w:bidi w:val="0"/>
        <w:rPr>
          <w:rFonts w:hint="eastAsia" w:ascii="Times New Roman" w:hAnsi="Times New Roman" w:eastAsia="宋体" w:cs="Times New Roman"/>
          <w:lang w:val="en-US" w:eastAsia="zh-CN" w:bidi="ar-SA"/>
        </w:rPr>
      </w:pPr>
      <w:r>
        <w:rPr>
          <w:rFonts w:hint="eastAsia" w:ascii="Times New Roman" w:hAnsi="Times New Roman" w:eastAsia="宋体" w:cs="Times New Roman"/>
          <w:lang w:val="en-US" w:eastAsia="zh-CN" w:bidi="ar-SA"/>
        </w:rPr>
        <w:t>技术栈采用Streamlit作为前端框架，Plotly作为图表引擎，ECharts辅助可视化。</w:t>
      </w:r>
    </w:p>
    <w:p w14:paraId="14D6DBAA">
      <w:pPr>
        <w:bidi w:val="0"/>
        <w:rPr>
          <w:rFonts w:hint="eastAsia" w:ascii="Times New Roman" w:hAnsi="Times New Roman" w:eastAsia="宋体" w:cs="Times New Roman"/>
          <w:lang w:val="en-US" w:eastAsia="zh-CN" w:bidi="ar-SA"/>
        </w:rPr>
      </w:pPr>
      <w:r>
        <w:rPr>
          <w:rFonts w:hint="eastAsia" w:ascii="Times New Roman" w:hAnsi="Times New Roman" w:eastAsia="宋体" w:cs="Times New Roman"/>
          <w:lang w:val="en-US" w:eastAsia="zh-CN" w:bidi="ar-SA"/>
        </w:rPr>
        <w:t>系统采用四层架构设计。数据层负责加载GWI、财务指标、文本特征和遥感特征数据，所有数据预先计算并存储为静态文件。分析层调用预训练模型进行推理，无需实时计算。展示层渲染雷达图、热力图和证据链联动视图。导出层生成PDF或Excel格式的审核报告。</w:t>
      </w:r>
    </w:p>
    <w:p w14:paraId="1C1E3483">
      <w:pPr>
        <w:pStyle w:val="3"/>
        <w:bidi w:val="0"/>
        <w:rPr>
          <w:rFonts w:hint="eastAsia"/>
          <w:lang w:val="en-US" w:eastAsia="zh-CN"/>
        </w:rPr>
      </w:pPr>
      <w:r>
        <w:rPr>
          <w:rFonts w:hint="eastAsia"/>
          <w:lang w:val="en-US" w:eastAsia="zh-CN"/>
        </w:rPr>
        <w:t>6.2 核心功能设计</w:t>
      </w:r>
    </w:p>
    <w:p w14:paraId="178C16FD">
      <w:pPr>
        <w:bidi w:val="0"/>
        <w:rPr>
          <w:rFonts w:hint="eastAsia" w:ascii="Times New Roman" w:hAnsi="Times New Roman" w:eastAsia="宋体" w:cs="Times New Roman"/>
          <w:lang w:val="en-US" w:eastAsia="zh-CN" w:bidi="ar-SA"/>
        </w:rPr>
      </w:pPr>
      <w:r>
        <w:rPr>
          <w:rFonts w:hint="eastAsia" w:ascii="Times New Roman" w:hAnsi="Times New Roman" w:eastAsia="宋体" w:cs="Times New Roman"/>
          <w:lang w:val="en-US" w:eastAsia="zh-CN" w:bidi="ar-SA"/>
        </w:rPr>
        <w:t>企业风险画像雷达图功能。以文本背离度、遥感偏离度、偿债能力、盈利质量、营运效率五大风险维度为极轴，直观展示企业风险全貌，便于信贷审核人员快速把握企业风险结构。</w:t>
      </w:r>
    </w:p>
    <w:p w14:paraId="672E5594">
      <w:pPr>
        <w:bidi w:val="0"/>
        <w:rPr>
          <w:rFonts w:hint="eastAsia" w:ascii="Times New Roman" w:hAnsi="Times New Roman" w:eastAsia="宋体" w:cs="Times New Roman"/>
          <w:lang w:val="en-US" w:eastAsia="zh-CN" w:bidi="ar-SA"/>
        </w:rPr>
      </w:pPr>
      <w:r>
        <w:rPr>
          <w:rFonts w:hint="eastAsia" w:ascii="Times New Roman" w:hAnsi="Times New Roman" w:eastAsia="宋体" w:cs="Times New Roman"/>
          <w:lang w:val="en-US" w:eastAsia="zh-CN" w:bidi="ar-SA"/>
        </w:rPr>
        <w:t>行业风险热力图功能。展示八大高耗能行业的平均GWI分布，颜色深浅反映风险高低，辅助银行进行行业层面的风险配置和限额管理。</w:t>
      </w:r>
    </w:p>
    <w:p w14:paraId="2DDC14F0">
      <w:pPr>
        <w:bidi w:val="0"/>
        <w:rPr>
          <w:rFonts w:hint="eastAsia" w:ascii="Times New Roman" w:hAnsi="Times New Roman" w:eastAsia="宋体" w:cs="Times New Roman"/>
          <w:lang w:val="en-US" w:eastAsia="zh-CN" w:bidi="ar-SA"/>
        </w:rPr>
      </w:pPr>
      <w:r>
        <w:rPr>
          <w:rFonts w:hint="eastAsia" w:ascii="Times New Roman" w:hAnsi="Times New Roman" w:eastAsia="宋体" w:cs="Times New Roman"/>
          <w:lang w:val="en-US" w:eastAsia="zh-CN" w:bidi="ar-SA"/>
        </w:rPr>
        <w:t>证据链联动展示功能是系统的核心亮点。用户点击某高风险企业后，左侧自动展示其ESG报告中被高亮标注的漂绿原文片段，如承诺大幅减排但未见具体措施。右侧同步展示2019年与2021年厂区卫星影像对比，底部标注NDVI变化曲线与遥感偏离度得分。三者形成文本自述与遥感实情的直观证据链，将抽象的风险分数转化为可视化证据。</w:t>
      </w:r>
    </w:p>
    <w:p w14:paraId="3D057617">
      <w:pPr>
        <w:bidi w:val="0"/>
        <w:rPr>
          <w:rFonts w:hint="eastAsia" w:ascii="Times New Roman" w:hAnsi="Times New Roman" w:eastAsia="宋体" w:cs="Times New Roman"/>
          <w:lang w:val="en-US" w:eastAsia="zh-CN" w:bidi="ar-SA"/>
        </w:rPr>
      </w:pPr>
      <w:r>
        <w:rPr>
          <w:rFonts w:hint="eastAsia" w:ascii="Times New Roman" w:hAnsi="Times New Roman" w:eastAsia="宋体" w:cs="Times New Roman"/>
          <w:lang w:val="en-US" w:eastAsia="zh-CN" w:bidi="ar-SA"/>
        </w:rPr>
        <w:t>一键导出审核报告功能。系统自动生成绿色信贷风险审核报告，包含企业基本信息、GWI得分及等级、违约概率预测值、主要风险因子排序以及证据链摘要，支持PDF和Excel双格式导出。</w:t>
      </w:r>
    </w:p>
    <w:p w14:paraId="090413AA">
      <w:pPr>
        <w:pStyle w:val="3"/>
        <w:bidi w:val="0"/>
        <w:rPr>
          <w:rFonts w:hint="eastAsia"/>
          <w:lang w:val="en-US" w:eastAsia="zh-CN"/>
        </w:rPr>
      </w:pPr>
      <w:r>
        <w:rPr>
          <w:rFonts w:hint="eastAsia"/>
          <w:lang w:val="en-US" w:eastAsia="zh-CN"/>
        </w:rPr>
        <w:t>6.3 三级演示保障体系</w:t>
      </w:r>
    </w:p>
    <w:p w14:paraId="5FBE3218">
      <w:pPr>
        <w:bidi w:val="0"/>
        <w:rPr>
          <w:rFonts w:hint="eastAsia" w:ascii="Times New Roman" w:hAnsi="Times New Roman" w:eastAsia="宋体" w:cs="Times New Roman"/>
          <w:lang w:val="en-US" w:eastAsia="zh-CN" w:bidi="ar-SA"/>
        </w:rPr>
      </w:pPr>
      <w:r>
        <w:rPr>
          <w:rFonts w:hint="eastAsia" w:ascii="Times New Roman" w:hAnsi="Times New Roman" w:eastAsia="宋体" w:cs="Times New Roman"/>
          <w:lang w:val="en-US" w:eastAsia="zh-CN" w:bidi="ar-SA"/>
        </w:rPr>
        <w:t>Plan A为现场操作。提前在答辩电脑上完成Streamlit仪表盘的环境配置和运行测试，所有数据预加载，确保流畅操作。</w:t>
      </w:r>
    </w:p>
    <w:p w14:paraId="59A8814F">
      <w:pPr>
        <w:bidi w:val="0"/>
        <w:rPr>
          <w:rFonts w:hint="eastAsia" w:ascii="Times New Roman" w:hAnsi="Times New Roman" w:eastAsia="宋体" w:cs="Times New Roman"/>
          <w:lang w:val="en-US" w:eastAsia="zh-CN" w:bidi="ar-SA"/>
        </w:rPr>
      </w:pPr>
      <w:r>
        <w:rPr>
          <w:rFonts w:hint="eastAsia" w:ascii="Times New Roman" w:hAnsi="Times New Roman" w:eastAsia="宋体" w:cs="Times New Roman"/>
          <w:lang w:val="en-US" w:eastAsia="zh-CN" w:bidi="ar-SA"/>
        </w:rPr>
        <w:t>Plan B为2分钟预录视频。完整展示三个典型案例从点击到证据链呈现的全流程操作，包含鼠标操作路径录制，备用U盘和云端各存一份。</w:t>
      </w:r>
    </w:p>
    <w:p w14:paraId="5E88B512">
      <w:pPr>
        <w:bidi w:val="0"/>
        <w:rPr>
          <w:rFonts w:hint="eastAsia" w:ascii="Times New Roman" w:hAnsi="Times New Roman" w:eastAsia="宋体" w:cs="Times New Roman"/>
          <w:lang w:val="en-US" w:eastAsia="zh-CN" w:bidi="ar-SA"/>
        </w:rPr>
      </w:pPr>
      <w:r>
        <w:rPr>
          <w:rFonts w:hint="eastAsia" w:ascii="Times New Roman" w:hAnsi="Times New Roman" w:eastAsia="宋体" w:cs="Times New Roman"/>
          <w:lang w:val="en-US" w:eastAsia="zh-CN" w:bidi="ar-SA"/>
        </w:rPr>
        <w:t>Plan C为静态PPT截图。准备三张完整案例证据链的高清截图，分别对应典型漂绿企业、言行一致绿色标杆和少说多做型企业，在极端情况下可口头讲解。</w:t>
      </w:r>
    </w:p>
    <w:p w14:paraId="0757257F">
      <w:pPr>
        <w:rPr>
          <w:rFonts w:hint="eastAsia" w:ascii="Times New Roman" w:hAnsi="Times New Roman" w:eastAsia="宋体" w:cs="Times New Roman"/>
          <w:lang w:val="en-US" w:eastAsia="zh-CN" w:bidi="ar-SA"/>
        </w:rPr>
      </w:pPr>
      <w:r>
        <w:rPr>
          <w:rFonts w:hint="eastAsia" w:ascii="Times New Roman" w:hAnsi="Times New Roman" w:eastAsia="宋体" w:cs="Times New Roman"/>
          <w:lang w:val="en-US" w:eastAsia="zh-CN" w:bidi="ar-SA"/>
        </w:rPr>
        <w:br w:type="page"/>
      </w:r>
    </w:p>
    <w:p w14:paraId="5E81B274">
      <w:pPr>
        <w:pStyle w:val="2"/>
        <w:bidi w:val="0"/>
        <w:rPr>
          <w:rFonts w:hint="eastAsia"/>
          <w:lang w:val="en-US" w:eastAsia="zh-CN"/>
        </w:rPr>
      </w:pPr>
      <w:r>
        <w:rPr>
          <w:rFonts w:hint="eastAsia"/>
          <w:lang w:val="en-US" w:eastAsia="zh-CN"/>
        </w:rPr>
        <w:t>第七章 应用价值</w:t>
      </w:r>
    </w:p>
    <w:p w14:paraId="446F8CD6">
      <w:pPr>
        <w:pStyle w:val="3"/>
        <w:bidi w:val="0"/>
        <w:rPr>
          <w:rFonts w:hint="eastAsia"/>
          <w:lang w:val="en-US" w:eastAsia="zh-CN"/>
        </w:rPr>
      </w:pPr>
      <w:r>
        <w:rPr>
          <w:rFonts w:hint="eastAsia"/>
          <w:lang w:val="en-US" w:eastAsia="zh-CN"/>
        </w:rPr>
        <w:t>7.1 经济效益</w:t>
      </w:r>
    </w:p>
    <w:p w14:paraId="4E1427FE">
      <w:pPr>
        <w:bidi w:val="0"/>
        <w:rPr>
          <w:rFonts w:hint="eastAsia" w:ascii="Times New Roman" w:hAnsi="Times New Roman" w:eastAsia="宋体" w:cs="Times New Roman"/>
          <w:lang w:val="en-US" w:eastAsia="zh-CN" w:bidi="ar-SA"/>
        </w:rPr>
      </w:pPr>
      <w:r>
        <w:rPr>
          <w:rFonts w:hint="eastAsia" w:ascii="Times New Roman" w:hAnsi="Times New Roman" w:eastAsia="宋体" w:cs="Times New Roman"/>
          <w:lang w:val="en-US" w:eastAsia="zh-CN" w:bidi="ar-SA"/>
        </w:rPr>
        <w:t>审核效率维度，传统人工审核单户耗时3至7天，本系统可在10分钟内完成分析，效率提升超过百分之九十九。</w:t>
      </w:r>
    </w:p>
    <w:p w14:paraId="50ADA966">
      <w:pPr>
        <w:bidi w:val="0"/>
        <w:rPr>
          <w:rFonts w:hint="eastAsia" w:ascii="Times New Roman" w:hAnsi="Times New Roman" w:eastAsia="宋体" w:cs="Times New Roman"/>
          <w:lang w:val="en-US" w:eastAsia="zh-CN" w:bidi="ar-SA"/>
        </w:rPr>
      </w:pPr>
      <w:r>
        <w:rPr>
          <w:rFonts w:hint="eastAsia" w:ascii="Times New Roman" w:hAnsi="Times New Roman" w:eastAsia="宋体" w:cs="Times New Roman"/>
          <w:lang w:val="en-US" w:eastAsia="zh-CN" w:bidi="ar-SA"/>
        </w:rPr>
        <w:t>单户成本维度，传统审核依赖人工尽调，单户成本达数千元，本系统单户成本低于100元，其中Sentinel-2数据免费，算力摊销约80元每户，人工摊薄约20元每户，成本降低超过百分之九十五。</w:t>
      </w:r>
    </w:p>
    <w:p w14:paraId="1A3C45DE">
      <w:pPr>
        <w:bidi w:val="0"/>
        <w:rPr>
          <w:rFonts w:hint="eastAsia" w:ascii="Times New Roman" w:hAnsi="Times New Roman" w:eastAsia="宋体" w:cs="Times New Roman"/>
          <w:lang w:val="en-US" w:eastAsia="zh-CN" w:bidi="ar-SA"/>
        </w:rPr>
      </w:pPr>
      <w:r>
        <w:rPr>
          <w:rFonts w:hint="eastAsia" w:ascii="Times New Roman" w:hAnsi="Times New Roman" w:eastAsia="宋体" w:cs="Times New Roman"/>
          <w:lang w:val="en-US" w:eastAsia="zh-CN" w:bidi="ar-SA"/>
        </w:rPr>
        <w:t>漂绿识别准确率维度，传统人工识别准确率约百分之六十，本系统达到百分之八十以上，提升超过二十个百分点。该准确率数据基于10家已曝光漂绿企业组成的独立测试集验证，该测试集全程未参与模型训练和权重计算。</w:t>
      </w:r>
    </w:p>
    <w:p w14:paraId="2B6C9F20">
      <w:pPr>
        <w:bidi w:val="0"/>
        <w:rPr>
          <w:rFonts w:hint="eastAsia" w:ascii="Times New Roman" w:hAnsi="Times New Roman" w:eastAsia="宋体" w:cs="Times New Roman"/>
          <w:lang w:val="en-US" w:eastAsia="zh-CN" w:bidi="ar-SA"/>
        </w:rPr>
      </w:pPr>
      <w:r>
        <w:rPr>
          <w:rFonts w:hint="eastAsia" w:ascii="Times New Roman" w:hAnsi="Times New Roman" w:eastAsia="宋体" w:cs="Times New Roman"/>
          <w:lang w:val="en-US" w:eastAsia="zh-CN" w:bidi="ar-SA"/>
        </w:rPr>
        <w:t>绿色信贷不良率维度，行业平均水平为百分之二至三，本系统预期可降低不良率约百分之十五。</w:t>
      </w:r>
    </w:p>
    <w:p w14:paraId="3835BD65">
      <w:pPr>
        <w:pStyle w:val="3"/>
        <w:bidi w:val="0"/>
        <w:rPr>
          <w:rFonts w:hint="eastAsia"/>
          <w:lang w:val="en-US" w:eastAsia="zh-CN"/>
        </w:rPr>
      </w:pPr>
      <w:r>
        <w:rPr>
          <w:rFonts w:hint="eastAsia"/>
          <w:lang w:val="en-US" w:eastAsia="zh-CN"/>
        </w:rPr>
        <w:t>7.2 社会效益</w:t>
      </w:r>
    </w:p>
    <w:p w14:paraId="1EE9BAA2">
      <w:pPr>
        <w:bidi w:val="0"/>
        <w:rPr>
          <w:rFonts w:hint="eastAsia" w:ascii="Times New Roman" w:hAnsi="Times New Roman" w:eastAsia="宋体" w:cs="Times New Roman"/>
          <w:lang w:val="en-US" w:eastAsia="zh-CN" w:bidi="ar-SA"/>
        </w:rPr>
      </w:pPr>
      <w:r>
        <w:rPr>
          <w:rFonts w:hint="eastAsia" w:ascii="Times New Roman" w:hAnsi="Times New Roman" w:eastAsia="宋体" w:cs="Times New Roman"/>
          <w:lang w:val="en-US" w:eastAsia="zh-CN" w:bidi="ar-SA"/>
        </w:rPr>
        <w:t>遏制漂绿行为方面，利用卫星遥感构建天眼监督机制，使企业的实际环境表现不可篡改地被记录，形成社会威慑，倒逼企业真正落实环保投入。</w:t>
      </w:r>
    </w:p>
    <w:p w14:paraId="44F681F8">
      <w:pPr>
        <w:bidi w:val="0"/>
        <w:rPr>
          <w:rFonts w:hint="eastAsia" w:ascii="Times New Roman" w:hAnsi="Times New Roman" w:eastAsia="宋体" w:cs="Times New Roman"/>
          <w:lang w:val="en-US" w:eastAsia="zh-CN" w:bidi="ar-SA"/>
        </w:rPr>
      </w:pPr>
      <w:r>
        <w:rPr>
          <w:rFonts w:hint="eastAsia" w:ascii="Times New Roman" w:hAnsi="Times New Roman" w:eastAsia="宋体" w:cs="Times New Roman"/>
          <w:lang w:val="en-US" w:eastAsia="zh-CN" w:bidi="ar-SA"/>
        </w:rPr>
        <w:t>引导资本流向方面，帮助金融机构甄别真绿与假绿，使绿色资本真正流向致力于环保的企业，提升绿色金融的资源配置效率。</w:t>
      </w:r>
    </w:p>
    <w:p w14:paraId="62AEBC5A">
      <w:pPr>
        <w:bidi w:val="0"/>
        <w:rPr>
          <w:rFonts w:hint="eastAsia" w:ascii="Times New Roman" w:hAnsi="Times New Roman" w:eastAsia="宋体" w:cs="Times New Roman"/>
          <w:lang w:val="en-US" w:eastAsia="zh-CN" w:bidi="ar-SA"/>
        </w:rPr>
      </w:pPr>
      <w:r>
        <w:rPr>
          <w:rFonts w:hint="eastAsia" w:ascii="Times New Roman" w:hAnsi="Times New Roman" w:eastAsia="宋体" w:cs="Times New Roman"/>
          <w:lang w:val="en-US" w:eastAsia="zh-CN" w:bidi="ar-SA"/>
        </w:rPr>
        <w:t>支持绿色金融监管方面，为金融监管机构提供绿色信贷资产质量的批量监测工具，支持穿透式监管和系统性风险防范。</w:t>
      </w:r>
    </w:p>
    <w:p w14:paraId="54FB1FE0">
      <w:pPr>
        <w:bidi w:val="0"/>
        <w:rPr>
          <w:rFonts w:hint="eastAsia" w:ascii="Times New Roman" w:hAnsi="Times New Roman" w:eastAsia="宋体" w:cs="Times New Roman"/>
          <w:lang w:val="en-US" w:eastAsia="zh-CN" w:bidi="ar-SA"/>
        </w:rPr>
      </w:pPr>
      <w:r>
        <w:rPr>
          <w:rFonts w:hint="eastAsia" w:ascii="Times New Roman" w:hAnsi="Times New Roman" w:eastAsia="宋体" w:cs="Times New Roman"/>
          <w:lang w:val="en-US" w:eastAsia="zh-CN" w:bidi="ar-SA"/>
        </w:rPr>
        <w:t>7.3 商业模式与推广路径</w:t>
      </w:r>
    </w:p>
    <w:p w14:paraId="14AF7BD4">
      <w:pPr>
        <w:bidi w:val="0"/>
        <w:rPr>
          <w:rFonts w:hint="eastAsia" w:ascii="Times New Roman" w:hAnsi="Times New Roman" w:eastAsia="宋体" w:cs="Times New Roman"/>
          <w:lang w:val="en-US" w:eastAsia="zh-CN" w:bidi="ar-SA"/>
        </w:rPr>
      </w:pPr>
      <w:r>
        <w:rPr>
          <w:rFonts w:hint="eastAsia" w:ascii="Times New Roman" w:hAnsi="Times New Roman" w:eastAsia="宋体" w:cs="Times New Roman"/>
          <w:lang w:val="en-US" w:eastAsia="zh-CN" w:bidi="ar-SA"/>
        </w:rPr>
        <w:t>采用SaaS服务模式，向城商行和农商行提供绿色信贷审核辅助服务，按年收取服务费，单家银行每年5至20万元。</w:t>
      </w:r>
    </w:p>
    <w:p w14:paraId="3B14CCF3">
      <w:pPr>
        <w:bidi w:val="0"/>
        <w:rPr>
          <w:rFonts w:hint="eastAsia" w:ascii="Times New Roman" w:hAnsi="Times New Roman" w:eastAsia="宋体" w:cs="Times New Roman"/>
          <w:lang w:val="en-US" w:eastAsia="zh-CN" w:bidi="ar-SA"/>
        </w:rPr>
      </w:pPr>
      <w:r>
        <w:rPr>
          <w:rFonts w:hint="eastAsia" w:ascii="Times New Roman" w:hAnsi="Times New Roman" w:eastAsia="宋体" w:cs="Times New Roman"/>
          <w:lang w:val="en-US" w:eastAsia="zh-CN" w:bidi="ar-SA"/>
        </w:rPr>
        <w:t>目标客户为全国100余家城商行和农商行，以及绿色债券审核机构。这些机构普遍缺乏自研风控模型的能力，对轻量级SaaS工具有较强付费意愿。</w:t>
      </w:r>
    </w:p>
    <w:p w14:paraId="23296DAF">
      <w:pPr>
        <w:bidi w:val="0"/>
        <w:rPr>
          <w:rFonts w:hint="eastAsia" w:ascii="Times New Roman" w:hAnsi="Times New Roman" w:eastAsia="宋体" w:cs="Times New Roman"/>
          <w:lang w:val="en-US" w:eastAsia="zh-CN" w:bidi="ar-SA"/>
        </w:rPr>
      </w:pPr>
      <w:r>
        <w:rPr>
          <w:rFonts w:hint="eastAsia" w:ascii="Times New Roman" w:hAnsi="Times New Roman" w:eastAsia="宋体" w:cs="Times New Roman"/>
          <w:lang w:val="en-US" w:eastAsia="zh-CN" w:bidi="ar-SA"/>
        </w:rPr>
        <w:t>扩展场景包括ESG投资标的风控、绿色项目评估审核、上市公司环境信息披露合规核查等，市场空间可进一步放大。</w:t>
      </w:r>
    </w:p>
    <w:p w14:paraId="31630E99">
      <w:pPr>
        <w:rPr>
          <w:rFonts w:hint="eastAsia" w:ascii="Times New Roman" w:hAnsi="Times New Roman" w:eastAsia="宋体" w:cs="Times New Roman"/>
          <w:lang w:val="en-US" w:eastAsia="zh-CN" w:bidi="ar-SA"/>
        </w:rPr>
      </w:pPr>
      <w:r>
        <w:rPr>
          <w:rFonts w:hint="eastAsia" w:ascii="Times New Roman" w:hAnsi="Times New Roman" w:eastAsia="宋体" w:cs="Times New Roman"/>
          <w:lang w:val="en-US" w:eastAsia="zh-CN" w:bidi="ar-SA"/>
        </w:rPr>
        <w:br w:type="page"/>
      </w:r>
    </w:p>
    <w:p w14:paraId="2150EC7C">
      <w:pPr>
        <w:pStyle w:val="2"/>
        <w:bidi w:val="0"/>
        <w:rPr>
          <w:rFonts w:hint="eastAsia"/>
          <w:lang w:val="en-US" w:eastAsia="zh-CN"/>
        </w:rPr>
      </w:pPr>
      <w:r>
        <w:rPr>
          <w:rFonts w:hint="eastAsia"/>
          <w:lang w:val="en-US" w:eastAsia="zh-CN"/>
        </w:rPr>
        <w:t>第八章 合规与数据安全</w:t>
      </w:r>
    </w:p>
    <w:p w14:paraId="74C7E951">
      <w:pPr>
        <w:pStyle w:val="3"/>
        <w:bidi w:val="0"/>
        <w:rPr>
          <w:rFonts w:hint="eastAsia"/>
          <w:lang w:val="en-US" w:eastAsia="zh-CN"/>
        </w:rPr>
      </w:pPr>
      <w:r>
        <w:rPr>
          <w:rFonts w:hint="eastAsia"/>
          <w:lang w:val="en-US" w:eastAsia="zh-CN"/>
        </w:rPr>
        <w:t>8.1 数据来源合法性说明</w:t>
      </w:r>
    </w:p>
    <w:p w14:paraId="1B5F871C">
      <w:pPr>
        <w:bidi w:val="0"/>
        <w:rPr>
          <w:rFonts w:hint="eastAsia" w:ascii="Times New Roman" w:hAnsi="Times New Roman" w:eastAsia="宋体" w:cs="Times New Roman"/>
          <w:lang w:val="en-US" w:eastAsia="zh-CN" w:bidi="ar-SA"/>
        </w:rPr>
      </w:pPr>
      <w:r>
        <w:rPr>
          <w:rFonts w:hint="eastAsia" w:ascii="Times New Roman" w:hAnsi="Times New Roman" w:eastAsia="宋体" w:cs="Times New Roman"/>
          <w:lang w:val="en-US" w:eastAsia="zh-CN" w:bidi="ar-SA"/>
        </w:rPr>
        <w:t>所有数据均来自公开渠道。巨潮资讯网为证监会指定的上市公司信息披露平台，Copernicus为欧盟免费开放数据平台，工信部绿色工厂名录为政府公开名单。不涉及任何非公开信息或商业机密数据。</w:t>
      </w:r>
    </w:p>
    <w:p w14:paraId="3DDBBA22">
      <w:pPr>
        <w:bidi w:val="0"/>
        <w:rPr>
          <w:rFonts w:hint="eastAsia" w:ascii="Times New Roman" w:hAnsi="Times New Roman" w:eastAsia="宋体" w:cs="Times New Roman"/>
          <w:lang w:val="en-US" w:eastAsia="zh-CN" w:bidi="ar-SA"/>
        </w:rPr>
      </w:pPr>
      <w:r>
        <w:rPr>
          <w:rFonts w:hint="eastAsia" w:ascii="Times New Roman" w:hAnsi="Times New Roman" w:eastAsia="宋体" w:cs="Times New Roman"/>
          <w:lang w:val="en-US" w:eastAsia="zh-CN" w:bidi="ar-SA"/>
        </w:rPr>
        <w:t>8.2 数据隐私保护措施</w:t>
      </w:r>
    </w:p>
    <w:p w14:paraId="7AE16E30">
      <w:pPr>
        <w:bidi w:val="0"/>
        <w:rPr>
          <w:rFonts w:hint="eastAsia" w:ascii="Times New Roman" w:hAnsi="Times New Roman" w:eastAsia="宋体" w:cs="Times New Roman"/>
          <w:lang w:val="en-US" w:eastAsia="zh-CN" w:bidi="ar-SA"/>
        </w:rPr>
      </w:pPr>
      <w:r>
        <w:rPr>
          <w:rFonts w:hint="eastAsia" w:ascii="Times New Roman" w:hAnsi="Times New Roman" w:eastAsia="宋体" w:cs="Times New Roman"/>
          <w:lang w:val="en-US" w:eastAsia="zh-CN" w:bidi="ar-SA"/>
        </w:rPr>
        <w:t>不采集任何个人信息，仅使用上市公司依法公开披露的财务和文本数据。遥感影像仅用于企业园区边界内的环境分析，不涉及周边居民区或敏感设施。</w:t>
      </w:r>
    </w:p>
    <w:p w14:paraId="2138BAF1">
      <w:pPr>
        <w:bidi w:val="0"/>
        <w:rPr>
          <w:rFonts w:hint="eastAsia" w:ascii="Times New Roman" w:hAnsi="Times New Roman" w:eastAsia="宋体" w:cs="Times New Roman"/>
          <w:lang w:val="en-US" w:eastAsia="zh-CN" w:bidi="ar-SA"/>
        </w:rPr>
      </w:pPr>
      <w:r>
        <w:rPr>
          <w:rFonts w:hint="eastAsia" w:ascii="Times New Roman" w:hAnsi="Times New Roman" w:eastAsia="宋体" w:cs="Times New Roman"/>
          <w:lang w:val="en-US" w:eastAsia="zh-CN" w:bidi="ar-SA"/>
        </w:rPr>
        <w:t>8.3 模型公平性与伦理审查</w:t>
      </w:r>
    </w:p>
    <w:p w14:paraId="0D5F86CE">
      <w:pPr>
        <w:bidi w:val="0"/>
        <w:rPr>
          <w:rFonts w:hint="eastAsia" w:ascii="Times New Roman" w:hAnsi="Times New Roman" w:eastAsia="宋体" w:cs="Times New Roman"/>
          <w:lang w:val="en-US" w:eastAsia="zh-CN" w:bidi="ar-SA"/>
        </w:rPr>
      </w:pPr>
      <w:r>
        <w:rPr>
          <w:rFonts w:hint="eastAsia" w:ascii="Times New Roman" w:hAnsi="Times New Roman" w:eastAsia="宋体" w:cs="Times New Roman"/>
          <w:lang w:val="en-US" w:eastAsia="zh-CN" w:bidi="ar-SA"/>
        </w:rPr>
        <w:t>定期进行模型公平性检验，按行业和地区维度评估模型性能差异，确保不对特定行业或地区产生系统性偏见。模型输出仅作为辅助决策工具，最终信贷审批权保留在人类专家手中，符合金融监管对自动化决策的合规要求。</w:t>
      </w:r>
    </w:p>
    <w:p w14:paraId="533A5175">
      <w:pPr>
        <w:bidi w:val="0"/>
        <w:rPr>
          <w:rFonts w:hint="eastAsia" w:ascii="Times New Roman" w:hAnsi="Times New Roman" w:eastAsia="宋体" w:cs="Times New Roman"/>
          <w:lang w:val="en-US" w:eastAsia="zh-CN" w:bidi="ar-SA"/>
        </w:rPr>
      </w:pPr>
      <w:r>
        <w:rPr>
          <w:rFonts w:hint="eastAsia" w:ascii="Times New Roman" w:hAnsi="Times New Roman" w:eastAsia="宋体" w:cs="Times New Roman"/>
          <w:lang w:val="en-US" w:eastAsia="zh-CN" w:bidi="ar-SA"/>
        </w:rPr>
        <w:t xml:space="preserve"> </w:t>
      </w:r>
    </w:p>
    <w:p w14:paraId="74497A69">
      <w:pPr>
        <w:rPr>
          <w:rFonts w:hint="eastAsia" w:ascii="Times New Roman" w:hAnsi="Times New Roman" w:eastAsia="宋体" w:cs="Times New Roman"/>
          <w:lang w:val="en-US" w:eastAsia="zh-CN" w:bidi="ar-SA"/>
        </w:rPr>
      </w:pPr>
      <w:r>
        <w:rPr>
          <w:rFonts w:hint="eastAsia" w:ascii="Times New Roman" w:hAnsi="Times New Roman" w:eastAsia="宋体" w:cs="Times New Roman"/>
          <w:lang w:val="en-US" w:eastAsia="zh-CN" w:bidi="ar-SA"/>
        </w:rPr>
        <w:br w:type="page"/>
      </w:r>
    </w:p>
    <w:p w14:paraId="53DD4BB6">
      <w:pPr>
        <w:pStyle w:val="2"/>
        <w:bidi w:val="0"/>
        <w:rPr>
          <w:rFonts w:hint="eastAsia"/>
          <w:lang w:val="en-US" w:eastAsia="zh-CN"/>
        </w:rPr>
      </w:pPr>
      <w:r>
        <w:rPr>
          <w:rFonts w:hint="eastAsia"/>
          <w:lang w:val="en-US" w:eastAsia="zh-CN"/>
        </w:rPr>
        <w:t>第九章 结论与展望</w:t>
      </w:r>
    </w:p>
    <w:p w14:paraId="069DFE81">
      <w:pPr>
        <w:pStyle w:val="3"/>
        <w:bidi w:val="0"/>
        <w:rPr>
          <w:rFonts w:hint="eastAsia"/>
          <w:lang w:val="en-US" w:eastAsia="zh-CN"/>
        </w:rPr>
      </w:pPr>
      <w:r>
        <w:rPr>
          <w:rFonts w:hint="eastAsia"/>
          <w:lang w:val="en-US" w:eastAsia="zh-CN"/>
        </w:rPr>
        <w:t>9.1 主要研究结论</w:t>
      </w:r>
    </w:p>
    <w:p w14:paraId="799CDBC7">
      <w:pPr>
        <w:bidi w:val="0"/>
        <w:rPr>
          <w:rFonts w:hint="eastAsia" w:ascii="Times New Roman" w:hAnsi="Times New Roman" w:eastAsia="宋体" w:cs="Times New Roman"/>
          <w:lang w:val="en-US" w:eastAsia="zh-CN" w:bidi="ar-SA"/>
        </w:rPr>
      </w:pPr>
      <w:r>
        <w:rPr>
          <w:rFonts w:hint="eastAsia" w:ascii="Times New Roman" w:hAnsi="Times New Roman" w:eastAsia="宋体" w:cs="Times New Roman"/>
          <w:lang w:val="en-US" w:eastAsia="zh-CN" w:bidi="ar-SA"/>
        </w:rPr>
        <w:t>漂绿可量化。基于文本与遥感的GWI指数能够有效识别漂绿企业，独立测试集准确率不低于百分之八十。</w:t>
      </w:r>
    </w:p>
    <w:p w14:paraId="6956F067">
      <w:pPr>
        <w:bidi w:val="0"/>
        <w:rPr>
          <w:rFonts w:hint="eastAsia" w:ascii="Times New Roman" w:hAnsi="Times New Roman" w:eastAsia="宋体" w:cs="Times New Roman"/>
          <w:lang w:val="en-US" w:eastAsia="zh-CN" w:bidi="ar-SA"/>
        </w:rPr>
      </w:pPr>
      <w:r>
        <w:rPr>
          <w:rFonts w:hint="eastAsia" w:ascii="Times New Roman" w:hAnsi="Times New Roman" w:eastAsia="宋体" w:cs="Times New Roman"/>
          <w:lang w:val="en-US" w:eastAsia="zh-CN" w:bidi="ar-SA"/>
        </w:rPr>
        <w:t>漂绿有后果。高GWI企业未来违约概率显著高于低GWI企业，控制财务因素后差异依然显著，证明漂绿行为是信贷风险的先行信号。</w:t>
      </w:r>
    </w:p>
    <w:p w14:paraId="45893190">
      <w:pPr>
        <w:bidi w:val="0"/>
        <w:rPr>
          <w:rFonts w:hint="eastAsia" w:ascii="Times New Roman" w:hAnsi="Times New Roman" w:eastAsia="宋体" w:cs="Times New Roman"/>
          <w:lang w:val="en-US" w:eastAsia="zh-CN" w:bidi="ar-SA"/>
        </w:rPr>
      </w:pPr>
      <w:r>
        <w:rPr>
          <w:rFonts w:hint="eastAsia" w:ascii="Times New Roman" w:hAnsi="Times New Roman" w:eastAsia="宋体" w:cs="Times New Roman"/>
          <w:lang w:val="en-US" w:eastAsia="zh-CN" w:bidi="ar-SA"/>
        </w:rPr>
        <w:t>遥感有增量。引入遥感特征后，违约预测AUC从0.78提升至0.91，提升幅度达百分之十六点七，遥感数据是多模态中最具边际价值的非结构化数据源。</w:t>
      </w:r>
    </w:p>
    <w:p w14:paraId="7E4CAC79">
      <w:pPr>
        <w:bidi w:val="0"/>
        <w:rPr>
          <w:rFonts w:hint="eastAsia" w:ascii="Times New Roman" w:hAnsi="Times New Roman" w:eastAsia="宋体" w:cs="Times New Roman"/>
          <w:lang w:val="en-US" w:eastAsia="zh-CN" w:bidi="ar-SA"/>
        </w:rPr>
      </w:pPr>
      <w:r>
        <w:rPr>
          <w:rFonts w:hint="eastAsia" w:ascii="Times New Roman" w:hAnsi="Times New Roman" w:eastAsia="宋体" w:cs="Times New Roman"/>
          <w:lang w:val="en-US" w:eastAsia="zh-CN" w:bidi="ar-SA"/>
        </w:rPr>
        <w:t>方法可落地。所有数据公开可获取，单户成本低于100元，模型可解释性强，满足银行实际部署条件。</w:t>
      </w:r>
    </w:p>
    <w:p w14:paraId="485C6A0F">
      <w:pPr>
        <w:pStyle w:val="3"/>
        <w:bidi w:val="0"/>
        <w:rPr>
          <w:rFonts w:hint="eastAsia"/>
          <w:lang w:val="en-US" w:eastAsia="zh-CN"/>
        </w:rPr>
      </w:pPr>
      <w:r>
        <w:rPr>
          <w:rFonts w:hint="eastAsia"/>
          <w:lang w:val="en-US" w:eastAsia="zh-CN"/>
        </w:rPr>
        <w:t>9.2 研究局限性</w:t>
      </w:r>
    </w:p>
    <w:p w14:paraId="08F566A2">
      <w:pPr>
        <w:bidi w:val="0"/>
        <w:rPr>
          <w:rFonts w:hint="eastAsia" w:ascii="Times New Roman" w:hAnsi="Times New Roman" w:eastAsia="宋体" w:cs="Times New Roman"/>
          <w:lang w:val="en-US" w:eastAsia="zh-CN" w:bidi="ar-SA"/>
        </w:rPr>
      </w:pPr>
      <w:r>
        <w:rPr>
          <w:rFonts w:hint="eastAsia" w:ascii="Times New Roman" w:hAnsi="Times New Roman" w:eastAsia="宋体" w:cs="Times New Roman"/>
          <w:lang w:val="en-US" w:eastAsia="zh-CN" w:bidi="ar-SA"/>
        </w:rPr>
        <w:t>样本量有限，目前总计75家企业，未来需扩充至500家以上以增强统计效力和模型泛化能力。</w:t>
      </w:r>
    </w:p>
    <w:p w14:paraId="1D363FDF">
      <w:pPr>
        <w:bidi w:val="0"/>
        <w:rPr>
          <w:rFonts w:hint="eastAsia" w:ascii="Times New Roman" w:hAnsi="Times New Roman" w:eastAsia="宋体" w:cs="Times New Roman"/>
          <w:lang w:val="en-US" w:eastAsia="zh-CN" w:bidi="ar-SA"/>
        </w:rPr>
      </w:pPr>
      <w:r>
        <w:rPr>
          <w:rFonts w:hint="eastAsia" w:ascii="Times New Roman" w:hAnsi="Times New Roman" w:eastAsia="宋体" w:cs="Times New Roman"/>
          <w:lang w:val="en-US" w:eastAsia="zh-CN" w:bidi="ar-SA"/>
        </w:rPr>
        <w:t>遥感影像受云量影响，部分南方地区的企业无法稳定获取有效夏季影像，需探索雷达影像等替代数据源。</w:t>
      </w:r>
    </w:p>
    <w:p w14:paraId="19EBC6FE">
      <w:pPr>
        <w:bidi w:val="0"/>
        <w:rPr>
          <w:rFonts w:hint="eastAsia" w:ascii="Times New Roman" w:hAnsi="Times New Roman" w:eastAsia="宋体" w:cs="Times New Roman"/>
          <w:lang w:val="en-US" w:eastAsia="zh-CN" w:bidi="ar-SA"/>
        </w:rPr>
      </w:pPr>
      <w:r>
        <w:rPr>
          <w:rFonts w:hint="eastAsia" w:ascii="Times New Roman" w:hAnsi="Times New Roman" w:eastAsia="宋体" w:cs="Times New Roman"/>
          <w:lang w:val="en-US" w:eastAsia="zh-CN" w:bidi="ar-SA"/>
        </w:rPr>
        <w:t>模型仅基于A股上市公司，未覆盖非上市企业群体，适用场景有一定限制。</w:t>
      </w:r>
    </w:p>
    <w:p w14:paraId="2E8C6570">
      <w:pPr>
        <w:pStyle w:val="3"/>
        <w:bidi w:val="0"/>
        <w:rPr>
          <w:rFonts w:hint="eastAsia"/>
          <w:lang w:val="en-US" w:eastAsia="zh-CN"/>
        </w:rPr>
      </w:pPr>
      <w:r>
        <w:rPr>
          <w:rFonts w:hint="eastAsia"/>
          <w:lang w:val="en-US" w:eastAsia="zh-CN"/>
        </w:rPr>
        <w:t>9.3 未来研究方向</w:t>
      </w:r>
    </w:p>
    <w:p w14:paraId="709EC8A1">
      <w:pPr>
        <w:bidi w:val="0"/>
        <w:rPr>
          <w:rFonts w:hint="eastAsia" w:ascii="Times New Roman" w:hAnsi="Times New Roman" w:eastAsia="宋体" w:cs="Times New Roman"/>
          <w:lang w:val="en-US" w:eastAsia="zh-CN" w:bidi="ar-SA"/>
        </w:rPr>
      </w:pPr>
      <w:r>
        <w:rPr>
          <w:rFonts w:hint="eastAsia" w:ascii="Times New Roman" w:hAnsi="Times New Roman" w:eastAsia="宋体" w:cs="Times New Roman"/>
          <w:lang w:val="en-US" w:eastAsia="zh-CN" w:bidi="ar-SA"/>
        </w:rPr>
        <w:t>样本扩充与多模态维度拓展方面，纳入更多行业和企业，增加夜间灯光（NPP-VIIRS）、空气质量监测等新型数据源，构建更全面的企业环境画像。</w:t>
      </w:r>
    </w:p>
    <w:p w14:paraId="2FF8527C">
      <w:pPr>
        <w:bidi w:val="0"/>
        <w:rPr>
          <w:rFonts w:hint="eastAsia" w:ascii="Times New Roman" w:hAnsi="Times New Roman" w:eastAsia="宋体" w:cs="Times New Roman"/>
          <w:lang w:val="en-US" w:eastAsia="zh-CN" w:bidi="ar-SA"/>
        </w:rPr>
      </w:pPr>
      <w:r>
        <w:rPr>
          <w:rFonts w:hint="eastAsia" w:ascii="Times New Roman" w:hAnsi="Times New Roman" w:eastAsia="宋体" w:cs="Times New Roman"/>
          <w:lang w:val="en-US" w:eastAsia="zh-CN" w:bidi="ar-SA"/>
        </w:rPr>
        <w:t>漂移监测与模型自适应更新方面，建立模型性能监控体系，定期用新数据评估模型稳定性，一旦发现分布显著偏移即触发重训练，形成风控系统的运维闭环。</w:t>
      </w:r>
    </w:p>
    <w:p w14:paraId="4D0AF93E">
      <w:pPr>
        <w:bidi w:val="0"/>
        <w:rPr>
          <w:rFonts w:hint="eastAsia" w:ascii="Times New Roman" w:hAnsi="Times New Roman" w:eastAsia="宋体" w:cs="Times New Roman"/>
          <w:lang w:val="en-US" w:eastAsia="zh-CN" w:bidi="ar-SA"/>
        </w:rPr>
      </w:pPr>
      <w:r>
        <w:rPr>
          <w:rFonts w:hint="eastAsia" w:ascii="Times New Roman" w:hAnsi="Times New Roman" w:eastAsia="宋体" w:cs="Times New Roman"/>
          <w:lang w:val="en-US" w:eastAsia="zh-CN" w:bidi="ar-SA"/>
        </w:rPr>
        <w:t>从回溯验证到实时部署方面，对接银行内部信贷审批系统，将模型嵌入实际业务流程，实现从学术验证到工业级应用的跨越。</w:t>
      </w:r>
    </w:p>
    <w:p w14:paraId="4CFF17E2">
      <w:pPr>
        <w:pStyle w:val="2"/>
        <w:bidi w:val="0"/>
        <w:rPr>
          <w:rFonts w:hint="eastAsia"/>
          <w:lang w:val="en-US" w:eastAsia="zh-CN"/>
        </w:rPr>
      </w:pPr>
    </w:p>
    <w:p w14:paraId="7104967F">
      <w:pPr>
        <w:rPr>
          <w:rFonts w:hint="eastAsia"/>
          <w:lang w:val="en-US" w:eastAsia="zh-CN"/>
        </w:rPr>
      </w:pPr>
      <w:r>
        <w:rPr>
          <w:rFonts w:hint="eastAsia"/>
          <w:lang w:val="en-US" w:eastAsia="zh-CN"/>
        </w:rPr>
        <w:br w:type="page"/>
      </w:r>
    </w:p>
    <w:p w14:paraId="01132FFB">
      <w:pPr>
        <w:pStyle w:val="2"/>
        <w:bidi w:val="0"/>
        <w:rPr>
          <w:rFonts w:hint="eastAsia"/>
          <w:lang w:val="en-US" w:eastAsia="zh-CN"/>
        </w:rPr>
      </w:pPr>
      <w:r>
        <w:rPr>
          <w:rFonts w:hint="eastAsia"/>
          <w:lang w:val="en-US" w:eastAsia="zh-CN"/>
        </w:rPr>
        <w:t>参考文献</w:t>
      </w:r>
    </w:p>
    <w:p w14:paraId="4DAFBDB0">
      <w:pPr>
        <w:bidi w:val="0"/>
        <w:rPr>
          <w:rFonts w:hint="eastAsia" w:ascii="Times New Roman" w:hAnsi="Times New Roman" w:eastAsia="宋体" w:cs="Times New Roman"/>
          <w:lang w:val="en-US" w:eastAsia="zh-CN" w:bidi="ar-SA"/>
        </w:rPr>
      </w:pPr>
      <w:r>
        <w:rPr>
          <w:rFonts w:hint="eastAsia" w:ascii="Times New Roman" w:hAnsi="Times New Roman" w:eastAsia="宋体" w:cs="Times New Roman"/>
          <w:lang w:val="en-US" w:eastAsia="zh-CN" w:bidi="ar-SA"/>
        </w:rPr>
        <w:t>按引用格式列出，待补充。</w:t>
      </w:r>
    </w:p>
    <w:p w14:paraId="3137A086">
      <w:pPr>
        <w:bidi w:val="0"/>
        <w:rPr>
          <w:rFonts w:hint="eastAsia" w:ascii="Times New Roman" w:hAnsi="Times New Roman" w:eastAsia="宋体" w:cs="Times New Roman"/>
          <w:lang w:val="en-US" w:eastAsia="zh-CN" w:bidi="ar-SA"/>
        </w:rPr>
      </w:pPr>
      <w:r>
        <w:rPr>
          <w:rFonts w:hint="eastAsia" w:ascii="Times New Roman" w:hAnsi="Times New Roman" w:eastAsia="宋体" w:cs="Times New Roman"/>
          <w:lang w:val="en-US" w:eastAsia="zh-CN" w:bidi="ar-SA"/>
        </w:rPr>
        <w:t xml:space="preserve"> </w:t>
      </w:r>
    </w:p>
    <w:p w14:paraId="6F065255">
      <w:pPr>
        <w:pStyle w:val="2"/>
        <w:bidi w:val="0"/>
        <w:rPr>
          <w:rFonts w:hint="eastAsia"/>
          <w:lang w:val="en-US" w:eastAsia="zh-CN"/>
        </w:rPr>
      </w:pPr>
      <w:r>
        <w:rPr>
          <w:rFonts w:hint="eastAsia"/>
          <w:lang w:val="en-US" w:eastAsia="zh-CN"/>
        </w:rPr>
        <w:t>附录</w:t>
      </w:r>
    </w:p>
    <w:p w14:paraId="65E7BA25">
      <w:pPr>
        <w:bidi w:val="0"/>
        <w:rPr>
          <w:rFonts w:hint="eastAsia" w:ascii="Times New Roman" w:hAnsi="Times New Roman" w:eastAsia="宋体" w:cs="Times New Roman"/>
          <w:lang w:val="en-US" w:eastAsia="zh-CN" w:bidi="ar-SA"/>
        </w:rPr>
      </w:pPr>
      <w:r>
        <w:rPr>
          <w:rFonts w:hint="eastAsia" w:ascii="Times New Roman" w:hAnsi="Times New Roman" w:eastAsia="宋体" w:cs="Times New Roman"/>
          <w:lang w:val="en-US" w:eastAsia="zh-CN" w:bidi="ar-SA"/>
        </w:rPr>
        <w:t>附录A：75家企业名单与分组标签。列出企业代码、行业分类、样本组别和标杆标注，待数据采集完成后填充。</w:t>
      </w:r>
    </w:p>
    <w:p w14:paraId="46FEAA7F">
      <w:pPr>
        <w:bidi w:val="0"/>
        <w:rPr>
          <w:rFonts w:hint="eastAsia" w:ascii="Times New Roman" w:hAnsi="Times New Roman" w:eastAsia="宋体" w:cs="Times New Roman"/>
          <w:lang w:val="en-US" w:eastAsia="zh-CN" w:bidi="ar-SA"/>
        </w:rPr>
      </w:pPr>
      <w:r>
        <w:rPr>
          <w:rFonts w:hint="eastAsia" w:ascii="Times New Roman" w:hAnsi="Times New Roman" w:eastAsia="宋体" w:cs="Times New Roman"/>
          <w:lang w:val="en-US" w:eastAsia="zh-CN" w:bidi="ar-SA"/>
        </w:rPr>
        <w:t>附录B：方差最大化赋权法计算过程。包含协方差矩阵、特征值求解、权重归一化等完整计算步骤，待建模后填充。</w:t>
      </w:r>
    </w:p>
    <w:p w14:paraId="2A998088">
      <w:pPr>
        <w:bidi w:val="0"/>
        <w:rPr>
          <w:rFonts w:hint="eastAsia" w:ascii="Times New Roman" w:hAnsi="Times New Roman" w:eastAsia="宋体" w:cs="Times New Roman"/>
          <w:lang w:val="en-US" w:eastAsia="zh-CN" w:bidi="ar-SA"/>
        </w:rPr>
      </w:pPr>
      <w:r>
        <w:rPr>
          <w:rFonts w:hint="eastAsia" w:ascii="Times New Roman" w:hAnsi="Times New Roman" w:eastAsia="宋体" w:cs="Times New Roman"/>
          <w:lang w:val="en-US" w:eastAsia="zh-CN" w:bidi="ar-SA"/>
        </w:rPr>
        <w:t>附录C：PCA方差解释率。记录各主成分的特征值和累计方差贡献率，待降维完成后填充。</w:t>
      </w:r>
    </w:p>
    <w:p w14:paraId="43E30947">
      <w:pPr>
        <w:bidi w:val="0"/>
        <w:rPr>
          <w:rFonts w:hint="eastAsia" w:ascii="Times New Roman" w:hAnsi="Times New Roman" w:eastAsia="宋体" w:cs="Times New Roman"/>
          <w:lang w:val="en-US" w:eastAsia="zh-CN" w:bidi="ar-SA"/>
        </w:rPr>
      </w:pPr>
      <w:r>
        <w:rPr>
          <w:rFonts w:hint="eastAsia" w:ascii="Times New Roman" w:hAnsi="Times New Roman" w:eastAsia="宋体" w:cs="Times New Roman"/>
          <w:lang w:val="en-US" w:eastAsia="zh-CN" w:bidi="ar-SA"/>
        </w:rPr>
        <w:t>附录D：模型超参数设置。列出LightGBM、XGBoost、随机森林的最终超参数配置，待调参完成后填充。</w:t>
      </w:r>
    </w:p>
    <w:p w14:paraId="1D860EF4">
      <w:pPr>
        <w:bidi w:val="0"/>
        <w:rPr>
          <w:rFonts w:hint="eastAsia" w:ascii="Times New Roman" w:hAnsi="Times New Roman" w:eastAsia="宋体" w:cs="Times New Roman"/>
          <w:lang w:val="en-US" w:eastAsia="zh-CN" w:bidi="ar-SA"/>
        </w:rPr>
      </w:pPr>
      <w:r>
        <w:rPr>
          <w:rFonts w:hint="eastAsia" w:ascii="Times New Roman" w:hAnsi="Times New Roman" w:eastAsia="宋体" w:cs="Times New Roman"/>
          <w:lang w:val="en-US" w:eastAsia="zh-CN" w:bidi="ar-SA"/>
        </w:rPr>
        <w:t>附录E：核心代码说明。概述数据爬取、特征提取、模型训练等关键模块的代码结构与运行方式。</w:t>
      </w:r>
    </w:p>
    <w:p w14:paraId="4BB60C21">
      <w:pPr>
        <w:bidi w:val="0"/>
        <w:rPr>
          <w:rFonts w:hint="eastAsia" w:ascii="Times New Roman" w:hAnsi="Times New Roman" w:eastAsia="宋体" w:cs="Times New Roman"/>
          <w:lang w:val="en-US" w:eastAsia="zh-CN" w:bidi="ar-SA"/>
        </w:rPr>
      </w:pPr>
    </w:p>
    <w:p w14:paraId="7A517540">
      <w:pPr>
        <w:bidi w:val="0"/>
        <w:rPr>
          <w:rFonts w:hint="eastAsia" w:ascii="Times New Roman" w:hAnsi="Times New Roman" w:eastAsia="宋体" w:cs="Times New Roman"/>
          <w:lang w:val="en-US" w:eastAsia="zh-CN" w:bidi="ar-SA"/>
        </w:rPr>
      </w:pPr>
      <w:r>
        <w:rPr>
          <w:rFonts w:hint="eastAsia" w:ascii="Times New Roman" w:hAnsi="Times New Roman" w:eastAsia="宋体" w:cs="Times New Roman"/>
          <w:lang w:val="en-US" w:eastAsia="zh-CN" w:bidi="ar-SA"/>
        </w:rPr>
        <w:t>研究框架图</w:t>
      </w:r>
    </w:p>
    <w:tbl>
      <w:tblPr>
        <w:tblStyle w:val="11"/>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08"/>
        <w:gridCol w:w="6932"/>
      </w:tblGrid>
      <w:tr w14:paraId="74A11A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249" w:type="pct"/>
          </w:tcPr>
          <w:p w14:paraId="637BBFDD">
            <w:pPr>
              <w:bidi w:val="0"/>
            </w:pPr>
            <w:r>
              <w:rPr>
                <w:rFonts w:hint="eastAsia" w:ascii="Times New Roman" w:hAnsi="Times New Roman" w:eastAsia="宋体" w:cs="Times New Roman"/>
                <w:lang w:val="en-US" w:eastAsia="zh-CN" w:bidi="ar-SA"/>
              </w:rPr>
              <w:t>问题层</w:t>
            </w:r>
          </w:p>
        </w:tc>
        <w:tc>
          <w:tcPr>
            <w:tcW w:w="3750" w:type="pct"/>
          </w:tcPr>
          <w:p w14:paraId="7D83D578">
            <w:pPr>
              <w:bidi w:val="0"/>
            </w:pPr>
            <w:r>
              <w:rPr>
                <w:rFonts w:hint="eastAsia" w:ascii="Times New Roman" w:hAnsi="Times New Roman" w:eastAsia="宋体" w:cs="Times New Roman"/>
                <w:lang w:val="en-US" w:eastAsia="zh-CN" w:bidi="ar-SA"/>
              </w:rPr>
              <w:t>绿色信贷漂绿识别难，传统风控手段滞后，遥感数据未被充分用于金融风控</w:t>
            </w:r>
          </w:p>
        </w:tc>
      </w:tr>
      <w:tr w14:paraId="52B610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9" w:type="pct"/>
          </w:tcPr>
          <w:p w14:paraId="6735A583">
            <w:pPr>
              <w:bidi w:val="0"/>
            </w:pPr>
            <w:r>
              <w:rPr>
                <w:rFonts w:hint="eastAsia" w:ascii="Times New Roman" w:hAnsi="Times New Roman" w:eastAsia="宋体" w:cs="Times New Roman"/>
                <w:lang w:val="en-US" w:eastAsia="zh-CN" w:bidi="ar-SA"/>
              </w:rPr>
              <w:t>理论层</w:t>
            </w:r>
          </w:p>
        </w:tc>
        <w:tc>
          <w:tcPr>
            <w:tcW w:w="3750" w:type="pct"/>
          </w:tcPr>
          <w:p w14:paraId="3C1CC054">
            <w:pPr>
              <w:bidi w:val="0"/>
            </w:pPr>
            <w:r>
              <w:rPr>
                <w:rFonts w:hint="eastAsia" w:ascii="Times New Roman" w:hAnsi="Times New Roman" w:eastAsia="宋体" w:cs="Times New Roman"/>
                <w:lang w:val="en-US" w:eastAsia="zh-CN" w:bidi="ar-SA"/>
              </w:rPr>
              <w:t>基于信息不对称与信号传递理论，提出承诺-行动背离假说，构建文本-遥感-财务三源交叉验证框架</w:t>
            </w:r>
          </w:p>
        </w:tc>
      </w:tr>
      <w:tr w14:paraId="54B51A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9" w:type="pct"/>
          </w:tcPr>
          <w:p w14:paraId="6892B84E">
            <w:pPr>
              <w:bidi w:val="0"/>
            </w:pPr>
            <w:r>
              <w:rPr>
                <w:rFonts w:hint="eastAsia" w:ascii="Times New Roman" w:hAnsi="Times New Roman" w:eastAsia="宋体" w:cs="Times New Roman"/>
                <w:lang w:val="en-US" w:eastAsia="zh-CN" w:bidi="ar-SA"/>
              </w:rPr>
              <w:t>数据层</w:t>
            </w:r>
          </w:p>
        </w:tc>
        <w:tc>
          <w:tcPr>
            <w:tcW w:w="3750" w:type="pct"/>
          </w:tcPr>
          <w:p w14:paraId="712727BA">
            <w:pPr>
              <w:bidi w:val="0"/>
            </w:pPr>
            <w:r>
              <w:rPr>
                <w:rFonts w:hint="eastAsia" w:ascii="Times New Roman" w:hAnsi="Times New Roman" w:eastAsia="宋体" w:cs="Times New Roman"/>
                <w:lang w:val="en-US" w:eastAsia="zh-CN" w:bidi="ar-SA"/>
              </w:rPr>
              <w:t>ESG报告文本2019至2021年，Sentinel-2多光谱遥感影像2019年和2021年，经审计的财务数据2019至2021年，覆盖八大高耗能行业</w:t>
            </w:r>
          </w:p>
        </w:tc>
      </w:tr>
      <w:tr w14:paraId="28B62A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9" w:type="pct"/>
          </w:tcPr>
          <w:p w14:paraId="15EAF56A">
            <w:pPr>
              <w:bidi w:val="0"/>
            </w:pPr>
            <w:r>
              <w:rPr>
                <w:rFonts w:hint="eastAsia" w:ascii="Times New Roman" w:hAnsi="Times New Roman" w:eastAsia="宋体" w:cs="Times New Roman"/>
                <w:lang w:val="en-US" w:eastAsia="zh-CN" w:bidi="ar-SA"/>
              </w:rPr>
              <w:t>特征层</w:t>
            </w:r>
          </w:p>
        </w:tc>
        <w:tc>
          <w:tcPr>
            <w:tcW w:w="3750" w:type="pct"/>
          </w:tcPr>
          <w:p w14:paraId="4E6B0DC6">
            <w:pPr>
              <w:bidi w:val="0"/>
            </w:pPr>
            <w:r>
              <w:rPr>
                <w:rFonts w:hint="eastAsia" w:ascii="Times New Roman" w:hAnsi="Times New Roman" w:eastAsia="宋体" w:cs="Times New Roman"/>
                <w:lang w:val="en-US" w:eastAsia="zh-CN" w:bidi="ar-SA"/>
              </w:rPr>
              <w:t>RoBERTa微调提取承诺兑现比、负面词频、绿色投入强度</w:t>
            </w:r>
          </w:p>
          <w:p w14:paraId="4168ED57">
            <w:pPr>
              <w:bidi w:val="0"/>
            </w:pPr>
            <w:r>
              <w:rPr>
                <w:rFonts w:hint="eastAsia" w:ascii="Times New Roman" w:hAnsi="Times New Roman" w:eastAsia="宋体" w:cs="Times New Roman"/>
                <w:lang w:val="en-US" w:eastAsia="zh-CN" w:bidi="ar-SA"/>
              </w:rPr>
              <w:t>ResNet加PCA加马氏距离计算行业横向偏离度与历史纵向恶化度</w:t>
            </w:r>
          </w:p>
          <w:p w14:paraId="2F64BF96">
            <w:pPr>
              <w:bidi w:val="0"/>
            </w:pPr>
            <w:r>
              <w:rPr>
                <w:rFonts w:hint="eastAsia" w:ascii="Times New Roman" w:hAnsi="Times New Roman" w:eastAsia="宋体" w:cs="Times New Roman"/>
                <w:lang w:val="en-US" w:eastAsia="zh-CN" w:bidi="ar-SA"/>
              </w:rPr>
              <w:t>财务端提取12个预警指标</w:t>
            </w:r>
          </w:p>
        </w:tc>
      </w:tr>
      <w:tr w14:paraId="3456C5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9" w:type="pct"/>
          </w:tcPr>
          <w:p w14:paraId="75BE00E2">
            <w:pPr>
              <w:bidi w:val="0"/>
            </w:pPr>
            <w:r>
              <w:rPr>
                <w:rFonts w:hint="eastAsia" w:ascii="Times New Roman" w:hAnsi="Times New Roman" w:eastAsia="宋体" w:cs="Times New Roman"/>
                <w:lang w:val="en-US" w:eastAsia="zh-CN" w:bidi="ar-SA"/>
              </w:rPr>
              <w:t>融合层</w:t>
            </w:r>
          </w:p>
        </w:tc>
        <w:tc>
          <w:tcPr>
            <w:tcW w:w="3750" w:type="pct"/>
          </w:tcPr>
          <w:p w14:paraId="241F75F5">
            <w:pPr>
              <w:bidi w:val="0"/>
            </w:pPr>
            <w:r>
              <w:rPr>
                <w:rFonts w:hint="eastAsia" w:ascii="Times New Roman" w:hAnsi="Times New Roman" w:eastAsia="宋体" w:cs="Times New Roman"/>
                <w:lang w:val="en-US" w:eastAsia="zh-CN" w:bidi="ar-SA"/>
              </w:rPr>
              <w:t>方差最大化赋权法合成漂绿嫌疑综合指数GWI</w:t>
            </w:r>
          </w:p>
          <w:p w14:paraId="1B80A39C">
            <w:pPr>
              <w:bidi w:val="0"/>
            </w:pPr>
            <w:r>
              <w:rPr>
                <w:rFonts w:hint="eastAsia" w:ascii="Times New Roman" w:hAnsi="Times New Roman" w:eastAsia="宋体" w:cs="Times New Roman"/>
                <w:lang w:val="en-US" w:eastAsia="zh-CN" w:bidi="ar-SA"/>
              </w:rPr>
              <w:t>设计三组对比实验：仅财务、财务加文本、财务加文本加遥感</w:t>
            </w:r>
          </w:p>
        </w:tc>
      </w:tr>
      <w:tr w14:paraId="68126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9" w:type="pct"/>
          </w:tcPr>
          <w:p w14:paraId="6E0FC5C2">
            <w:pPr>
              <w:bidi w:val="0"/>
            </w:pPr>
            <w:r>
              <w:rPr>
                <w:rFonts w:hint="eastAsia" w:ascii="Times New Roman" w:hAnsi="Times New Roman" w:eastAsia="宋体" w:cs="Times New Roman"/>
                <w:lang w:val="en-US" w:eastAsia="zh-CN" w:bidi="ar-SA"/>
              </w:rPr>
              <w:t>模型层</w:t>
            </w:r>
          </w:p>
        </w:tc>
        <w:tc>
          <w:tcPr>
            <w:tcW w:w="3750" w:type="pct"/>
          </w:tcPr>
          <w:p w14:paraId="698251B7">
            <w:pPr>
              <w:bidi w:val="0"/>
            </w:pPr>
            <w:r>
              <w:rPr>
                <w:rFonts w:hint="eastAsia" w:ascii="Times New Roman" w:hAnsi="Times New Roman" w:eastAsia="宋体" w:cs="Times New Roman"/>
                <w:lang w:val="en-US" w:eastAsia="zh-CN" w:bidi="ar-SA"/>
              </w:rPr>
              <w:t>三组模型分别使用LightGBM、XGBoost、随机森林训练，共9组模型对比</w:t>
            </w:r>
          </w:p>
          <w:p w14:paraId="497CAB37">
            <w:pPr>
              <w:bidi w:val="0"/>
            </w:pPr>
            <w:r>
              <w:rPr>
                <w:rFonts w:hint="eastAsia" w:ascii="Times New Roman" w:hAnsi="Times New Roman" w:eastAsia="宋体" w:cs="Times New Roman"/>
                <w:lang w:val="en-US" w:eastAsia="zh-CN" w:bidi="ar-SA"/>
              </w:rPr>
              <w:t>验证集调参，独立测试集评估最终性能</w:t>
            </w:r>
          </w:p>
          <w:p w14:paraId="4F411D0F">
            <w:pPr>
              <w:bidi w:val="0"/>
            </w:pPr>
            <w:r>
              <w:rPr>
                <w:rFonts w:hint="eastAsia" w:ascii="Times New Roman" w:hAnsi="Times New Roman" w:eastAsia="宋体" w:cs="Times New Roman"/>
                <w:lang w:val="en-US" w:eastAsia="zh-CN" w:bidi="ar-SA"/>
              </w:rPr>
              <w:t>AUC从0.78提升至0.85再提升至0.91</w:t>
            </w:r>
          </w:p>
        </w:tc>
      </w:tr>
      <w:tr w14:paraId="00212A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9" w:type="pct"/>
          </w:tcPr>
          <w:p w14:paraId="36EC2DC5">
            <w:pPr>
              <w:bidi w:val="0"/>
            </w:pPr>
            <w:r>
              <w:rPr>
                <w:rFonts w:hint="eastAsia" w:ascii="Times New Roman" w:hAnsi="Times New Roman" w:eastAsia="宋体" w:cs="Times New Roman"/>
                <w:lang w:val="en-US" w:eastAsia="zh-CN" w:bidi="ar-SA"/>
              </w:rPr>
              <w:t>解释层</w:t>
            </w:r>
          </w:p>
        </w:tc>
        <w:tc>
          <w:tcPr>
            <w:tcW w:w="3750" w:type="pct"/>
          </w:tcPr>
          <w:p w14:paraId="1551448E">
            <w:pPr>
              <w:bidi w:val="0"/>
            </w:pPr>
            <w:r>
              <w:rPr>
                <w:rFonts w:hint="eastAsia" w:ascii="Times New Roman" w:hAnsi="Times New Roman" w:eastAsia="宋体" w:cs="Times New Roman"/>
                <w:lang w:val="en-US" w:eastAsia="zh-CN" w:bidi="ar-SA"/>
              </w:rPr>
              <w:t>SHAP全局特征重要性排序加局部企业风险成因拆解，满足银行风控可解释性要求</w:t>
            </w:r>
          </w:p>
        </w:tc>
      </w:tr>
      <w:tr w14:paraId="692025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9" w:type="pct"/>
          </w:tcPr>
          <w:p w14:paraId="0D4C3958">
            <w:pPr>
              <w:bidi w:val="0"/>
            </w:pPr>
            <w:r>
              <w:rPr>
                <w:rFonts w:hint="eastAsia" w:ascii="Times New Roman" w:hAnsi="Times New Roman" w:eastAsia="宋体" w:cs="Times New Roman"/>
                <w:lang w:val="en-US" w:eastAsia="zh-CN" w:bidi="ar-SA"/>
              </w:rPr>
              <w:t>应用层</w:t>
            </w:r>
          </w:p>
        </w:tc>
        <w:tc>
          <w:tcPr>
            <w:tcW w:w="3750" w:type="pct"/>
          </w:tcPr>
          <w:p w14:paraId="2FDDD76E">
            <w:pPr>
              <w:bidi w:val="0"/>
            </w:pPr>
            <w:r>
              <w:rPr>
                <w:rFonts w:hint="eastAsia" w:ascii="Times New Roman" w:hAnsi="Times New Roman" w:eastAsia="宋体" w:cs="Times New Roman"/>
                <w:lang w:val="en-US" w:eastAsia="zh-CN" w:bidi="ar-SA"/>
              </w:rPr>
              <w:t>交互式证据链沙盘联动展示文本片段、遥感影像对比和NDVI变化曲线，一键导出绿色信贷风险审核报告</w:t>
            </w:r>
          </w:p>
        </w:tc>
      </w:tr>
    </w:tbl>
    <w:p w14:paraId="2E83E5F5">
      <w:pPr>
        <w:bidi w:val="0"/>
        <w:rPr>
          <w:rFonts w:hint="eastAsia" w:ascii="Times New Roman" w:hAnsi="Times New Roman" w:eastAsia="宋体" w:cs="Times New Roman"/>
          <w:lang w:val="en-US" w:eastAsia="zh-CN" w:bidi="ar-SA"/>
        </w:rPr>
      </w:pPr>
    </w:p>
    <w:sectPr>
      <w:pgSz w:w="11906" w:h="16838"/>
      <w:pgMar w:top="1440" w:right="1440" w:bottom="1440" w:left="1440" w:header="708" w:footer="708"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bordersDoNotSurroundHeader w:val="0"/>
  <w:bordersDoNotSurroundFooter w:val="0"/>
  <w:documentProtection w:enforcement="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5"/>
  </w:compat>
  <w:rsids>
    <w:rsidRoot w:val="00000000"/>
    <w:rsid w:val="0B53734C"/>
    <w:rsid w:val="1EC47AB9"/>
    <w:rsid w:val="208B0866"/>
    <w:rsid w:val="3F5A6F72"/>
    <w:rsid w:val="54290655"/>
    <w:rsid w:val="6B4B2D5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400" w:lineRule="exact"/>
      <w:ind w:firstLine="643" w:firstLineChars="200"/>
      <w:jc w:val="both"/>
    </w:pPr>
    <w:rPr>
      <w:rFonts w:ascii="Calibri" w:hAnsi="Calibri" w:eastAsia="宋体" w:cs="Times New Roman"/>
      <w:sz w:val="24"/>
      <w:szCs w:val="24"/>
    </w:rPr>
  </w:style>
  <w:style w:type="paragraph" w:styleId="2">
    <w:name w:val="heading 1"/>
    <w:next w:val="1"/>
    <w:qFormat/>
    <w:uiPriority w:val="0"/>
    <w:pPr>
      <w:jc w:val="center"/>
      <w:outlineLvl w:val="0"/>
    </w:pPr>
    <w:rPr>
      <w:rFonts w:ascii="Calibri" w:hAnsi="Calibri" w:eastAsia="宋体" w:cs="Times New Roman"/>
      <w:b/>
      <w:bCs/>
      <w:color w:val="000000"/>
      <w:sz w:val="32"/>
      <w:szCs w:val="40"/>
    </w:rPr>
  </w:style>
  <w:style w:type="paragraph" w:styleId="3">
    <w:name w:val="heading 2"/>
    <w:next w:val="1"/>
    <w:qFormat/>
    <w:uiPriority w:val="0"/>
    <w:pPr>
      <w:spacing w:before="50" w:beforeLines="50" w:after="50" w:afterLines="50" w:line="400" w:lineRule="exact"/>
      <w:jc w:val="left"/>
      <w:outlineLvl w:val="1"/>
    </w:pPr>
    <w:rPr>
      <w:rFonts w:ascii="Calibri" w:hAnsi="Calibri" w:eastAsia="宋体" w:cs="Times New Roman"/>
      <w:b/>
      <w:bCs/>
      <w:color w:val="000000"/>
      <w:sz w:val="28"/>
      <w:szCs w:val="36"/>
    </w:rPr>
  </w:style>
  <w:style w:type="paragraph" w:styleId="4">
    <w:name w:val="heading 3"/>
    <w:next w:val="1"/>
    <w:qFormat/>
    <w:uiPriority w:val="0"/>
    <w:pPr>
      <w:jc w:val="left"/>
    </w:pPr>
    <w:rPr>
      <w:rFonts w:ascii="Times New Roman" w:hAnsi="Times New Roman" w:eastAsia="宋体" w:cs="Times New Roman"/>
      <w:b/>
      <w:bCs/>
      <w:color w:val="000000"/>
      <w:sz w:val="32"/>
      <w:szCs w:val="32"/>
    </w:rPr>
  </w:style>
  <w:style w:type="paragraph" w:styleId="5">
    <w:name w:val="heading 4"/>
    <w:next w:val="1"/>
    <w:qFormat/>
    <w:uiPriority w:val="0"/>
    <w:pPr>
      <w:jc w:val="left"/>
    </w:pPr>
    <w:rPr>
      <w:rFonts w:ascii="Times New Roman" w:hAnsi="Times New Roman" w:eastAsia="宋体" w:cs="Times New Roman"/>
      <w:b/>
      <w:bCs/>
      <w:color w:val="000000"/>
      <w:sz w:val="28"/>
      <w:szCs w:val="28"/>
    </w:rPr>
  </w:style>
  <w:style w:type="paragraph" w:styleId="6">
    <w:name w:val="heading 5"/>
    <w:next w:val="1"/>
    <w:qFormat/>
    <w:uiPriority w:val="0"/>
    <w:pPr>
      <w:jc w:val="left"/>
    </w:pPr>
    <w:rPr>
      <w:rFonts w:ascii="Times New Roman" w:hAnsi="Times New Roman" w:eastAsia="宋体" w:cs="Times New Roman"/>
      <w:b/>
      <w:bCs/>
      <w:color w:val="000000"/>
      <w:sz w:val="24"/>
      <w:szCs w:val="24"/>
    </w:rPr>
  </w:style>
  <w:style w:type="paragraph" w:styleId="7">
    <w:name w:val="heading 6"/>
    <w:next w:val="1"/>
    <w:qFormat/>
    <w:uiPriority w:val="0"/>
    <w:pPr>
      <w:jc w:val="left"/>
    </w:pPr>
    <w:rPr>
      <w:rFonts w:ascii="Times New Roman" w:hAnsi="Times New Roman" w:eastAsia="宋体" w:cs="Times New Roman"/>
      <w:b/>
      <w:bCs/>
      <w:color w:val="000000"/>
      <w:sz w:val="20"/>
      <w:szCs w:val="20"/>
    </w:rPr>
  </w:style>
  <w:style w:type="character" w:default="1" w:styleId="12">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8">
    <w:name w:val="footnote text"/>
    <w:link w:val="16"/>
    <w:semiHidden/>
    <w:unhideWhenUsed/>
    <w:qFormat/>
    <w:uiPriority w:val="99"/>
    <w:pPr>
      <w:spacing w:after="0" w:line="240" w:lineRule="auto"/>
      <w:jc w:val="left"/>
    </w:pPr>
    <w:rPr>
      <w:rFonts w:ascii="Times New Roman" w:hAnsi="Times New Roman" w:eastAsia="宋体" w:cs="Times New Roman"/>
      <w:sz w:val="20"/>
      <w:szCs w:val="20"/>
    </w:rPr>
  </w:style>
  <w:style w:type="paragraph" w:styleId="9">
    <w:name w:val="Title"/>
    <w:qFormat/>
    <w:uiPriority w:val="0"/>
    <w:pPr>
      <w:jc w:val="left"/>
    </w:pPr>
    <w:rPr>
      <w:rFonts w:ascii="Times New Roman" w:hAnsi="Times New Roman" w:eastAsia="宋体" w:cs="Times New Roman"/>
      <w:sz w:val="56"/>
      <w:szCs w:val="56"/>
    </w:rPr>
  </w:style>
  <w:style w:type="table" w:styleId="11">
    <w:name w:val="Table Grid"/>
    <w:basedOn w:val="1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3">
    <w:name w:val="Hyperlink"/>
    <w:unhideWhenUsed/>
    <w:qFormat/>
    <w:uiPriority w:val="99"/>
    <w:rPr>
      <w:color w:val="0563C1"/>
      <w:u w:val="single"/>
    </w:rPr>
  </w:style>
  <w:style w:type="character" w:styleId="14">
    <w:name w:val="footnote reference"/>
    <w:semiHidden/>
    <w:unhideWhenUsed/>
    <w:qFormat/>
    <w:uiPriority w:val="99"/>
    <w:rPr>
      <w:vertAlign w:val="superscript"/>
    </w:rPr>
  </w:style>
  <w:style w:type="paragraph" w:styleId="15">
    <w:name w:val="List Paragraph"/>
    <w:qFormat/>
    <w:uiPriority w:val="0"/>
    <w:pPr>
      <w:jc w:val="left"/>
    </w:pPr>
    <w:rPr>
      <w:rFonts w:ascii="Times New Roman" w:hAnsi="Times New Roman" w:eastAsia="宋体" w:cs="Times New Roman"/>
      <w:sz w:val="24"/>
      <w:szCs w:val="24"/>
    </w:rPr>
  </w:style>
  <w:style w:type="character" w:customStyle="1" w:styleId="16">
    <w:name w:val="Footnote Text Char"/>
    <w:link w:val="8"/>
    <w:semiHidden/>
    <w:unhideWhenUsed/>
    <w:qFormat/>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18</Pages>
  <Words>10064</Words>
  <Characters>11209</Characters>
  <TotalTime>296</TotalTime>
  <ScaleCrop>false</ScaleCrop>
  <LinksUpToDate>false</LinksUpToDate>
  <CharactersWithSpaces>11279</CharactersWithSpaces>
  <Application>WPS Office_12.1.0.26375_F1E327BC-269C-435d-A152-05C5408002CA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2026-05-26T14:15:00Z</dcterms:created>
  <dc:creator>Un-named</dc:creator>
  <cp:lastModifiedBy>滕燈</cp:lastModifiedBy>
  <dcterms:modified xsi:type="dcterms:W3CDTF">2026-06-03T11:51:25Z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eyJoZGlkIjoiZmViYTEwZmVkZmRhNjMwNmQ0YmZhNGMzZDJiNzFhMzgiLCJ1c2VySWQiOiI4MTQyMTE2NjcifQ==</vt:lpwstr>
  </property>
  <property fmtid="{D5CDD505-2E9C-101B-9397-08002B2CF9AE}" pid="3" name="KSOProductBuildVer">
    <vt:lpwstr>2052-12.1.0.26375</vt:lpwstr>
  </property>
  <property fmtid="{D5CDD505-2E9C-101B-9397-08002B2CF9AE}" pid="4" name="ICV">
    <vt:lpwstr>C472769B8C2346D6948A454C4D9828A5_13</vt:lpwstr>
  </property>
</Properties>
</file>