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2E84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jc w:val="center"/>
        <w:textAlignment w:val="auto"/>
        <w:rPr>
          <w:rFonts w:hint="default" w:ascii="宋体" w:hAnsi="宋体" w:cs="宋体"/>
          <w:b/>
          <w:color w:val="000000"/>
          <w:sz w:val="28"/>
          <w:szCs w:val="28"/>
          <w:lang w:val="en-US" w:eastAsia="zh-CN"/>
        </w:rPr>
      </w:pPr>
      <w:r>
        <w:rPr>
          <w:rFonts w:hint="eastAsia" w:ascii="宋体" w:hAnsi="宋体" w:cs="宋体"/>
          <w:b/>
          <w:color w:val="000000"/>
          <w:sz w:val="28"/>
          <w:szCs w:val="28"/>
          <w:lang w:val="en-US" w:eastAsia="zh-CN"/>
        </w:rPr>
        <w:t>上市公司绿色企业识别数据（2016-2023）</w:t>
      </w:r>
    </w:p>
    <w:p w14:paraId="097DBF10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jc w:val="left"/>
        <w:textAlignment w:val="auto"/>
        <w:rPr>
          <w:rFonts w:hint="eastAsia" w:ascii="Times New Roman" w:hAnsi="Times New Roman"/>
          <w:b/>
          <w:bCs/>
          <w:sz w:val="24"/>
          <w:szCs w:val="21"/>
        </w:rPr>
      </w:pPr>
      <w:r>
        <w:rPr>
          <w:rFonts w:hint="eastAsia" w:ascii="Times New Roman" w:hAnsi="Times New Roman"/>
          <w:b/>
          <w:bCs/>
          <w:sz w:val="24"/>
          <w:szCs w:val="21"/>
        </w:rPr>
        <w:t>“</w:t>
      </w:r>
      <w:r>
        <w:rPr>
          <w:rFonts w:hint="eastAsia" w:ascii="Times New Roman" w:hAnsi="Times New Roman"/>
          <w:b/>
          <w:bCs/>
          <w:sz w:val="24"/>
          <w:szCs w:val="21"/>
          <w:lang w:val="en-US" w:eastAsia="zh-CN"/>
        </w:rPr>
        <w:t>绿色企业</w:t>
      </w:r>
      <w:r>
        <w:rPr>
          <w:rFonts w:hint="eastAsia" w:ascii="Times New Roman" w:hAnsi="Times New Roman"/>
          <w:b/>
          <w:bCs/>
          <w:sz w:val="24"/>
          <w:szCs w:val="21"/>
        </w:rPr>
        <w:t>”</w:t>
      </w:r>
      <w:r>
        <w:rPr>
          <w:rFonts w:hint="eastAsia" w:ascii="Times New Roman" w:hAnsi="Times New Roman"/>
          <w:b/>
          <w:bCs/>
          <w:sz w:val="24"/>
          <w:szCs w:val="21"/>
          <w:lang w:val="en-US" w:eastAsia="zh-CN"/>
        </w:rPr>
        <w:t>年度</w:t>
      </w:r>
      <w:r>
        <w:rPr>
          <w:rFonts w:hint="eastAsia" w:ascii="Times New Roman" w:hAnsi="Times New Roman"/>
          <w:b/>
          <w:bCs/>
          <w:sz w:val="24"/>
          <w:szCs w:val="21"/>
        </w:rPr>
        <w:t>发文</w:t>
      </w:r>
      <w:r>
        <w:rPr>
          <w:rFonts w:hint="eastAsia" w:ascii="Times New Roman" w:hAnsi="Times New Roman"/>
          <w:b/>
          <w:bCs/>
          <w:sz w:val="24"/>
          <w:szCs w:val="21"/>
          <w:lang w:val="en-US" w:eastAsia="zh-CN"/>
        </w:rPr>
        <w:t>数及</w:t>
      </w:r>
      <w:r>
        <w:rPr>
          <w:rFonts w:hint="eastAsia" w:ascii="Times New Roman" w:hAnsi="Times New Roman"/>
          <w:b/>
          <w:bCs/>
          <w:sz w:val="24"/>
          <w:szCs w:val="21"/>
        </w:rPr>
        <w:t>主题分布</w:t>
      </w:r>
    </w:p>
    <w:p w14:paraId="381789A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jc w:val="left"/>
        <w:textAlignment w:val="auto"/>
      </w:pPr>
      <w:r>
        <w:drawing>
          <wp:inline distT="0" distB="0" distL="114300" distR="114300">
            <wp:extent cx="5270500" cy="2854325"/>
            <wp:effectExtent l="0" t="0" r="2540" b="1079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07D3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jc w:val="left"/>
        <w:textAlignment w:val="auto"/>
      </w:pPr>
      <w:r>
        <w:drawing>
          <wp:inline distT="0" distB="0" distL="114300" distR="114300">
            <wp:extent cx="5273675" cy="2913380"/>
            <wp:effectExtent l="0" t="0" r="14605" b="1270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1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B2CA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jc w:val="left"/>
        <w:textAlignment w:val="auto"/>
      </w:pPr>
      <w:r>
        <w:drawing>
          <wp:inline distT="0" distB="0" distL="114300" distR="114300">
            <wp:extent cx="5270500" cy="2884170"/>
            <wp:effectExtent l="0" t="0" r="2540" b="1143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8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D4CE7">
      <w:pPr>
        <w:widowControl/>
        <w:spacing w:after="167" w:line="259" w:lineRule="auto"/>
        <w:jc w:val="left"/>
        <w:rPr>
          <w:rFonts w:ascii="Times New Roman" w:hAnsi="Times New Roman"/>
          <w:b/>
          <w:bCs/>
          <w:sz w:val="24"/>
          <w:szCs w:val="21"/>
        </w:rPr>
      </w:pPr>
      <w:r>
        <w:rPr>
          <w:rFonts w:hint="eastAsia" w:ascii="Times New Roman" w:hAnsi="Times New Roman"/>
          <w:b/>
          <w:bCs/>
          <w:sz w:val="24"/>
          <w:szCs w:val="21"/>
          <w:lang w:val="en-US" w:eastAsia="zh-CN"/>
        </w:rPr>
        <w:t>二</w:t>
      </w:r>
      <w:r>
        <w:rPr>
          <w:rFonts w:hint="eastAsia" w:ascii="Times New Roman" w:hAnsi="Times New Roman"/>
          <w:b/>
          <w:bCs/>
          <w:sz w:val="24"/>
          <w:szCs w:val="21"/>
        </w:rPr>
        <w:t>、数据来源</w:t>
      </w:r>
    </w:p>
    <w:p w14:paraId="0A57531A">
      <w:pPr>
        <w:ind w:firstLine="420" w:firstLineChars="200"/>
        <w:rPr>
          <w:rFonts w:hint="eastAsia"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本数据</w:t>
      </w:r>
      <w:r>
        <w:rPr>
          <w:rFonts w:hint="eastAsia" w:ascii="Times New Roman" w:hAnsi="Times New Roman"/>
          <w:szCs w:val="21"/>
          <w:lang w:val="en-US" w:eastAsia="zh-CN"/>
        </w:rPr>
        <w:t>来源于中国债券信息网和企业年报，参考张小可老师等（2024）做法，根据上市公司是否发行过绿色债券来认定绿色企业的身份。经过对2016-2023年间发行过绿色债券的企业进行人工统计后，共有164家被认定为绿色企业。结果</w:t>
      </w:r>
      <w:r>
        <w:rPr>
          <w:rFonts w:hint="eastAsia" w:ascii="Times New Roman" w:hAnsi="Times New Roman"/>
          <w:szCs w:val="21"/>
        </w:rPr>
        <w:t>由数据皮皮侠团队</w:t>
      </w:r>
      <w:r>
        <w:rPr>
          <w:rFonts w:hint="eastAsia" w:ascii="Times New Roman" w:hAnsi="Times New Roman"/>
          <w:szCs w:val="21"/>
          <w:lang w:val="en-US" w:eastAsia="zh-CN"/>
        </w:rPr>
        <w:t>人工</w:t>
      </w:r>
      <w:r>
        <w:rPr>
          <w:rFonts w:hint="eastAsia" w:ascii="Times New Roman" w:hAnsi="Times New Roman"/>
          <w:szCs w:val="21"/>
        </w:rPr>
        <w:t>整理</w:t>
      </w:r>
      <w:r>
        <w:rPr>
          <w:rFonts w:hint="eastAsia" w:ascii="Times New Roman" w:hAnsi="Times New Roman"/>
          <w:szCs w:val="21"/>
          <w:lang w:eastAsia="zh-CN"/>
        </w:rPr>
        <w:t>，</w:t>
      </w:r>
      <w:r>
        <w:rPr>
          <w:rFonts w:hint="eastAsia" w:ascii="Times New Roman" w:hAnsi="Times New Roman"/>
          <w:szCs w:val="21"/>
          <w:lang w:val="en-US" w:eastAsia="zh-CN"/>
        </w:rPr>
        <w:t>全部内容真实有效</w:t>
      </w:r>
      <w:r>
        <w:rPr>
          <w:rFonts w:hint="eastAsia" w:ascii="Times New Roman" w:hAnsi="Times New Roman"/>
          <w:szCs w:val="21"/>
        </w:rPr>
        <w:t>。</w:t>
      </w:r>
      <w:bookmarkStart w:id="0" w:name="_GoBack"/>
      <w:bookmarkEnd w:id="0"/>
    </w:p>
    <w:p w14:paraId="6C79B994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jc w:val="left"/>
        <w:textAlignment w:val="auto"/>
        <w:rPr>
          <w:rFonts w:hint="eastAsia" w:ascii="Times New Roman" w:hAnsi="Times New Roman"/>
          <w:b/>
          <w:bCs/>
          <w:sz w:val="24"/>
          <w:szCs w:val="21"/>
        </w:rPr>
      </w:pPr>
      <w:r>
        <w:rPr>
          <w:rFonts w:hint="eastAsia" w:ascii="Times New Roman" w:hAnsi="Times New Roman"/>
          <w:b/>
          <w:bCs/>
          <w:sz w:val="24"/>
          <w:szCs w:val="21"/>
          <w:lang w:val="en-US" w:eastAsia="zh-CN"/>
        </w:rPr>
        <w:t>时间跨度</w:t>
      </w:r>
    </w:p>
    <w:p w14:paraId="3714F0BA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420" w:firstLineChars="200"/>
        <w:jc w:val="left"/>
        <w:textAlignment w:val="auto"/>
        <w:rPr>
          <w:rFonts w:hint="default" w:ascii="Times New Roman" w:hAnsi="Times New Roman"/>
          <w:b/>
          <w:bCs/>
          <w:sz w:val="24"/>
          <w:szCs w:val="21"/>
          <w:lang w:val="en-US"/>
        </w:rPr>
      </w:pPr>
      <w:r>
        <w:rPr>
          <w:rFonts w:hint="eastAsia" w:ascii="Times New Roman" w:hAnsi="Times New Roman"/>
          <w:szCs w:val="21"/>
          <w:lang w:val="en-US" w:eastAsia="zh-CN"/>
        </w:rPr>
        <w:t>2016-2023</w:t>
      </w:r>
    </w:p>
    <w:p w14:paraId="033A9054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jc w:val="left"/>
        <w:textAlignment w:val="auto"/>
        <w:rPr>
          <w:rFonts w:hint="eastAsia" w:ascii="Times New Roman" w:hAnsi="Times New Roman"/>
          <w:b/>
          <w:bCs/>
          <w:sz w:val="24"/>
          <w:szCs w:val="21"/>
        </w:rPr>
      </w:pPr>
      <w:r>
        <w:rPr>
          <w:rFonts w:hint="eastAsia" w:ascii="Times New Roman" w:hAnsi="Times New Roman"/>
          <w:b/>
          <w:bCs/>
          <w:sz w:val="24"/>
          <w:szCs w:val="21"/>
        </w:rPr>
        <w:t>数据范围</w:t>
      </w:r>
    </w:p>
    <w:p w14:paraId="56AC24B1">
      <w:pPr>
        <w:widowControl/>
        <w:ind w:firstLine="420" w:firstLineChars="200"/>
        <w:jc w:val="left"/>
        <w:rPr>
          <w:rFonts w:hint="eastAsia" w:ascii="Times New Roman" w:hAnsi="Times New Roman"/>
          <w:b/>
          <w:bCs/>
          <w:sz w:val="24"/>
          <w:szCs w:val="21"/>
        </w:rPr>
      </w:pPr>
      <w:r>
        <w:rPr>
          <w:rFonts w:hint="eastAsia" w:ascii="Times New Roman" w:hAnsi="Times New Roman"/>
          <w:szCs w:val="21"/>
          <w:lang w:val="en-US" w:eastAsia="zh-CN"/>
        </w:rPr>
        <w:t>上市公司</w:t>
      </w:r>
    </w:p>
    <w:p w14:paraId="482A1BB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jc w:val="left"/>
        <w:textAlignment w:val="auto"/>
        <w:rPr>
          <w:rFonts w:ascii="Times New Roman" w:hAnsi="Times New Roman"/>
          <w:b/>
          <w:bCs/>
          <w:sz w:val="24"/>
          <w:szCs w:val="21"/>
        </w:rPr>
      </w:pPr>
      <w:r>
        <w:rPr>
          <w:rFonts w:hint="eastAsia" w:ascii="Times New Roman" w:hAnsi="Times New Roman" w:cs="Times New Roman"/>
          <w:b/>
          <w:bCs/>
          <w:kern w:val="2"/>
          <w:sz w:val="24"/>
          <w:szCs w:val="21"/>
          <w:lang w:val="en-US" w:eastAsia="zh-CN" w:bidi="ar-SA"/>
        </w:rPr>
        <w:t>五</w:t>
      </w:r>
      <w:r>
        <w:rPr>
          <w:rFonts w:hint="eastAsia" w:ascii="Times New Roman" w:hAnsi="Times New Roman" w:eastAsia="宋体" w:cs="Times New Roman"/>
          <w:b/>
          <w:bCs/>
          <w:kern w:val="2"/>
          <w:sz w:val="24"/>
          <w:szCs w:val="21"/>
          <w:lang w:val="en-US" w:eastAsia="zh-CN" w:bidi="ar-SA"/>
        </w:rPr>
        <w:t>、</w:t>
      </w:r>
      <w:r>
        <w:rPr>
          <w:rFonts w:hint="eastAsia" w:ascii="Times New Roman" w:hAnsi="Times New Roman"/>
          <w:b/>
          <w:bCs/>
          <w:sz w:val="24"/>
          <w:szCs w:val="21"/>
        </w:rPr>
        <w:t>数据指标</w:t>
      </w:r>
    </w:p>
    <w:p w14:paraId="1275434C">
      <w:pPr>
        <w:widowControl/>
        <w:jc w:val="left"/>
        <w:rPr>
          <w:rFonts w:hint="eastAsia" w:ascii="Times New Roman" w:hAnsi="Times New Roman"/>
          <w:szCs w:val="21"/>
          <w:lang w:val="en-US" w:eastAsia="zh-CN"/>
        </w:rPr>
      </w:pPr>
      <w:r>
        <w:rPr>
          <w:rFonts w:hint="eastAsia" w:ascii="Times New Roman" w:hAnsi="Times New Roman"/>
          <w:szCs w:val="21"/>
        </w:rPr>
        <w:t xml:space="preserve">   </w:t>
      </w:r>
      <w:r>
        <w:rPr>
          <w:rFonts w:hint="eastAsia" w:ascii="Times New Roman" w:hAnsi="Times New Roman"/>
          <w:szCs w:val="21"/>
          <w:lang w:val="en-US" w:eastAsia="zh-CN"/>
        </w:rPr>
        <w:t>下表仅展示了部分指标及数据，更多完整内容请前往数据皮皮侠官方网站下载。</w:t>
      </w:r>
    </w:p>
    <w:p w14:paraId="59AAE3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jc w:val="center"/>
        <w:textAlignment w:val="auto"/>
        <w:rPr>
          <w:rFonts w:hint="eastAsia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/>
          <w:bCs/>
          <w:sz w:val="28"/>
          <w:szCs w:val="28"/>
          <w:lang w:val="en-US" w:eastAsia="zh-CN"/>
        </w:rPr>
        <w:t>指标展示</w:t>
      </w:r>
    </w:p>
    <w:tbl>
      <w:tblPr>
        <w:tblStyle w:val="4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0108F1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2500" w:type="pct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4874CB"/>
            <w:noWrap/>
            <w:vAlign w:val="top"/>
          </w:tcPr>
          <w:p w14:paraId="23D38A2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  <w:lang w:val="en-US" w:eastAsia="zh-CN"/>
              </w:rPr>
              <w:t>股票代码</w:t>
            </w:r>
          </w:p>
        </w:tc>
        <w:tc>
          <w:tcPr>
            <w:tcW w:w="2500" w:type="pct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4874CB"/>
            <w:noWrap/>
            <w:vAlign w:val="top"/>
          </w:tcPr>
          <w:p w14:paraId="6FD23EC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lang w:val="en-US" w:eastAsia="zh-CN" w:bidi="ar"/>
              </w:rPr>
              <w:t>股票简称</w:t>
            </w:r>
          </w:p>
        </w:tc>
      </w:tr>
      <w:tr w14:paraId="2479CE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EBF0FA"/>
            <w:noWrap/>
            <w:vAlign w:val="bottom"/>
          </w:tcPr>
          <w:p w14:paraId="6555D6C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8090C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8090C"/>
                <w:kern w:val="0"/>
                <w:sz w:val="22"/>
                <w:szCs w:val="22"/>
                <w:u w:val="none"/>
                <w:lang w:val="en-US" w:eastAsia="zh-CN" w:bidi="ar"/>
              </w:rPr>
              <w:t>年度区间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EBF0FA"/>
            <w:noWrap/>
            <w:vAlign w:val="bottom"/>
          </w:tcPr>
          <w:p w14:paraId="4ED53B6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8090C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8090C"/>
                <w:kern w:val="0"/>
                <w:sz w:val="22"/>
                <w:szCs w:val="22"/>
                <w:u w:val="none"/>
                <w:lang w:val="en-US" w:eastAsia="zh-CN" w:bidi="ar"/>
              </w:rPr>
              <w:t>股票全称</w:t>
            </w:r>
          </w:p>
        </w:tc>
      </w:tr>
    </w:tbl>
    <w:p w14:paraId="0FD534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jc w:val="center"/>
        <w:textAlignment w:val="auto"/>
        <w:rPr>
          <w:rFonts w:hint="eastAsia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/>
          <w:bCs/>
          <w:sz w:val="28"/>
          <w:szCs w:val="28"/>
          <w:lang w:val="en-US" w:eastAsia="zh-CN"/>
        </w:rPr>
        <w:t>数据展示</w:t>
      </w:r>
    </w:p>
    <w:p w14:paraId="4B288182">
      <w:pPr>
        <w:jc w:val="center"/>
      </w:pPr>
      <w:r>
        <w:drawing>
          <wp:inline distT="0" distB="0" distL="114300" distR="114300">
            <wp:extent cx="5272405" cy="2077085"/>
            <wp:effectExtent l="0" t="0" r="635" b="1079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7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EC3CD">
      <w:pPr>
        <w:jc w:val="center"/>
      </w:pPr>
      <w:r>
        <w:drawing>
          <wp:inline distT="0" distB="0" distL="114300" distR="114300">
            <wp:extent cx="5273040" cy="2197735"/>
            <wp:effectExtent l="0" t="0" r="0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19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D40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ascii="Times New Roman" w:hAnsi="Times New Roman"/>
          <w:b/>
          <w:bCs/>
          <w:sz w:val="24"/>
          <w:szCs w:val="21"/>
        </w:rPr>
      </w:pPr>
      <w:r>
        <w:rPr>
          <w:rFonts w:hint="eastAsia" w:ascii="Times New Roman" w:hAnsi="Times New Roman"/>
          <w:b/>
          <w:bCs/>
          <w:sz w:val="24"/>
          <w:szCs w:val="21"/>
        </w:rPr>
        <w:t>参考文献</w:t>
      </w:r>
    </w:p>
    <w:p w14:paraId="1E1431B6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Times New Roman" w:hAnsi="Times New Roman"/>
          <w:szCs w:val="21"/>
          <w:lang w:val="en-US" w:eastAsia="zh-CN"/>
        </w:rPr>
      </w:pPr>
      <w:r>
        <w:rPr>
          <w:rFonts w:hint="eastAsia" w:ascii="Times New Roman" w:hAnsi="Times New Roman"/>
          <w:szCs w:val="21"/>
          <w:lang w:val="en-US" w:eastAsia="zh-CN"/>
        </w:rPr>
        <w:t>[1]张小可,张居营.绿色金融如何影响绿色企业的技术创新？——基于绿色债券发行的准自然实验[J].企业经济,2024,43(01):139-149.</w:t>
      </w:r>
    </w:p>
    <w:p w14:paraId="05781B2F">
      <w:pPr>
        <w:rPr>
          <w:rFonts w:hint="eastAsia"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br w:type="page"/>
      </w:r>
    </w:p>
    <w:p w14:paraId="7215D4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jc w:val="center"/>
        <w:textAlignment w:val="auto"/>
        <w:rPr>
          <w:rFonts w:hint="eastAsia"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数据引用格式</w:t>
      </w:r>
    </w:p>
    <w:p w14:paraId="4A8164AE">
      <w:pPr>
        <w:widowControl/>
        <w:spacing w:line="276" w:lineRule="auto"/>
        <w:jc w:val="left"/>
        <w:rPr>
          <w:rFonts w:hint="eastAsia"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请您在任何基于“数据皮皮侠”数据库所产生的中文研究成果（含学术论文、公开发表的研究报告等）均包括以下表述或类似表述声明：</w:t>
      </w:r>
    </w:p>
    <w:p w14:paraId="61004026">
      <w:pPr>
        <w:widowControl/>
        <w:spacing w:line="276" w:lineRule="auto"/>
        <w:jc w:val="left"/>
        <w:rPr>
          <w:rFonts w:hint="eastAsia"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本研究使用的数据来自“数据皮皮侠”数据库。</w:t>
      </w:r>
    </w:p>
    <w:p w14:paraId="61A9E2F2">
      <w:pPr>
        <w:widowControl/>
        <w:spacing w:line="276" w:lineRule="auto"/>
        <w:jc w:val="left"/>
        <w:rPr>
          <w:rFonts w:hint="eastAsia"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同时以电子文献形式进行引用标注，形式如下：</w:t>
      </w:r>
    </w:p>
    <w:p w14:paraId="4D744264">
      <w:pPr>
        <w:widowControl/>
        <w:spacing w:line="276" w:lineRule="auto"/>
        <w:jc w:val="left"/>
        <w:rPr>
          <w:rFonts w:hint="eastAsia"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数据皮皮侠团队</w:t>
      </w:r>
      <w:r>
        <w:rPr>
          <w:rFonts w:ascii="宋体" w:hAnsi="宋体" w:cs="宋体"/>
          <w:szCs w:val="21"/>
        </w:rPr>
        <w:t>. 区县行政区划变更数据库[EB/OL]. [2023-1-1]. http://www.ppmandata.cn/.</w:t>
      </w:r>
    </w:p>
    <w:p w14:paraId="0023E66D">
      <w:pPr>
        <w:widowControl/>
        <w:spacing w:line="276" w:lineRule="auto"/>
        <w:jc w:val="left"/>
        <w:rPr>
          <w:rFonts w:hint="eastAsia"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其中，“</w:t>
      </w:r>
      <w:r>
        <w:rPr>
          <w:rFonts w:ascii="宋体" w:hAnsi="宋体" w:cs="宋体"/>
          <w:szCs w:val="21"/>
        </w:rPr>
        <w:t>2023-1-1”应当替换成实际引用日期，“区县行政区划变更数据库”替换成实际使用的数据库名称。</w:t>
      </w:r>
    </w:p>
    <w:p w14:paraId="7C4B8CE1">
      <w:pPr>
        <w:widowControl/>
        <w:spacing w:line="276" w:lineRule="auto"/>
        <w:jc w:val="left"/>
        <w:rPr>
          <w:rFonts w:hint="eastAsia"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请您在任何基于“数据皮皮侠”数据库所产生的英文研究成果（含学术论文、公开发表的研究报告等）均包括以下表述或类似表述声明：</w:t>
      </w:r>
    </w:p>
    <w:p w14:paraId="79689729">
      <w:pPr>
        <w:widowControl/>
        <w:spacing w:line="276" w:lineRule="auto"/>
        <w:jc w:val="left"/>
        <w:rPr>
          <w:rFonts w:hint="eastAsia" w:ascii="宋体" w:hAnsi="宋体" w:cs="宋体"/>
          <w:szCs w:val="21"/>
        </w:rPr>
      </w:pPr>
      <w:r>
        <w:rPr>
          <w:rFonts w:ascii="宋体" w:hAnsi="宋体" w:cs="宋体"/>
          <w:szCs w:val="21"/>
        </w:rPr>
        <w:t>The data used in this study is from the Pipixia Database organized and managed by Pixia Team.</w:t>
      </w:r>
    </w:p>
    <w:p w14:paraId="3C7BFF0C">
      <w:pPr>
        <w:widowControl/>
        <w:spacing w:line="276" w:lineRule="auto"/>
        <w:jc w:val="left"/>
        <w:rPr>
          <w:rFonts w:hint="eastAsia"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同时以电子文献形式进行引用标注，形式如下：</w:t>
      </w:r>
    </w:p>
    <w:p w14:paraId="7BF452A3">
      <w:pPr>
        <w:widowControl/>
        <w:spacing w:line="276" w:lineRule="auto"/>
        <w:jc w:val="left"/>
        <w:rPr>
          <w:rFonts w:hint="eastAsia" w:ascii="宋体" w:hAnsi="宋体" w:cs="宋体"/>
          <w:szCs w:val="21"/>
        </w:rPr>
      </w:pPr>
      <w:r>
        <w:rPr>
          <w:rFonts w:ascii="宋体" w:hAnsi="宋体" w:cs="宋体"/>
          <w:szCs w:val="21"/>
        </w:rPr>
        <w:t>Pixia Team. Database of Point of Interest[EB/OL]. [2023-1-1]. http://www.ppmandata.cn/.</w:t>
      </w:r>
    </w:p>
    <w:p w14:paraId="67132AE7">
      <w:pPr>
        <w:widowControl/>
        <w:spacing w:line="276" w:lineRule="auto"/>
        <w:jc w:val="left"/>
        <w:rPr>
          <w:rFonts w:hint="eastAsia"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其中，“</w:t>
      </w:r>
      <w:r>
        <w:rPr>
          <w:rFonts w:ascii="宋体" w:hAnsi="宋体" w:cs="宋体"/>
          <w:szCs w:val="21"/>
        </w:rPr>
        <w:t>2023-1-1”应当替换成实际引用日期，“Database of Point of Interest”替换成实际使用的数据库名称。</w:t>
      </w:r>
    </w:p>
    <w:p w14:paraId="52DF2D2D">
      <w:pPr>
        <w:widowControl/>
        <w:spacing w:after="167" w:line="259" w:lineRule="auto"/>
        <w:jc w:val="left"/>
        <w:rPr>
          <w:rFonts w:ascii="宋体" w:hAnsi="宋体" w:cs="宋体"/>
          <w:sz w:val="24"/>
          <w:szCs w:val="21"/>
        </w:rPr>
      </w:pPr>
    </w:p>
    <w:p w14:paraId="6561CB23">
      <w:pPr>
        <w:widowControl/>
        <w:spacing w:after="167" w:line="259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宋体" w:hAnsi="宋体" w:cs="宋体"/>
          <w:sz w:val="32"/>
          <w:szCs w:val="32"/>
        </w:rPr>
        <w:t>声明：本数据由数据皮皮侠团队整理，仅用于学术研究</w:t>
      </w:r>
    </w:p>
    <w:sectPr>
      <w:head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63E082">
    <w:pPr>
      <w:pStyle w:val="3"/>
      <w:pBdr>
        <w:bottom w:val="single" w:color="auto" w:sz="4" w:space="1"/>
      </w:pBdr>
      <w:jc w:val="center"/>
      <w:rPr>
        <w:b/>
        <w:bCs/>
      </w:rPr>
    </w:pPr>
    <w:r>
      <w:rPr>
        <w:rFonts w:hint="eastAsia"/>
        <w:b/>
        <w:bCs/>
      </w:rPr>
      <w:t>公众号【数据皮皮侠】</w:t>
    </w:r>
  </w:p>
  <w:p w14:paraId="72A8CACB">
    <w:pPr>
      <w:pStyle w:val="3"/>
    </w:pPr>
    <w:r>
      <w:pict>
        <v:shape id="PowerPlusWaterMarkObject1513771" o:spid="_x0000_s3073" o:spt="136" type="#_x0000_t136" style="position:absolute;left:0pt;height:127.65pt;width:459.6pt;mso-position-horizontal:center;mso-position-horizontal-relative:margin;mso-position-vertical:center;mso-position-vertical-relative:margin;rotation:-2949120f;z-index:-251657216;mso-width-relative:page;mso-height-relative:page;" fillcolor="#C0C0C0" filled="t" stroked="f" coordsize="21600,216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数据皮皮侠" style="font-family:楷体-简;font-size:36pt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8A82B3"/>
    <w:multiLevelType w:val="singleLevel"/>
    <w:tmpl w:val="9A8A82B3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519F0E16"/>
    <w:multiLevelType w:val="singleLevel"/>
    <w:tmpl w:val="519F0E16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,3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UxOTVkN2ZmMjVjM2EzNTY4MWNhM2I2OGZkMjAyOTMifQ=="/>
  </w:docVars>
  <w:rsids>
    <w:rsidRoot w:val="5FDF8367"/>
    <w:rsid w:val="0000026E"/>
    <w:rsid w:val="0002649D"/>
    <w:rsid w:val="000302C3"/>
    <w:rsid w:val="00094121"/>
    <w:rsid w:val="000C175C"/>
    <w:rsid w:val="000E310C"/>
    <w:rsid w:val="00151B35"/>
    <w:rsid w:val="0018462F"/>
    <w:rsid w:val="001B1581"/>
    <w:rsid w:val="001B671C"/>
    <w:rsid w:val="001D0A45"/>
    <w:rsid w:val="001E33DF"/>
    <w:rsid w:val="00206531"/>
    <w:rsid w:val="00243EAA"/>
    <w:rsid w:val="00255762"/>
    <w:rsid w:val="00263F3C"/>
    <w:rsid w:val="00267515"/>
    <w:rsid w:val="002B10DE"/>
    <w:rsid w:val="002B56F2"/>
    <w:rsid w:val="002D0DD9"/>
    <w:rsid w:val="00342A32"/>
    <w:rsid w:val="0038344C"/>
    <w:rsid w:val="003B16D0"/>
    <w:rsid w:val="00413563"/>
    <w:rsid w:val="00482CA7"/>
    <w:rsid w:val="00496A79"/>
    <w:rsid w:val="004D0881"/>
    <w:rsid w:val="004E70CE"/>
    <w:rsid w:val="00522644"/>
    <w:rsid w:val="00572E50"/>
    <w:rsid w:val="005A2927"/>
    <w:rsid w:val="0067105D"/>
    <w:rsid w:val="006B0FB2"/>
    <w:rsid w:val="006E2F94"/>
    <w:rsid w:val="00754A5E"/>
    <w:rsid w:val="00764173"/>
    <w:rsid w:val="007700D4"/>
    <w:rsid w:val="0077044C"/>
    <w:rsid w:val="00770D45"/>
    <w:rsid w:val="0078621E"/>
    <w:rsid w:val="0079084F"/>
    <w:rsid w:val="007A729B"/>
    <w:rsid w:val="007B3F23"/>
    <w:rsid w:val="0080199F"/>
    <w:rsid w:val="00853780"/>
    <w:rsid w:val="008775B0"/>
    <w:rsid w:val="008F5B14"/>
    <w:rsid w:val="00906A57"/>
    <w:rsid w:val="0091622C"/>
    <w:rsid w:val="0091741B"/>
    <w:rsid w:val="00935373"/>
    <w:rsid w:val="00965180"/>
    <w:rsid w:val="0097185A"/>
    <w:rsid w:val="00987860"/>
    <w:rsid w:val="00991763"/>
    <w:rsid w:val="009A04F4"/>
    <w:rsid w:val="009B1621"/>
    <w:rsid w:val="009C522D"/>
    <w:rsid w:val="009F2231"/>
    <w:rsid w:val="00A03416"/>
    <w:rsid w:val="00A110EC"/>
    <w:rsid w:val="00A1559B"/>
    <w:rsid w:val="00A22561"/>
    <w:rsid w:val="00A2332D"/>
    <w:rsid w:val="00A328CA"/>
    <w:rsid w:val="00A34053"/>
    <w:rsid w:val="00A5022D"/>
    <w:rsid w:val="00A53F1E"/>
    <w:rsid w:val="00A87BFE"/>
    <w:rsid w:val="00AA2723"/>
    <w:rsid w:val="00AF1B85"/>
    <w:rsid w:val="00B16721"/>
    <w:rsid w:val="00B81AD6"/>
    <w:rsid w:val="00BB1B09"/>
    <w:rsid w:val="00BB33AC"/>
    <w:rsid w:val="00BE2FB6"/>
    <w:rsid w:val="00BF1F55"/>
    <w:rsid w:val="00C30B69"/>
    <w:rsid w:val="00C66660"/>
    <w:rsid w:val="00CD75F1"/>
    <w:rsid w:val="00D15236"/>
    <w:rsid w:val="00D24689"/>
    <w:rsid w:val="00D665AE"/>
    <w:rsid w:val="00D916B9"/>
    <w:rsid w:val="00DA128F"/>
    <w:rsid w:val="00DC2D5D"/>
    <w:rsid w:val="00DD7437"/>
    <w:rsid w:val="00E22F79"/>
    <w:rsid w:val="00E472C8"/>
    <w:rsid w:val="00F20DAF"/>
    <w:rsid w:val="00F34622"/>
    <w:rsid w:val="00F347CD"/>
    <w:rsid w:val="00F43B65"/>
    <w:rsid w:val="00F634AF"/>
    <w:rsid w:val="00F868AB"/>
    <w:rsid w:val="00F9206C"/>
    <w:rsid w:val="00FC3D32"/>
    <w:rsid w:val="00FD006C"/>
    <w:rsid w:val="00FF61B6"/>
    <w:rsid w:val="013D501C"/>
    <w:rsid w:val="05EE26C5"/>
    <w:rsid w:val="08A45126"/>
    <w:rsid w:val="0E1957DD"/>
    <w:rsid w:val="0F547FA8"/>
    <w:rsid w:val="10EC085B"/>
    <w:rsid w:val="11754BDB"/>
    <w:rsid w:val="132A1BE4"/>
    <w:rsid w:val="1B7400AF"/>
    <w:rsid w:val="238A314F"/>
    <w:rsid w:val="24DC3F73"/>
    <w:rsid w:val="2A20552D"/>
    <w:rsid w:val="30591936"/>
    <w:rsid w:val="30712333"/>
    <w:rsid w:val="325D3C5F"/>
    <w:rsid w:val="3D5642D8"/>
    <w:rsid w:val="3D767ACA"/>
    <w:rsid w:val="3D7E07E0"/>
    <w:rsid w:val="40F317C3"/>
    <w:rsid w:val="410A5175"/>
    <w:rsid w:val="43A01763"/>
    <w:rsid w:val="43FB1310"/>
    <w:rsid w:val="443A1E31"/>
    <w:rsid w:val="449C42A8"/>
    <w:rsid w:val="48473F1C"/>
    <w:rsid w:val="55077266"/>
    <w:rsid w:val="575A58DF"/>
    <w:rsid w:val="576A5B57"/>
    <w:rsid w:val="58EB7B73"/>
    <w:rsid w:val="5B2E66B5"/>
    <w:rsid w:val="5C274DC8"/>
    <w:rsid w:val="5E4C52FF"/>
    <w:rsid w:val="5EB7752C"/>
    <w:rsid w:val="5F37136B"/>
    <w:rsid w:val="5FDF8367"/>
    <w:rsid w:val="5FEE57F2"/>
    <w:rsid w:val="629F3EDD"/>
    <w:rsid w:val="6604676D"/>
    <w:rsid w:val="67A37FA9"/>
    <w:rsid w:val="68953223"/>
    <w:rsid w:val="69D76DAC"/>
    <w:rsid w:val="6A0F7AA0"/>
    <w:rsid w:val="6A485AAE"/>
    <w:rsid w:val="72C53089"/>
    <w:rsid w:val="746B2617"/>
    <w:rsid w:val="7E8328F0"/>
    <w:rsid w:val="7EEF0E9B"/>
    <w:rsid w:val="7F6D4227"/>
    <w:rsid w:val="7FF758BE"/>
    <w:rsid w:val="9D9B3BF2"/>
    <w:rsid w:val="FFBF3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7">
    <w:name w:val="清单表 4 - 着色 11"/>
    <w:basedOn w:val="4"/>
    <w:qFormat/>
    <w:uiPriority w:val="49"/>
    <w:tblPr>
      <w:tblBorders>
        <w:top w:val="single" w:color="91ABDF" w:sz="4" w:space="0"/>
        <w:left w:val="single" w:color="91ABDF" w:sz="4" w:space="0"/>
        <w:bottom w:val="single" w:color="91ABDF" w:sz="4" w:space="0"/>
        <w:right w:val="single" w:color="91ABDF" w:sz="4" w:space="0"/>
        <w:insideH w:val="single" w:color="91ABDF" w:sz="4" w:space="0"/>
      </w:tblBorders>
    </w:tblPr>
    <w:tblStylePr w:type="firstRow">
      <w:rPr>
        <w:b/>
        <w:bCs/>
        <w:color w:val="FFFFFF"/>
      </w:rPr>
      <w:tcPr>
        <w:tcBorders>
          <w:top w:val="single" w:color="4874CB" w:sz="4" w:space="0"/>
          <w:left w:val="single" w:color="4874CB" w:sz="4" w:space="0"/>
          <w:bottom w:val="single" w:color="4874CB" w:sz="4" w:space="0"/>
          <w:right w:val="single" w:color="4874CB" w:sz="4" w:space="0"/>
          <w:insideH w:val="nil"/>
          <w:insideV w:val="nil"/>
          <w:tl2br w:val="nil"/>
          <w:tr2bl w:val="nil"/>
        </w:tcBorders>
        <w:shd w:val="clear" w:color="auto" w:fill="4874CB"/>
      </w:tcPr>
    </w:tblStylePr>
    <w:tblStylePr w:type="lastRow">
      <w:rPr>
        <w:b/>
        <w:bCs/>
      </w:rPr>
      <w:tcPr>
        <w:tcBorders>
          <w:top w:val="double" w:color="91ABDF" w:sz="4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AE3F4"/>
      </w:tcPr>
    </w:tblStylePr>
    <w:tblStylePr w:type="band1Horz">
      <w:tcPr>
        <w:shd w:val="clear" w:color="auto" w:fill="DAE3F4"/>
      </w:tcPr>
    </w:tblStylePr>
  </w:style>
  <w:style w:type="table" w:customStyle="1" w:styleId="8">
    <w:name w:val="网格表 4 - 着色 11"/>
    <w:basedOn w:val="4"/>
    <w:qFormat/>
    <w:uiPriority w:val="49"/>
    <w:tblPr>
      <w:tblBorders>
        <w:top w:val="single" w:color="91ABDF" w:sz="4" w:space="0"/>
        <w:left w:val="single" w:color="91ABDF" w:sz="4" w:space="0"/>
        <w:bottom w:val="single" w:color="91ABDF" w:sz="4" w:space="0"/>
        <w:right w:val="single" w:color="91ABDF" w:sz="4" w:space="0"/>
        <w:insideH w:val="single" w:color="91ABDF" w:sz="4" w:space="0"/>
        <w:insideV w:val="single" w:color="91ABDF" w:sz="4" w:space="0"/>
      </w:tblBorders>
    </w:tblPr>
    <w:tblStylePr w:type="firstRow">
      <w:rPr>
        <w:b/>
        <w:bCs/>
        <w:color w:val="FFFFFF"/>
      </w:rPr>
      <w:tcPr>
        <w:tcBorders>
          <w:top w:val="single" w:color="4874CB" w:sz="4" w:space="0"/>
          <w:left w:val="single" w:color="4874CB" w:sz="4" w:space="0"/>
          <w:bottom w:val="single" w:color="4874CB" w:sz="4" w:space="0"/>
          <w:right w:val="single" w:color="4874CB" w:sz="4" w:space="0"/>
          <w:insideH w:val="nil"/>
          <w:insideV w:val="nil"/>
          <w:tl2br w:val="nil"/>
          <w:tr2bl w:val="nil"/>
        </w:tcBorders>
        <w:shd w:val="clear" w:color="auto" w:fill="4874CB"/>
      </w:tcPr>
    </w:tblStylePr>
    <w:tblStylePr w:type="lastRow">
      <w:rPr>
        <w:b/>
        <w:bCs/>
      </w:rPr>
      <w:tcPr>
        <w:tcBorders>
          <w:top w:val="double" w:color="4874CB" w:sz="4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AE3F4"/>
      </w:tcPr>
    </w:tblStylePr>
    <w:tblStylePr w:type="band1Horz">
      <w:tcPr>
        <w:shd w:val="clear" w:color="auto" w:fill="DAE3F4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307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918</Words>
  <Characters>1207</Characters>
  <Lines>7</Lines>
  <Paragraphs>2</Paragraphs>
  <TotalTime>1</TotalTime>
  <ScaleCrop>false</ScaleCrop>
  <LinksUpToDate>false</LinksUpToDate>
  <CharactersWithSpaces>1244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2024-04-10T11:12:00Z</dcterms:created>
  <dc:creator>victory</dc:creator>
  <cp:lastModifiedBy>徐见响</cp:lastModifiedBy>
  <dcterms:modified xsi:type="dcterms:W3CDTF">2024-08-21T07:12:08Z</dcterms:modified>
  <cp:revision>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6E14ED4CD6D54372B2EB461CE58E52E1_13</vt:lpwstr>
  </property>
</Properties>
</file>