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432"/>
        <w:gridCol w:w="1500"/>
        <w:gridCol w:w="3432"/>
      </w:tblGrid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Código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codigo"/>
                <w:tag w:val="codigo"/>
                <w:id w:val="301"/>
                <w:dataBinding w:prefixMappings="xmlns:pcm='urn:pcm-direto:documento:1'" w:xpath="/pcm:documento[1]/pcm:codig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PCM-MAN-018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Organização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organizacao"/>
                <w:tag w:val="organizacao"/>
                <w:id w:val="305"/>
                <w:dataBinding w:prefixMappings="xmlns:pcm='urn:pcm-direto:documento:1'" w:xpath="/pcm:documento[1]/pcm:organizaca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Elaborado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elaborado"/>
                <w:tag w:val="elaborado"/>
                <w:id w:val="303"/>
                <w:dataBinding w:prefixMappings="xmlns:pcm='urn:pcm-direto:documento:1'" w:xpath="/pcm:documento[1]/pcm:elabor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Aprovado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aprovado"/>
                <w:tag w:val="aprovado"/>
                <w:id w:val="304"/>
                <w:dataBinding w:prefixMappings="xmlns:pcm='urn:pcm-direto:documento:1'" w:xpath="/pcm:documento[1]/pcm:aprov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</w:tbl>
    <w:p>
      <w:pPr>
        <w:spacing w:after="0" w:line="120" w:lineRule="exact"/>
      </w:pPr>
    </w:p>
    <w:p>
      <w:pPr>
        <w:pStyle w:val="NotaPCMD"/>
      </w:pPr>
      <w:r>
        <w:rPr>
          <w:b/>
          <w:color w:val="0B2A5B"/>
        </w:rPr>
        <w:t xml:space="preserve">NOTA  </w:t>
      </w:r>
      <w:r>
        <w:t xml:space="preserve">o texto em preto é uma proposta pronta, alinhada à ISO 55001; ajuste ao seu negócio. Substitua o texto cinza entre </w:t>
      </w:r>
      <w:r>
        <w:rPr>
          <w:color w:val="4A5668"/>
        </w:rPr>
        <w:t xml:space="preserve">[colchetes]</w:t>
      </w:r>
      <w:r>
        <w:t xml:space="preserve"> e apague as orientações.</w:t>
      </w:r>
    </w:p>
    <w:p>
      <w:pPr>
        <w:pStyle w:val="Ttulo1"/>
      </w:pPr>
      <w:r>
        <w:t xml:space="preserve">OBJETIVO</w:t>
      </w:r>
    </w:p>
    <w:p>
      <w:pPr>
        <w:pStyle w:val="CorpoPCMD"/>
      </w:pPr>
      <w:r>
        <w:t xml:space="preserve">Este manual define como </w:t>
      </w:r>
      <w:r>
        <w:rPr>
          <w:color w:val="4A5668"/>
        </w:rPr>
        <w:t xml:space="preserve">[Nome da empresa]</w:t>
      </w:r>
      <w:r>
        <w:t xml:space="preserve"> gerencia seus ativos físicos ao longo de todo o ciclo de vida, para entregar segurança, disponibilidade e custo adequados ao negócio. Ele é a referência para decisões de aquisição, operação, manutenção, modernização e desativação de ativos.</w:t>
      </w:r>
    </w:p>
    <w:p>
      <w:pPr>
        <w:pStyle w:val="Ttulo1"/>
      </w:pPr>
      <w:r>
        <w:t xml:space="preserve">ESCOPO E APLICAÇÃO</w:t>
      </w:r>
    </w:p>
    <w:p>
      <w:pPr>
        <w:pStyle w:val="CorpoPCMD"/>
      </w:pPr>
      <w:r>
        <w:t xml:space="preserve">Aplica-se a </w:t>
      </w:r>
      <w:r>
        <w:rPr>
          <w:color w:val="4A5668"/>
        </w:rPr>
        <w:t xml:space="preserve">[unidades, plantas e áreas]</w:t>
      </w:r>
      <w:r>
        <w:t xml:space="preserve">, cobrindo </w:t>
      </w:r>
      <w:r>
        <w:rPr>
          <w:color w:val="4A5668"/>
        </w:rPr>
        <w:t xml:space="preserve">[equipamentos de produção, utilidades, infraestrutura, frota]</w:t>
      </w:r>
      <w:r>
        <w:t xml:space="preserve">. Não se aplica a </w:t>
      </w:r>
      <w:r>
        <w:rPr>
          <w:color w:val="4A5668"/>
        </w:rPr>
        <w:t xml:space="preserve">[exceções, ex.: ativos de TI administrativos]</w:t>
      </w:r>
      <w:r>
        <w:t xml:space="preserve">.</w:t>
      </w:r>
    </w:p>
    <w:p>
      <w:pPr>
        <w:pStyle w:val="Ttulo1"/>
      </w:pPr>
      <w:r>
        <w:t xml:space="preserve">DEFINIÇÕES E SIGLAS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Termo</w:t>
            </w:r>
          </w:p>
        </w:tc>
        <w:tc>
          <w:tcPr>
            <w:tcW w:w="739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Definição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Ativo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Item que tem valor real ou potencial para a organização.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Gestão de ativos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Atividade coordenada para gerar valor a partir dos ativos.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Ciclo de vida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Etapas do ativo: da necessidade à desativação.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TAG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Código único que identifica cada ativo. É a única chave usada em todos os registros.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Criticidade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Grau de impacto da falha do ativo em segurança, qualidade, produção e custo (classes A, B e C).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Risco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Efeito da incerteza: combinação da consequência com a probabilidade da falha.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RESPONSABILIDADES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Função</w:t>
            </w:r>
          </w:p>
        </w:tc>
        <w:tc>
          <w:tcPr>
            <w:tcW w:w="739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Responsabilidades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Alta direção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Aprovar a política e os objetivos, prover recursos, analisar o desempenho.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Gerente de manutenção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Garantir o sistema de gestão de ativos, os planos e os resultados.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Manter cadastro, planos, programação, registros e indicadores.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Engenharia de manutenção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Criticidade, MFMEA, estratégia, análise de falhas e melhorias.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Produção / operação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Operar corretamente, fazer a manutenção autônoma e liberar equipamentos.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Suprimentos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Peças críticas, contratos e fornecedores.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Matriz de responsabilidades (RACI)</w:t>
      </w:r>
    </w:p>
    <w:p>
      <w:pPr>
        <w:pStyle w:val="CorpoPCMD"/>
      </w:pPr>
      <w:r>
        <w:t xml:space="preserve">R = executa · A = responde pelo resultado (um só por atividade) · C = é consultado · I = é informado.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225"/>
        <w:gridCol w:w="1043"/>
        <w:gridCol w:w="1043"/>
        <w:gridCol w:w="1043"/>
        <w:gridCol w:w="1233"/>
        <w:gridCol w:w="1043"/>
        <w:gridCol w:w="1234"/>
      </w:tblGrid>
      <w:tr>
        <w:trPr>
          <w:cantSplit/>
          <w:tblHeader/>
          <w:jc w:val="center"/>
        </w:trPr>
        <w:tc>
          <w:tcPr>
            <w:tcW w:w="322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Atividade</w:t>
            </w:r>
          </w:p>
        </w:tc>
        <w:tc>
          <w:tcPr>
            <w:tcW w:w="104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Direção</w:t>
            </w:r>
          </w:p>
        </w:tc>
        <w:tc>
          <w:tcPr>
            <w:tcW w:w="104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Gerente</w:t>
            </w:r>
          </w:p>
        </w:tc>
        <w:tc>
          <w:tcPr>
            <w:tcW w:w="104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PCM</w:t>
            </w:r>
          </w:p>
        </w:tc>
        <w:tc>
          <w:tcPr>
            <w:tcW w:w="123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Engenharia</w:t>
            </w:r>
          </w:p>
        </w:tc>
        <w:tc>
          <w:tcPr>
            <w:tcW w:w="104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Operação</w:t>
            </w:r>
          </w:p>
        </w:tc>
        <w:tc>
          <w:tcPr>
            <w:tcW w:w="123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Suprimentos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Política e objetivos de ativos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Cadastro e hierarquia (TAG)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23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Criticidade e MFMEA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Plano e programação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23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Execução e registro da OS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Peças críticas e contratos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04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  <w:tc>
          <w:tcPr>
            <w:tcW w:w="123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</w:tr>
      <w:tr>
        <w:trPr>
          <w:cantSplit/>
          <w:jc w:val="center"/>
        </w:trPr>
        <w:tc>
          <w:tcPr>
            <w:tcW w:w="32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Indicadores e análise crítica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</w:t>
            </w:r>
          </w:p>
        </w:tc>
        <w:tc>
          <w:tcPr>
            <w:tcW w:w="123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DOCUMENTOS DE REFERÊNCIA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5129"/>
        <w:gridCol w:w="2367"/>
        <w:gridCol w:w="2368"/>
      </w:tblGrid>
      <w:tr>
        <w:trPr>
          <w:cantSplit/>
          <w:tblHeader/>
          <w:jc w:val="center"/>
        </w:trPr>
        <w:tc>
          <w:tcPr>
            <w:tcW w:w="512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Documento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Código ou versão</w:t>
            </w:r>
          </w:p>
        </w:tc>
        <w:tc>
          <w:tcPr>
            <w:tcW w:w="236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consulta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Gestão de ativos: visão geral, princípios e terminologia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ABNT NBR ISO 55000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Gestão de ativos: requisitos do sistema de gestão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ABNT NBR ISO 55001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Diretrizes para aplicação da ISO 55001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ABNT NBR ISO 55002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Confiabilidade e mantenabilidade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ABNT NBR 5462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[Normas regulamentadoras aplicáveis: NR-10, NR-12, NR-13...]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[Código ou versão]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Manual de estratégia de manutenção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PCM-MAN-019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CONTEXTO DA ORGANIZAÇÃO</w:t>
      </w:r>
    </w:p>
    <w:p>
      <w:pPr>
        <w:pStyle w:val="Ttulo2"/>
      </w:pPr>
      <w:r>
        <w:t xml:space="preserve">Partes interessadas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3946"/>
        <w:gridCol w:w="3452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Parte interessada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 que espera dos ativos</w:t>
            </w:r>
          </w:p>
        </w:tc>
        <w:tc>
          <w:tcPr>
            <w:tcW w:w="345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Como atendemos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Clientes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Prazo e qualidade</w:t>
            </w:r>
          </w:p>
        </w:tc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[Disponibilidade e confiabilidade dos ativos críticos]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Colaboradores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Segurança</w:t>
            </w:r>
          </w:p>
        </w:tc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[Bloqueio, permissão de trabalho, NR-12]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Acionistas / direção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Retorno e custo</w:t>
            </w:r>
          </w:p>
        </w:tc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[Orçamento e custo por ativo]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Órgãos reguladores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Conformidade legal</w:t>
            </w:r>
          </w:p>
        </w:tc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[Inspeções obrigatórias e registros]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Portfólio de ativos</w:t>
      </w:r>
    </w:p>
    <w:p>
      <w:pPr>
        <w:pStyle w:val="CorpoPCMD"/>
      </w:pPr>
      <w:r>
        <w:rPr>
          <w:color w:val="4A5668"/>
        </w:rPr>
        <w:t xml:space="preserve">[Descreva os grupos de ativos, quantidades e valor de reposição. Ex.: 42 injetoras, 3 compressores, 1 subestação.]</w:t>
      </w:r>
    </w:p>
    <w:p>
      <w:pPr>
        <w:pStyle w:val="Ttulo1"/>
      </w:pPr>
      <w:r>
        <w:t xml:space="preserve">POLÍTICA DE GESTÃO DE ATIVOS</w:t>
      </w:r>
    </w:p>
    <w:p>
      <w:pPr>
        <w:pStyle w:val="CorpoPCMD"/>
      </w:pPr>
      <w:r>
        <w:rPr>
          <w:color w:val="4A5668"/>
        </w:rPr>
        <w:t xml:space="preserve">[Nome da empresa]</w:t>
      </w:r>
      <w:r>
        <w:t xml:space="preserve"> se compromete a:</w:t>
      </w:r>
    </w:p>
    <w:p>
      <w:pPr>
        <w:pStyle w:val="Commarcadores"/>
      </w:pPr>
      <w:r>
        <w:t xml:space="preserve">Manter os ativos seguros para pessoas e meio ambiente, cumprindo a legislação.</w:t>
      </w:r>
    </w:p>
    <w:p>
      <w:pPr>
        <w:pStyle w:val="Commarcadores"/>
      </w:pPr>
      <w:r>
        <w:t xml:space="preserve">Tomar decisões sobre ativos com base em risco, custo do ciclo de vida e desempenho.</w:t>
      </w:r>
    </w:p>
    <w:p>
      <w:pPr>
        <w:pStyle w:val="Commarcadores"/>
      </w:pPr>
      <w:r>
        <w:t xml:space="preserve">Priorizar recursos pelos ativos críticos (classe A).</w:t>
      </w:r>
    </w:p>
    <w:p>
      <w:pPr>
        <w:pStyle w:val="Commarcadores"/>
      </w:pPr>
      <w:r>
        <w:t xml:space="preserve">Registrar e usar dados confiáveis, com a TAG como identificação única.</w:t>
      </w:r>
    </w:p>
    <w:p>
      <w:pPr>
        <w:pStyle w:val="Commarcadores"/>
      </w:pPr>
      <w:r>
        <w:t xml:space="preserve">Desenvolver as competências das equipes e melhorar continuamente.</w:t>
      </w:r>
    </w:p>
    <w:p>
      <w:pPr>
        <w:pStyle w:val="NotaPCMD"/>
      </w:pPr>
      <w:r>
        <w:rPr>
          <w:b/>
          <w:color w:val="0B2A5B"/>
        </w:rPr>
        <w:t xml:space="preserve">NOTA  </w:t>
      </w:r>
      <w:r>
        <w:t xml:space="preserve">A política deve ser aprovada e assinada pela alta direção e divulgada a todos.</w:t>
      </w:r>
    </w:p>
    <w:p>
      <w:pPr>
        <w:pStyle w:val="Ttulo1"/>
      </w:pPr>
      <w:r>
        <w:t xml:space="preserve">OBJETIVOS E INDICADORES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762"/>
        <w:gridCol w:w="2367"/>
        <w:gridCol w:w="1381"/>
        <w:gridCol w:w="1381"/>
        <w:gridCol w:w="1973"/>
      </w:tblGrid>
      <w:tr>
        <w:trPr>
          <w:cantSplit/>
          <w:tblHeader/>
          <w:jc w:val="center"/>
        </w:trPr>
        <w:tc>
          <w:tcPr>
            <w:tcW w:w="276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138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Meta</w:t>
            </w:r>
          </w:p>
        </w:tc>
        <w:tc>
          <w:tcPr>
            <w:tcW w:w="138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Frequência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27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Aumentar a disponibilidade dos ativos críticos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Disponibilidade (%)</w:t>
            </w:r>
          </w:p>
        </w:tc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[≥ 95%]</w:t>
            </w:r>
          </w:p>
        </w:tc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Mensal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[Gerente de manutenção]</w:t>
            </w:r>
          </w:p>
        </w:tc>
      </w:tr>
      <w:tr>
        <w:trPr>
          <w:cantSplit/>
          <w:jc w:val="center"/>
        </w:trPr>
        <w:tc>
          <w:tcPr>
            <w:tcW w:w="27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Reduzir corretivas não planejadas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% de horas em corretiva</w:t>
            </w:r>
          </w:p>
        </w:tc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[≤ 20%]</w:t>
            </w:r>
          </w:p>
        </w:tc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Mensal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27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Cumprir o plano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Aderência à preventiva (%)</w:t>
            </w:r>
          </w:p>
        </w:tc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[≥ 90%]</w:t>
            </w:r>
          </w:p>
        </w:tc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Mensal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27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Controlar custo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Custo de manutenção / orçado</w:t>
            </w:r>
          </w:p>
        </w:tc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[≤ 100%]</w:t>
            </w:r>
          </w:p>
        </w:tc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Mensal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[Controladoria]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CADASTRO E HIERARQUIA DE ATIVOS</w:t>
      </w:r>
    </w:p>
    <w:p>
      <w:pPr>
        <w:pStyle w:val="CorpoPCMD"/>
      </w:pPr>
      <w:r>
        <w:t xml:space="preserve">Todo ativo tem uma TAG única, registrada no cadastro antes de entrar em operação. A TAG é a única chave em OS, planos, falhas, custos e indicadores.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3452"/>
        <w:gridCol w:w="4439"/>
      </w:tblGrid>
      <w:tr>
        <w:trPr>
          <w:cantSplit/>
          <w:tblHeader/>
          <w:jc w:val="center"/>
        </w:trPr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Nível</w:t>
            </w:r>
          </w:p>
        </w:tc>
        <w:tc>
          <w:tcPr>
            <w:tcW w:w="345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Exemplo</w:t>
            </w:r>
          </w:p>
        </w:tc>
        <w:tc>
          <w:tcPr>
            <w:tcW w:w="443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Regra da TAG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  Unidade</w:t>
            </w:r>
          </w:p>
        </w:tc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[Planta Jundiaí]</w:t>
            </w:r>
          </w:p>
        </w:tc>
        <w:tc>
          <w:tcPr>
            <w:tcW w:w="4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[JD]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2  Área</w:t>
            </w:r>
          </w:p>
        </w:tc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[Injeção]</w:t>
            </w:r>
          </w:p>
        </w:tc>
        <w:tc>
          <w:tcPr>
            <w:tcW w:w="443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[JD-INJ]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3  Linha / sistema</w:t>
            </w:r>
          </w:p>
        </w:tc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[Linha 2]</w:t>
            </w:r>
          </w:p>
        </w:tc>
        <w:tc>
          <w:tcPr>
            <w:tcW w:w="4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[JD-INJ-L2]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4  Equipamento</w:t>
            </w:r>
          </w:p>
        </w:tc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[Injetora 450 t]</w:t>
            </w:r>
          </w:p>
        </w:tc>
        <w:tc>
          <w:tcPr>
            <w:tcW w:w="443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[JD-INJ-L2-IJ01]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5  Componente</w:t>
            </w:r>
          </w:p>
        </w:tc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[Unidade hidráulica]</w:t>
            </w:r>
          </w:p>
        </w:tc>
        <w:tc>
          <w:tcPr>
            <w:tcW w:w="4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[opcional: só para ativos A]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CRITICIDADE E RISCO</w:t>
      </w:r>
    </w:p>
    <w:p>
      <w:pPr>
        <w:pStyle w:val="CorpoPCMD"/>
      </w:pPr>
      <w:r>
        <w:t xml:space="preserve">A criticidade é avaliada para todos os ativos com o modelo PCM-MAN-002, combinando a consequência da falha (segurança, qualidade, produção) com a probabilidade, numa matriz 5 × 5. O resultado define a classe e o tratamento: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2959"/>
        <w:gridCol w:w="5721"/>
      </w:tblGrid>
      <w:tr>
        <w:trPr>
          <w:cantSplit/>
          <w:tblHeader/>
          <w:jc w:val="center"/>
        </w:trPr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Classe</w:t>
            </w:r>
          </w:p>
        </w:tc>
        <w:tc>
          <w:tcPr>
            <w:tcW w:w="295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Significado</w:t>
            </w:r>
          </w:p>
        </w:tc>
        <w:tc>
          <w:tcPr>
            <w:tcW w:w="572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Tratamento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Crítico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MFMEA, preventiva e preditiva, peças em estoque, prioridade máxima na OS.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Importante</w:t>
            </w:r>
          </w:p>
        </w:tc>
        <w:tc>
          <w:tcPr>
            <w:tcW w:w="572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Preventiva básica, peças sob análise, prioridade média.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Baixo impacto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Corretiva planejada ou rodar até falhar, quando seguro.</w:t>
            </w:r>
          </w:p>
        </w:tc>
      </w:tr>
    </w:tbl>
    <w:p>
      <w:pPr>
        <w:spacing w:after="0"/>
      </w:pPr>
    </w:p>
    <w:p>
      <w:pPr>
        <w:pStyle w:val="CorpoPCMD"/>
      </w:pPr>
      <w:r>
        <w:t xml:space="preserve">A criticidade é revista </w:t>
      </w:r>
      <w:r>
        <w:rPr>
          <w:color w:val="4A5668"/>
        </w:rPr>
        <w:t xml:space="preserve">[a cada 12 meses]</w:t>
      </w:r>
      <w:r>
        <w:t xml:space="preserve"> ou quando mudar o processo, o volume ou depois de falha grave.</w:t>
      </w:r>
    </w:p>
    <w:p>
      <w:pPr>
        <w:pStyle w:val="Ttulo1"/>
      </w:pPr>
      <w:r>
        <w:t xml:space="preserve">RISCOS E OPORTUNIDADES</w:t>
      </w:r>
    </w:p>
    <w:p>
      <w:pPr>
        <w:pStyle w:val="CorpoPCMD"/>
      </w:pPr>
      <w:r>
        <w:t xml:space="preserve">Os riscos dos ativos são identificados, avaliados e tratados na criticidade e na MFMEA (PCM-MAN-002), revistas </w:t>
      </w:r>
      <w:r>
        <w:rPr>
          <w:color w:val="4A5668"/>
        </w:rPr>
        <w:t xml:space="preserve">[a cada 6 meses]</w:t>
      </w:r>
      <w:r>
        <w:t xml:space="preserve">. Risco = consequência × probabilidade, na mesma escala 1 a 5 da criticidade.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1973"/>
        <w:gridCol w:w="4537"/>
        <w:gridCol w:w="1973"/>
      </w:tblGrid>
      <w:tr>
        <w:trPr>
          <w:cantSplit/>
          <w:tblHeader/>
          <w:jc w:val="center"/>
        </w:trPr>
        <w:tc>
          <w:tcPr>
            <w:tcW w:w="138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Nível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Pontos (C × P)</w:t>
            </w:r>
          </w:p>
        </w:tc>
        <w:tc>
          <w:tcPr>
            <w:tcW w:w="453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Tratamento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Prazo</w:t>
            </w:r>
          </w:p>
        </w:tc>
      </w:tr>
      <w:tr>
        <w:trPr>
          <w:cantSplit/>
          <w:jc w:val="center"/>
        </w:trPr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Alto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15 a 25</w:t>
            </w:r>
          </w:p>
        </w:tc>
        <w:tc>
          <w:tcPr>
            <w:tcW w:w="453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Ação imediata e acompanhamento da direção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[30 dias]</w:t>
            </w:r>
          </w:p>
        </w:tc>
      </w:tr>
      <w:tr>
        <w:trPr>
          <w:cantSplit/>
          <w:jc w:val="center"/>
        </w:trPr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Médio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6 a 14</w:t>
            </w:r>
          </w:p>
        </w:tc>
        <w:tc>
          <w:tcPr>
            <w:tcW w:w="453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Plano de ação com responsável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[90 dias]</w:t>
            </w:r>
          </w:p>
        </w:tc>
      </w:tr>
      <w:tr>
        <w:trPr>
          <w:cantSplit/>
          <w:jc w:val="center"/>
        </w:trPr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Baixo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 a 5</w:t>
            </w:r>
          </w:p>
        </w:tc>
        <w:tc>
          <w:tcPr>
            <w:tcW w:w="453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Monitorar nas rotinas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[Na revisão]</w:t>
            </w:r>
          </w:p>
        </w:tc>
      </w:tr>
    </w:tbl>
    <w:p>
      <w:pPr>
        <w:spacing w:after="0"/>
      </w:pP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1085"/>
        <w:gridCol w:w="1874"/>
        <w:gridCol w:w="395"/>
        <w:gridCol w:w="395"/>
        <w:gridCol w:w="789"/>
        <w:gridCol w:w="1973"/>
        <w:gridCol w:w="1677"/>
        <w:gridCol w:w="1183"/>
      </w:tblGrid>
      <w:tr>
        <w:trPr>
          <w:cantSplit/>
          <w:tblHeader/>
          <w:jc w:val="center"/>
        </w:trPr>
        <w:tc>
          <w:tcPr>
            <w:tcW w:w="49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Nº</w:t>
            </w:r>
          </w:p>
        </w:tc>
        <w:tc>
          <w:tcPr>
            <w:tcW w:w="108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Ativo (TAG)</w:t>
            </w:r>
          </w:p>
        </w:tc>
        <w:tc>
          <w:tcPr>
            <w:tcW w:w="187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Risco</w:t>
            </w:r>
          </w:p>
        </w:tc>
        <w:tc>
          <w:tcPr>
            <w:tcW w:w="39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</w:t>
            </w:r>
          </w:p>
        </w:tc>
        <w:tc>
          <w:tcPr>
            <w:tcW w:w="39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</w:t>
            </w:r>
          </w:p>
        </w:tc>
        <w:tc>
          <w:tcPr>
            <w:tcW w:w="78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Nível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Tratamento</w:t>
            </w:r>
          </w:p>
        </w:tc>
        <w:tc>
          <w:tcPr>
            <w:tcW w:w="167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  <w:tc>
          <w:tcPr>
            <w:tcW w:w="118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Prazo</w:t>
            </w:r>
          </w:p>
        </w:tc>
      </w:tr>
      <w:tr>
        <w:trPr>
          <w:cantSplit/>
          <w:jc w:val="center"/>
        </w:trPr>
        <w:tc>
          <w:tcPr>
            <w:tcW w:w="49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0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87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67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1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  <w:tr>
        <w:trPr>
          <w:cantSplit/>
          <w:jc w:val="center"/>
        </w:trPr>
        <w:tc>
          <w:tcPr>
            <w:tcW w:w="49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08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87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6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18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  <w:tr>
        <w:trPr>
          <w:cantSplit/>
          <w:jc w:val="center"/>
        </w:trPr>
        <w:tc>
          <w:tcPr>
            <w:tcW w:w="49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0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87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67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1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  <w:tr>
        <w:trPr>
          <w:cantSplit/>
          <w:jc w:val="center"/>
        </w:trPr>
        <w:tc>
          <w:tcPr>
            <w:tcW w:w="49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08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87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39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6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118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</w:tbl>
    <w:p>
      <w:pPr>
        <w:spacing w:after="0"/>
      </w:pPr>
    </w:p>
    <w:p>
      <w:pPr>
        <w:pStyle w:val="Ttulo1"/>
      </w:pPr>
      <w:r>
        <w:t xml:space="preserve">GESTÃO DE MUDANÇAS</w:t>
      </w:r>
    </w:p>
    <w:p>
      <w:pPr>
        <w:pStyle w:val="CorpoPCMD"/>
      </w:pPr>
      <w:r>
        <w:t xml:space="preserve">Toda mudança que afete um ativo passa por análise antes de ser feita: novo equipamento, alteração de projeto, troca de peça por similar, mudança de parâmetro ou de procedimento.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6116"/>
        <w:gridCol w:w="1972"/>
      </w:tblGrid>
      <w:tr>
        <w:trPr>
          <w:cantSplit/>
          <w:tblHeader/>
          <w:jc w:val="center"/>
        </w:trPr>
        <w:tc>
          <w:tcPr>
            <w:tcW w:w="177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611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 que fazer</w:t>
            </w:r>
          </w:p>
        </w:tc>
        <w:tc>
          <w:tcPr>
            <w:tcW w:w="197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  Pedido</w:t>
            </w:r>
          </w:p>
        </w:tc>
        <w:tc>
          <w:tcPr>
            <w:tcW w:w="61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Descrever a mudança, o motivo e o ativo (TAG).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[Solicitante]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2  Análise</w:t>
            </w:r>
          </w:p>
        </w:tc>
        <w:tc>
          <w:tcPr>
            <w:tcW w:w="611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Avaliar segurança, qualidade, custo, peças, treinamento e documentos afetados.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[Engenharia]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3  Aprovação</w:t>
            </w:r>
          </w:p>
        </w:tc>
        <w:tc>
          <w:tcPr>
            <w:tcW w:w="61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Decidir com base no risco; mudança de segurança exige </w:t>
            </w:r>
            <w:r>
              <w:rPr>
                <w:color w:val="4A5668"/>
              </w:rPr>
              <w:t xml:space="preserve">[direção]</w:t>
            </w:r>
            <w:r>
              <w:t xml:space="preserve">.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[Gerente]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4  Implantação</w:t>
            </w:r>
          </w:p>
        </w:tc>
        <w:tc>
          <w:tcPr>
            <w:tcW w:w="611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Executar, atualizar cadastro, plano e procedimentos, treinar a equipe.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5  Verificação</w:t>
            </w:r>
          </w:p>
        </w:tc>
        <w:tc>
          <w:tcPr>
            <w:tcW w:w="61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Conferir se o resultado esperado foi atingido e encerrar o registro.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[Engenharia]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CICLO DE VIDA DOS ATIVOS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4932"/>
        <w:gridCol w:w="2959"/>
      </w:tblGrid>
      <w:tr>
        <w:trPr>
          <w:cantSplit/>
          <w:tblHeader/>
          <w:jc w:val="center"/>
        </w:trPr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 que decidir</w:t>
            </w:r>
          </w:p>
        </w:tc>
        <w:tc>
          <w:tcPr>
            <w:tcW w:w="295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Registro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Necessidade e aquisição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Requisitos, custo do ciclo de vida, mantenabilidade, peças e treinamento.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[Especificação técnica, análise de compra]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Instalação e comissionamento</w:t>
            </w: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Testes de aceitação, cadastro (TAG), plano de manutenção inicial.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[Termo de aceite, cadastro]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Operação e manutenção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Estratégia por criticidade, planos, programação, execução e análise de falhas.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PCM-MAN-002 a 011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Modernização</w:t>
            </w: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Reformar, modernizar ou substituir, comparando risco e custo.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[Estudo técnico-econômico]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Desativação e alienação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Retirada segura, descarte ambiental, baixa contábil e do cadastro.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[Termo de baixa]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PLANEJAMENTO E CONTROLE DA MANUTENÇÃO</w:t>
      </w:r>
    </w:p>
    <w:p>
      <w:pPr>
        <w:pStyle w:val="CorpoPCMD"/>
      </w:pPr>
      <w:r>
        <w:t xml:space="preserve">A estratégia de manutenção está no PCM-MAN-019. O controle é feito com os modelos PCM Direto: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959"/>
        <w:gridCol w:w="5327"/>
      </w:tblGrid>
      <w:tr>
        <w:trPr>
          <w:cantSplit/>
          <w:tblHeader/>
          <w:jc w:val="center"/>
        </w:trPr>
        <w:tc>
          <w:tcPr>
            <w:tcW w:w="157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Código</w:t>
            </w:r>
          </w:p>
        </w:tc>
        <w:tc>
          <w:tcPr>
            <w:tcW w:w="295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Modelo</w:t>
            </w:r>
          </w:p>
        </w:tc>
        <w:tc>
          <w:tcPr>
            <w:tcW w:w="532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Uso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PCM-MAN-001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Controle documental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Lista mestra, revisões e distribuição dos documentos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PCM-MAN-002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Criticidade, MFMEA e plano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Classificação A/B/C, modos de falha, plano e cronograma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PCM-MAN-003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Planner de manutenção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Programação semanal, mensal e anual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PCM-MAN-004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Ordens de serviço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Pedido, planejamento, execução e fechamento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PCM-MAN-005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Checklist de preventiva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Execução item a item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PCM-MAN-006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Passagem de turno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Segurança, paradas e pendências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PCM-MAN-007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Segurança no trabalho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Permissão, bloqueio e etiqueta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PCM-MAN-008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Falhas e Pareto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Registro de falhas e maiores perdas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PCM-MAN-009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Ação corretiva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Contenção, causa raiz e eficácia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PCM-MAN-010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Estoque e peças críticas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Mínimos, movimentos e reservas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PCM-MAN-011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Indicadores mensais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MTBF, MTTR, disponibilidade e % corretiva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PCM-MAN-012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Orçamento e custos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Orçado x realizado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PCM-MAN-013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Auditorias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Avaliação da gestão da manutenção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PCM-MAN-014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Manutenção autônoma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Check do operador, etiquetas e quadro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PCM-MAN-015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Auditoria 5S e melhorias</w:t>
            </w:r>
          </w:p>
        </w:tc>
        <w:tc>
          <w:tcPr>
            <w:tcW w:w="53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Placar 5S e antes e depois</w:t>
            </w:r>
          </w:p>
        </w:tc>
      </w:tr>
      <w:tr>
        <w:trPr>
          <w:cantSplit/>
          <w:jc w:val="center"/>
        </w:trPr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PCM-MAN-016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POP e lição de um ponto</w:t>
            </w:r>
          </w:p>
        </w:tc>
        <w:tc>
          <w:tcPr>
            <w:tcW w:w="532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Padronização e treinamento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TERCEIROS E CONTRATADOS</w:t>
      </w:r>
    </w:p>
    <w:p>
      <w:pPr>
        <w:pStyle w:val="CorpoPCMD"/>
      </w:pPr>
      <w:r>
        <w:t xml:space="preserve">Terceiros que atuam nos ativos seguem os mesmos requisitos de segurança e de registro das equipes próprias.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4932"/>
        <w:gridCol w:w="2367"/>
      </w:tblGrid>
      <w:tr>
        <w:trPr>
          <w:cantSplit/>
          <w:tblHeader/>
          <w:jc w:val="center"/>
        </w:trPr>
        <w:tc>
          <w:tcPr>
            <w:tcW w:w="256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Requisito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Como se garante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Registro</w:t>
            </w:r>
          </w:p>
        </w:tc>
      </w:tr>
      <w:tr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Integração de segurança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Treinamento antes da primeira entrada na planta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[Lista de presença]</w:t>
            </w:r>
          </w:p>
        </w:tc>
      </w:tr>
      <w:tr>
        <w:trPr>
          <w:cantSplit/>
          <w:jc w:val="center"/>
        </w:trPr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Qualificação</w:t>
            </w: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Certificados e treinamentos exigidos (NR-10, NR-35 etc.)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 do contratado]</w:t>
            </w:r>
          </w:p>
        </w:tc>
      </w:tr>
      <w:tr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Permissão de trabalho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 atividade de risco com permissão e bloqueio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PCM-MAN-007</w:t>
            </w:r>
          </w:p>
        </w:tc>
      </w:tr>
      <w:tr>
        <w:trPr>
          <w:cantSplit/>
          <w:jc w:val="center"/>
        </w:trPr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Execução e registro</w:t>
            </w: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aberta e fechada, com relatório do serviço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PCM-MAN-004</w:t>
            </w:r>
          </w:p>
        </w:tc>
      </w:tr>
      <w:tr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Avaliação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Nota por prazo, qualidade e segurança após cada serviço relevante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[Ficha de avaliação]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INFORMAÇÃO E DOCUMENTOS</w:t>
      </w:r>
    </w:p>
    <w:p>
      <w:pPr>
        <w:pStyle w:val="CorpoPCMD"/>
      </w:pPr>
      <w:r>
        <w:t xml:space="preserve">Documentos e registros seguem o controle documental (PCM-MAN-001): código, revisão, aprovação e distribuição. Registros de manutenção são guardados por </w:t>
      </w:r>
      <w:r>
        <w:rPr>
          <w:color w:val="4A5668"/>
        </w:rPr>
        <w:t xml:space="preserve">[5 anos]</w:t>
      </w:r>
      <w:r>
        <w:t xml:space="preserve"> ou pelo prazo legal, se maior.</w:t>
      </w:r>
    </w:p>
    <w:p>
      <w:pPr>
        <w:pStyle w:val="Ttulo1"/>
      </w:pPr>
      <w:r>
        <w:t xml:space="preserve">COMPETÊNCIA E TREINAMENTO</w:t>
      </w:r>
    </w:p>
    <w:p>
      <w:pPr>
        <w:pStyle w:val="CorpoPCMD"/>
      </w:pPr>
      <w:r>
        <w:t xml:space="preserve">Cada função tem as competências mínimas definidas. Quem não tem o treinamento não executa a atividade. Lições de um ponto (PCM-MAN-016) treinam no posto de trabalho.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5524"/>
        <w:gridCol w:w="1973"/>
      </w:tblGrid>
      <w:tr>
        <w:trPr>
          <w:cantSplit/>
          <w:tblHeader/>
          <w:jc w:val="center"/>
        </w:trPr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Função</w:t>
            </w:r>
          </w:p>
        </w:tc>
        <w:tc>
          <w:tcPr>
            <w:tcW w:w="552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Competências e treinamentos exigidos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Reciclagem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Técnico mecânico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[Leitura de desenho, lubrificação, alinhamento, NR-12]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[12 meses]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Técnico eletricista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[NR-10, comandos, inversores, CLP]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[24 meses]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Planejador (PCM)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[Cadastro, MFMEA, programação, indicadores]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[12 meses]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Operador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[Manutenção autônoma, bloqueio, NR-12]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[12 meses]</w:t>
            </w:r>
          </w:p>
        </w:tc>
      </w:tr>
    </w:tbl>
    <w:p>
      <w:pPr>
        <w:spacing w:after="0"/>
      </w:pPr>
    </w:p>
    <w:p>
      <w:pPr>
        <w:pStyle w:val="CorpoPCMD"/>
      </w:pPr>
      <w:r>
        <w:t xml:space="preserve">A matriz com o nome de cada pessoa e a data de cada treinamento é mantida pelo </w:t>
      </w:r>
      <w:r>
        <w:rPr>
          <w:color w:val="4A5668"/>
        </w:rPr>
        <w:t xml:space="preserve">[RH / PCM]</w:t>
      </w:r>
      <w:r>
        <w:t xml:space="preserve">.</w:t>
      </w:r>
    </w:p>
    <w:p>
      <w:pPr>
        <w:pStyle w:val="Ttulo1"/>
      </w:pPr>
      <w:r>
        <w:t xml:space="preserve">AVALIAÇÃO DE DESEMPENHO</w:t>
      </w:r>
    </w:p>
    <w:p>
      <w:pPr>
        <w:pStyle w:val="Commarcadores"/>
      </w:pPr>
      <w:r>
        <w:t xml:space="preserve">Indicadores mensais analisados na reunião de </w:t>
      </w:r>
      <w:r>
        <w:rPr>
          <w:color w:val="4A5668"/>
        </w:rPr>
        <w:t xml:space="preserve">[resultados da manutenção]</w:t>
      </w:r>
      <w:r>
        <w:t xml:space="preserve"> (PCM-MAN-011).</w:t>
      </w:r>
    </w:p>
    <w:p>
      <w:pPr>
        <w:pStyle w:val="Commarcadores"/>
      </w:pPr>
      <w:r>
        <w:t xml:space="preserve">Auditoria interna da gestão da manutenção </w:t>
      </w:r>
      <w:r>
        <w:rPr>
          <w:color w:val="4A5668"/>
        </w:rPr>
        <w:t xml:space="preserve">[anual]</w:t>
      </w:r>
      <w:r>
        <w:t xml:space="preserve"> (PCM-MAN-013).</w:t>
      </w:r>
    </w:p>
    <w:p>
      <w:pPr>
        <w:pStyle w:val="Ttulo2"/>
      </w:pPr>
      <w:r>
        <w:t xml:space="preserve">Análise crítica pela direção</w:t>
      </w:r>
    </w:p>
    <w:p>
      <w:pPr>
        <w:pStyle w:val="CorpoPCMD"/>
      </w:pPr>
      <w:r>
        <w:t xml:space="preserve">Realizada </w:t>
      </w:r>
      <w:r>
        <w:rPr>
          <w:color w:val="4A5668"/>
        </w:rPr>
        <w:t xml:space="preserve">[uma vez por ano]</w:t>
      </w:r>
      <w:r>
        <w:t xml:space="preserve">, registrada em ata: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>
        <w:trPr>
          <w:cantSplit/>
          <w:tblHeader/>
          <w:jc w:val="center"/>
        </w:trPr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Entradas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Saídas (decisões)</w:t>
            </w:r>
          </w:p>
        </w:tc>
      </w:tr>
      <w:tr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Desempenho dos indicadores e metas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Ajuste de metas e prioridades</w:t>
            </w:r>
          </w:p>
        </w:tc>
      </w:tr>
      <w:tr>
        <w:trPr>
          <w:cantSplit/>
          <w:jc w:val="center"/>
        </w:trPr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Resultado das auditorias e ações corretivas</w:t>
            </w: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Recursos e orçamento aprovados</w:t>
            </w:r>
          </w:p>
        </w:tc>
      </w:tr>
      <w:tr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Riscos e oportunidades, mudanças relevantes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Mudanças na política ou nos objetivos</w:t>
            </w:r>
          </w:p>
        </w:tc>
      </w:tr>
      <w:tr>
        <w:trPr>
          <w:cantSplit/>
          <w:jc w:val="center"/>
        </w:trPr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Custos do ciclo de vida e do orçamento</w:t>
            </w: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Ações de melhoria com responsável e prazo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MELHORIA CONTÍNUA</w:t>
      </w:r>
    </w:p>
    <w:p>
      <w:pPr>
        <w:pStyle w:val="CorpoPCMD"/>
      </w:pPr>
      <w:r>
        <w:t xml:space="preserve">Desvios, falhas repetidas e constatações de auditoria geram ação corretiva (PCM-MAN-009), com contenção, causa raiz e verificação da eficácia. Melhorias são registradas e padronizadas (PCM-MAN-015 e 016).</w:t>
      </w:r>
    </w:p>
    <w:p>
      <w:pPr>
        <w:pStyle w:val="Ttulo1"/>
      </w:pPr>
      <w:r>
        <w:t xml:space="preserve">REVISÃO DESTE MANUAL</w:t>
      </w:r>
    </w:p>
    <w:p>
      <w:pPr>
        <w:pStyle w:val="CorpoPCMD"/>
      </w:pPr>
      <w:r>
        <w:t xml:space="preserve">Revise a cada 12 meses ou antes, quando mudar o processo, a legislação, a estrutura ou depois de um incidente relevante.</w:t>
      </w:r>
    </w:p>
    <w:p>
      <w:pPr>
        <w:pStyle w:val="Ttulo1"/>
      </w:pPr>
      <w:r>
        <w:t xml:space="preserve">REGISTROS E ANEXOS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452"/>
        <w:gridCol w:w="3946"/>
        <w:gridCol w:w="2466"/>
      </w:tblGrid>
      <w:tr>
        <w:trPr>
          <w:cantSplit/>
          <w:tblHeader/>
          <w:jc w:val="center"/>
        </w:trPr>
        <w:tc>
          <w:tcPr>
            <w:tcW w:w="345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Registro ou anexo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armazenamento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Atas de análise crítica e relatórios de indicadores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 ou sistema]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Registros dos modelos PCM Direto citados neste manual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 ou sistema]</w:t>
            </w: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HISTÓRICO DE REVISÕES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282"/>
        <w:gridCol w:w="4932"/>
        <w:gridCol w:w="2466"/>
      </w:tblGrid>
      <w:tr>
        <w:trPr>
          <w:cantSplit/>
          <w:tblHeader/>
          <w:jc w:val="center"/>
        </w:trPr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Revisão</w:t>
            </w:r>
          </w:p>
        </w:tc>
        <w:tc>
          <w:tcPr>
            <w:tcW w:w="128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Descrição da alteração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00</w:t>
            </w:r>
          </w:p>
        </w:tc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A definir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Emissão inicial.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</w:tbl>
    <w:p>
      <w:pPr>
        <w:spacing w:after="0"/>
      </w:pPr>
    </w:p>
    <w:sectPr w:rsidR="006444D5" w:rsidSect="005E30B9">
      <w:headerReference w:type="default" r:id="rId9"/>
      <w:footerReference w:type="default" r:id="rId10"/>
      <w:pgSz w:w="11906" w:h="16838" w:code="9"/>
      <w:pgMar w:top="1304" w:right="1021" w:bottom="1134" w:left="102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E23F" w14:textId="77777777" w:rsidR="00560059" w:rsidRDefault="00560059">
      <w:pPr>
        <w:spacing w:after="0" w:line="240" w:lineRule="auto"/>
      </w:pPr>
      <w:r>
        <w:separator/>
      </w:r>
    </w:p>
  </w:endnote>
  <w:endnote w:type="continuationSeparator" w:id="0">
    <w:p w14:paraId="688FDAA7" w14:textId="77777777" w:rsidR="00560059" w:rsidRDefault="0056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97" w:type="dxa"/>
      <w:tblInd w:w="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700"/>
      <w:gridCol w:w="2597"/>
    </w:tblGrid>
    <w:tr w:rsidR="006444D5" w14:paraId="35968896" w14:textId="77777777" w:rsidTr="001300BE">
      <w:tc>
        <w:tcPr>
          <w:tcW w:w="6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E2EB6F" w14:textId="59860141" w:rsidR="006444D5" w:rsidRDefault="00ED6D3A">
          <w:pPr>
            <w:pStyle w:val="RodapPCMD"/>
          </w:pPr>
          <w:r>
            <w:t xml:space="preserve">PCM </w:t>
          </w:r>
          <w:proofErr w:type="gramStart"/>
          <w:r>
            <w:t>Direto  ·</w:t>
          </w:r>
          <w:proofErr w:type="gramEnd"/>
          <w:r>
            <w:t xml:space="preserve">  </w:t>
          </w:r>
          <w:sdt>
            <w:sdtPr>
              <w:alias w:val="codigo"/>
              <w:tag w:val="codigo"/>
              <w:id w:val="107"/>
              <w:dataBinding w:prefixMappings="xmlns:pcm='urn:pcm-direto:documento:1'" w:xpath="/pcm:documento[1]/pcm:codigo[1]" w:storeItemID="{AB496642-2582-4D65-BBFF-722B9D4F9128}"/>
              <w:text/>
            </w:sdtPr>
            <w:sdtContent>
              <w:r>
                <w:t>PCM-MAN-018</w:t>
              </w:r>
            </w:sdtContent>
          </w:sdt>
          <w:r>
            <w:t xml:space="preserve">  ·  Rev. </w:t>
          </w:r>
          <w:sdt>
            <w:sdtPr>
              <w:alias w:val="revisao"/>
              <w:tag w:val="revisao"/>
              <w:id w:val="108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t>00</w:t>
              </w:r>
            </w:sdtContent>
          </w:sdt>
          <w:r>
            <w:t xml:space="preserve">  ·  </w:t>
          </w:r>
          <w:sdt>
            <w:sdtPr>
              <w:alias w:val="data"/>
              <w:tag w:val="data"/>
              <w:id w:val="109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t>A definir</w:t>
              </w:r>
            </w:sdtContent>
          </w:sdt>
          <w:r>
            <w:t xml:space="preserve">  ·  Cópia impressa não controlada</w:t>
          </w:r>
        </w:p>
      </w:tc>
      <w:tc>
        <w:tcPr>
          <w:tcW w:w="259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F6EB805" w14:textId="0F5629ED" w:rsidR="006444D5" w:rsidRDefault="00ED6D3A">
          <w:pPr>
            <w:pStyle w:val="RodapPCMD"/>
            <w:jc w:val="right"/>
          </w:pPr>
          <w:r>
            <w:rPr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6B02A421" w14:textId="7BB80879" w:rsidR="006444D5" w:rsidRDefault="001300BE" w:rsidP="005E30B9">
    <w:pP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5B8E360" wp14:editId="5DF2342F">
              <wp:simplePos x="0" y="0"/>
              <wp:positionH relativeFrom="margin">
                <wp:align>left</wp:align>
              </wp:positionH>
              <wp:positionV relativeFrom="paragraph">
                <wp:posOffset>-255269</wp:posOffset>
              </wp:positionV>
              <wp:extent cx="6263640" cy="45719"/>
              <wp:effectExtent l="0" t="0" r="0" b="0"/>
              <wp:wrapNone/>
              <wp:docPr id="2" name="Shape 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63640" cy="45719"/>
                      </a:xfrm>
                      <a:prstGeom prst="rect">
                        <a:avLst/>
                      </a:prstGeom>
                      <a:solidFill>
                        <a:srgbClr val="E2701F"/>
                      </a:solidFill>
                      <a:ln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2E361" id="Shape 0" o:spid="_x0000_s1026" style="position:absolute;margin-left:0;margin-top:-20.1pt;width:493.2pt;height:3.6pt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" fillcolor="#e2701f" stroked="f">
              <w10:wrap anchorx="margin"/>
            </v:rect>
          </w:pict>
        </mc:Fallback>
      </mc:AlternateContent>
    </w:r>
    <w:r w:rsidR="004E55E6">
      <w:rPr>
        <w:noProof/>
      </w:rPr>
      <w:drawing>
        <wp:anchor distT="0" distB="0" distL="114300" distR="114300" simplePos="0" relativeHeight="251671552" behindDoc="0" locked="0" layoutInCell="1" allowOverlap="1" wp14:anchorId="4B6F40A6" wp14:editId="141EA25C">
          <wp:simplePos x="0" y="0"/>
          <wp:positionH relativeFrom="margin">
            <wp:posOffset>78105</wp:posOffset>
          </wp:positionH>
          <wp:positionV relativeFrom="paragraph">
            <wp:posOffset>-160210</wp:posOffset>
          </wp:positionV>
          <wp:extent cx="179705" cy="179705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7EF93" w14:textId="77777777" w:rsidR="00560059" w:rsidRDefault="00560059">
      <w:pPr>
        <w:spacing w:after="0" w:line="240" w:lineRule="auto"/>
      </w:pPr>
      <w:r>
        <w:separator/>
      </w:r>
    </w:p>
  </w:footnote>
  <w:footnote w:type="continuationSeparator" w:id="0">
    <w:p w14:paraId="62435CBD" w14:textId="77777777" w:rsidR="00560059" w:rsidRDefault="0056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30"/>
      <w:gridCol w:w="5804"/>
      <w:gridCol w:w="2030"/>
    </w:tblGrid>
    <w:tr w:rsidR="006639E2" w:rsidRPr="006639E2" w14:paraId="5777CE05" w14:textId="77777777" w:rsidTr="001300BE">
      <w:trPr>
        <w:trHeight w:val="139"/>
      </w:trPr>
      <w:tc>
        <w:tcPr>
          <w:tcW w:w="2030" w:type="dxa"/>
          <w:tcBorders>
            <w:top w:val="single" w:sz="4" w:space="0" w:color="162855"/>
            <w:left w:val="single" w:sz="4" w:space="0" w:color="162855"/>
            <w:bottom w:val="single" w:sz="4" w:space="0" w:color="162855"/>
            <w:right w:val="single" w:sz="4" w:space="0" w:color="FFFFFF" w:themeColor="background1"/>
          </w:tcBorders>
          <w:shd w:val="clear" w:color="auto" w:fill="162855"/>
          <w:tcMar>
            <w:top w:w="100" w:type="dxa"/>
            <w:left w:w="220" w:type="dxa"/>
            <w:bottom w:w="100" w:type="dxa"/>
            <w:right w:w="160" w:type="dxa"/>
          </w:tcMar>
          <w:vAlign w:val="center"/>
        </w:tcPr>
        <w:p w14:paraId="04F041B1" w14:textId="77777777" w:rsidR="006639E2" w:rsidRPr="00945E7F" w:rsidRDefault="006639E2" w:rsidP="00F040AC">
          <w:pPr>
            <w:spacing w:after="0"/>
            <w:ind w:left="708"/>
            <w:rPr>
              <w:rFonts w:ascii="Arial Black" w:eastAsia="Arial Black" w:hAnsi="Arial Black" w:cs="Arial Black"/>
              <w:color w:val="FFFFFF"/>
              <w:sz w:val="27"/>
              <w:szCs w:val="27"/>
            </w:rPr>
          </w:pP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2A2783D0" wp14:editId="5BD224B8">
                <wp:simplePos x="0" y="0"/>
                <wp:positionH relativeFrom="column">
                  <wp:posOffset>-109855</wp:posOffset>
                </wp:positionH>
                <wp:positionV relativeFrom="paragraph">
                  <wp:posOffset>-32385</wp:posOffset>
                </wp:positionV>
                <wp:extent cx="1206500" cy="359410"/>
                <wp:effectExtent l="0" t="0" r="0" b="0"/>
                <wp:wrapNone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650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04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FFFFFF" w:themeColor="background1"/>
          </w:tcBorders>
          <w:shd w:val="clear" w:color="auto" w:fill="162855"/>
          <w:vAlign w:val="center"/>
        </w:tcPr>
        <w:p w14:paraId="1014DFD9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2"/>
            </w:rPr>
          </w:pPr>
          <w:sdt>
            <w:sdtPr>
              <w:alias w:val="titulo"/>
              <w:tag w:val="titulo"/>
              <w:id w:val="201"/>
              <w:dataBinding w:prefixMappings="xmlns:pcm='urn:pcm-direto:documento:1'" w:xpath="/pcm:documento[1]/pcm:titul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22"/>
                </w:rPr>
                <w:t>Manual de gestão de ativos</w:t>
              </w:r>
            </w:sdtContent>
          </w:sdt>
        </w:p>
      </w:tc>
      <w:tc>
        <w:tcPr>
          <w:tcW w:w="2030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0F1D3D"/>
          </w:tcBorders>
          <w:shd w:val="clear" w:color="auto" w:fill="162855"/>
          <w:vAlign w:val="center"/>
        </w:tcPr>
        <w:p w14:paraId="0BDC3252" w14:textId="77777777" w:rsidR="006639E2" w:rsidRPr="00F040AC" w:rsidRDefault="006639E2" w:rsidP="00F040AC">
          <w:pPr>
            <w:spacing w:after="0"/>
            <w:jc w:val="center"/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Rev. </w:t>
          </w:r>
          <w:sdt>
            <w:sdtPr>
              <w:alias w:val="revisao"/>
              <w:tag w:val="revisao"/>
              <w:id w:val="202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00</w:t>
              </w:r>
            </w:sdtContent>
          </w:sdt>
        </w:p>
        <w:p w14:paraId="198326E5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4"/>
              <w:szCs w:val="24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Data: </w:t>
          </w:r>
          <w:sdt>
            <w:sdtPr>
              <w:alias w:val="data"/>
              <w:tag w:val="data"/>
              <w:id w:val="203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A definir</w:t>
              </w:r>
            </w:sdtContent>
          </w:sdt>
        </w:p>
      </w:tc>
    </w:tr>
  </w:tbl>
  <w:p w14:paraId="3B4C8B04" w14:textId="59210991" w:rsidR="00407D4C" w:rsidRDefault="00407D4C" w:rsidP="00F040AC"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3C1D20"/>
    <w:multiLevelType w:val="multilevel"/>
    <w:tmpl w:val="7B2E4C20"/>
    <w:lvl w:ilvl="0">
      <w:start w:val="1"/>
      <w:numFmt w:val="decimal"/>
      <w:pStyle w:val="Ttulo1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54"/>
        </w:tabs>
        <w:ind w:left="454" w:hanging="454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680"/>
        </w:tabs>
        <w:ind w:left="680" w:hanging="680"/>
      </w:p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0BE"/>
    <w:rsid w:val="0015074B"/>
    <w:rsid w:val="001671B9"/>
    <w:rsid w:val="0029639D"/>
    <w:rsid w:val="002B7B27"/>
    <w:rsid w:val="00326F90"/>
    <w:rsid w:val="00407D4C"/>
    <w:rsid w:val="004978DB"/>
    <w:rsid w:val="004E55E6"/>
    <w:rsid w:val="00560059"/>
    <w:rsid w:val="005E30B9"/>
    <w:rsid w:val="006444D5"/>
    <w:rsid w:val="006639E2"/>
    <w:rsid w:val="0096601F"/>
    <w:rsid w:val="00AA1D8D"/>
    <w:rsid w:val="00AE558C"/>
    <w:rsid w:val="00B47730"/>
    <w:rsid w:val="00B93FBD"/>
    <w:rsid w:val="00CB0664"/>
    <w:rsid w:val="00ED6D3A"/>
    <w:rsid w:val="00F040AC"/>
    <w:rsid w:val="00F51B73"/>
    <w:rsid w:val="00F70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B7E207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left"/>
    </w:pPr>
    <w:rPr>
      <w:rFonts w:ascii="Arial" w:eastAsia="Arial" w:hAnsi="Arial" w:cs="Arial"/>
      <w:color w:val="0E1726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20"/>
      </w:numPr>
      <w:spacing w:before="240"/>
      <w:jc w:val="left"/>
      <w:outlineLvl w:val="0"/>
    </w:pPr>
    <w:rPr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40"/>
      <w:jc w:val="left"/>
      <w:outlineLvl w:val="1"/>
    </w:pPr>
    <w:rPr>
      <w:b/>
      <w:bCs/>
      <w:color w:val="0B2A5B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5142D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B2A5B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81F44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contextualSpacing/>
    </w:pPr>
    <w:rPr>
      <w:b/>
      <w:color w:val="000000"/>
      <w:spacing w:val="5"/>
      <w:kern w:val="28"/>
      <w:sz w:val="2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81F44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5142D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B2A5B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B2A5B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0B2A5B" w:themeColor="accent1"/>
      </w:pBdr>
      <w:spacing w:before="200" w:after="280"/>
      <w:ind w:left="936" w:right="936"/>
    </w:pPr>
    <w:rPr>
      <w:b/>
      <w:bCs/>
      <w:i/>
      <w:iCs/>
      <w:color w:val="0B2A5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B2A5B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B2A5B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E2701F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E2701F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81F44" w:themeColor="accent1" w:themeShade="BF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AA5316" w:themeColor="accent2" w:themeShade="BF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37404D" w:themeColor="accent3" w:themeShade="BF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1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  <w:shd w:val="clear" w:color="auto" w:fill="A4C3F4" w:themeFill="accent1" w:themeFillTint="3F"/>
      </w:tcPr>
    </w:tblStylePr>
    <w:tblStylePr w:type="band2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1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  <w:shd w:val="clear" w:color="auto" w:fill="F7DBC7" w:themeFill="accent2" w:themeFillTint="3F"/>
      </w:tcPr>
    </w:tblStylePr>
    <w:tblStylePr w:type="band2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1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  <w:shd w:val="clear" w:color="auto" w:fill="CED4DC" w:themeFill="accent3" w:themeFillTint="3F"/>
      </w:tcPr>
    </w:tblStylePr>
    <w:tblStylePr w:type="band2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C3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B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D4D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2A5B" w:themeColor="accen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shd w:val="clear" w:color="auto" w:fill="A4C3F4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701F" w:themeColor="accent2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shd w:val="clear" w:color="auto" w:fill="F7DBC7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5668" w:themeColor="accent3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shd w:val="clear" w:color="auto" w:fill="CED4DC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2A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2A5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2A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2A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C3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70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70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70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B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566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566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566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D4D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  <w:insideV w:val="single" w:sz="8" w:space="0" w:color="1653B6" w:themeColor="accent1" w:themeTint="BF"/>
      </w:tblBorders>
    </w:tblPr>
    <w:tcPr>
      <w:shd w:val="clear" w:color="auto" w:fill="A4C3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53B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  <w:insideV w:val="single" w:sz="8" w:space="0" w:color="E99357" w:themeColor="accent2" w:themeTint="BF"/>
      </w:tblBorders>
    </w:tblPr>
    <w:tcPr>
      <w:shd w:val="clear" w:color="auto" w:fill="F7DB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935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  <w:insideV w:val="single" w:sz="8" w:space="0" w:color="6D7E97" w:themeColor="accent3" w:themeTint="BF"/>
      </w:tblBorders>
    </w:tblPr>
    <w:tcPr>
      <w:shd w:val="clear" w:color="auto" w:fill="CED4D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7E9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cPr>
      <w:shd w:val="clear" w:color="auto" w:fill="A4C3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BE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CEF6" w:themeFill="accent1" w:themeFillTint="33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tcBorders>
          <w:insideH w:val="single" w:sz="6" w:space="0" w:color="0B2A5B" w:themeColor="accent1"/>
          <w:insideV w:val="single" w:sz="6" w:space="0" w:color="0B2A5B" w:themeColor="accent1"/>
        </w:tcBorders>
        <w:shd w:val="clear" w:color="auto" w:fill="4986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cPr>
      <w:shd w:val="clear" w:color="auto" w:fill="F7DB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2D2" w:themeFill="accent2" w:themeFillTint="33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tcBorders>
          <w:insideH w:val="single" w:sz="6" w:space="0" w:color="E2701F" w:themeColor="accent2"/>
          <w:insideV w:val="single" w:sz="6" w:space="0" w:color="E2701F" w:themeColor="accent2"/>
        </w:tcBorders>
        <w:shd w:val="clear" w:color="auto" w:fill="F0B7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cPr>
      <w:shd w:val="clear" w:color="auto" w:fill="CED4D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EEF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CE3" w:themeFill="accent3" w:themeFillTint="33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tcBorders>
          <w:insideH w:val="single" w:sz="6" w:space="0" w:color="4A5668" w:themeColor="accent3"/>
          <w:insideV w:val="single" w:sz="6" w:space="0" w:color="4A5668" w:themeColor="accent3"/>
        </w:tcBorders>
        <w:shd w:val="clear" w:color="auto" w:fill="9EA9B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C3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86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86E9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B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B7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B78F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D4D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A9B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A9BA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2A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142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1F4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70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37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531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566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2A3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04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B2A5B" w:themeColor="accent1"/>
        <w:bottom w:val="single" w:sz="4" w:space="0" w:color="0B2A5B" w:themeColor="accent1"/>
        <w:right w:val="single" w:sz="4" w:space="0" w:color="0B2A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1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1836" w:themeColor="accent1" w:themeShade="99"/>
          <w:insideV w:val="nil"/>
        </w:tcBorders>
        <w:shd w:val="clear" w:color="auto" w:fill="061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836" w:themeFill="accent1" w:themeFillShade="99"/>
      </w:tcPr>
    </w:tblStylePr>
    <w:tblStylePr w:type="band1Vert">
      <w:tblPr/>
      <w:tcPr>
        <w:shd w:val="clear" w:color="auto" w:fill="6D9EED" w:themeFill="accent1" w:themeFillTint="66"/>
      </w:tcPr>
    </w:tblStylePr>
    <w:tblStylePr w:type="band1Horz">
      <w:tblPr/>
      <w:tcPr>
        <w:shd w:val="clear" w:color="auto" w:fill="4986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E2701F" w:themeColor="accent2"/>
        <w:bottom w:val="single" w:sz="4" w:space="0" w:color="E2701F" w:themeColor="accent2"/>
        <w:right w:val="single" w:sz="4" w:space="0" w:color="E2701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21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211" w:themeColor="accent2" w:themeShade="99"/>
          <w:insideV w:val="nil"/>
        </w:tcBorders>
        <w:shd w:val="clear" w:color="auto" w:fill="88421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211" w:themeFill="accent2" w:themeFillShade="99"/>
      </w:tcPr>
    </w:tblStylePr>
    <w:tblStylePr w:type="band1Vert">
      <w:tblPr/>
      <w:tcPr>
        <w:shd w:val="clear" w:color="auto" w:fill="F3C5A5" w:themeFill="accent2" w:themeFillTint="66"/>
      </w:tcPr>
    </w:tblStylePr>
    <w:tblStylePr w:type="band1Horz">
      <w:tblPr/>
      <w:tcPr>
        <w:shd w:val="clear" w:color="auto" w:fill="F0B7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4A5668" w:themeColor="accent3"/>
        <w:bottom w:val="single" w:sz="4" w:space="0" w:color="4A5668" w:themeColor="accent3"/>
        <w:right w:val="single" w:sz="4" w:space="0" w:color="4A566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E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33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33E" w:themeColor="accent3" w:themeShade="99"/>
          <w:insideV w:val="nil"/>
        </w:tcBorders>
        <w:shd w:val="clear" w:color="auto" w:fill="2C333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33E" w:themeFill="accent3" w:themeFillShade="99"/>
      </w:tcPr>
    </w:tblStylePr>
    <w:tblStylePr w:type="band1Vert">
      <w:tblPr/>
      <w:tcPr>
        <w:shd w:val="clear" w:color="auto" w:fill="B1BAC7" w:themeFill="accent3" w:themeFillTint="66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5668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shd w:val="clear" w:color="auto" w:fill="B6CEF6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shd w:val="clear" w:color="auto" w:fill="F9E2D2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EE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shd w:val="clear" w:color="auto" w:fill="D8DCE3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4453" w:themeFill="accent3" w:themeFillShade="CC"/>
      </w:tcPr>
    </w:tblStylePr>
    <w:tblStylePr w:type="lastRow">
      <w:rPr>
        <w:b/>
        <w:bCs/>
        <w:color w:val="3B445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CEF6" w:themeFill="accent1" w:themeFillTint="33"/>
    </w:tcPr>
    <w:tblStylePr w:type="firstRow">
      <w:rPr>
        <w:b/>
        <w:bCs/>
      </w:rPr>
      <w:tblPr/>
      <w:tcPr>
        <w:shd w:val="clear" w:color="auto" w:fill="6D9E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9E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2D2" w:themeFill="accent2" w:themeFillTint="33"/>
    </w:tcPr>
    <w:tblStylePr w:type="firstRow">
      <w:rPr>
        <w:b/>
        <w:bCs/>
      </w:rPr>
      <w:tblPr/>
      <w:tcPr>
        <w:shd w:val="clear" w:color="auto" w:fill="F3C5A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C5A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CE3" w:themeFill="accent3" w:themeFillTint="33"/>
    </w:tcPr>
    <w:tblStylePr w:type="firstRow">
      <w:rPr>
        <w:b/>
        <w:bCs/>
      </w:rPr>
      <w:tblPr/>
      <w:tcPr>
        <w:shd w:val="clear" w:color="auto" w:fill="B1BAC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BAC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sz w:val="19"/>
    </w:rPr>
  </w:style>
  <w:style w:type="paragraph" w:customStyle="1" w:styleId="TabelaPCMD">
    <w:name w:val="Tabela PCMD"/>
    <w:basedOn w:val="Normal"/>
    <w:pPr>
      <w:spacing w:after="0" w:line="269" w:lineRule="auto"/>
      <w:jc w:val="left"/>
    </w:pPr>
    <w:rPr>
      <w:sz w:val="19"/>
    </w:rPr>
  </w:style>
  <w:style w:type="paragraph" w:customStyle="1" w:styleId="CorpoPCMD">
    <w:name w:val="Corpo PCMD"/>
    <w:basedOn w:val="Normal"/>
  </w:style>
  <w:style w:type="paragraph" w:customStyle="1" w:styleId="MetadadosPCMD">
    <w:name w:val="Metadados PCMD"/>
    <w:basedOn w:val="Normal"/>
    <w:pPr>
      <w:spacing w:after="0" w:line="252" w:lineRule="auto"/>
    </w:pPr>
    <w:rPr>
      <w:color w:val="4A5668"/>
      <w:sz w:val="16"/>
    </w:rPr>
  </w:style>
  <w:style w:type="paragraph" w:customStyle="1" w:styleId="RodapPCMD">
    <w:name w:val="Rodapé PCMD"/>
    <w:basedOn w:val="Normal"/>
    <w:pPr>
      <w:spacing w:after="0" w:line="252" w:lineRule="auto"/>
    </w:pPr>
    <w:rPr>
      <w:color w:val="4A5668"/>
      <w:sz w:val="15"/>
    </w:rPr>
  </w:style>
  <w:style w:type="paragraph" w:customStyle="1" w:styleId="TabelaTextoPCMD">
    <w:name w:val="Tabela Texto PCMD"/>
  </w:style>
  <w:style w:type="character" w:styleId="TextodoEspaoReservado">
    <w:name w:val="Placeholder Text"/>
    <w:basedOn w:val="Fontepargpadro"/>
    <w:uiPriority w:val="99"/>
    <w:semiHidden/>
    <w:rsid w:val="00F704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cm:documento xmlns:pcm="urn:pcm-direto:documento:1">
  <pcm:titulo>Manual de gestão de ativos</pcm:titulo>
  <pcm:codigo>PCM-MAN-018</pcm:codigo>
  <pcm:revisao>00</pcm:revisao>
  <pcm:data>A definir</pcm:data>
  <pcm:elaborado>A definir</pcm:elaborado>
  <pcm:aprovado>A definir</pcm:aprovado>
  <pcm:organizacao>A definir</pcm:organizacao>
  <pcm:situacao>Em elaboração</pcm:situacao>
</pcm:documento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96642-2582-4D65-BBFF-722B9D4F9128}">
  <ds:schemaRefs>
    <ds:schemaRef ds:uri="urn:pcm-direto:documento:1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240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padrão de documento PCM Direto</vt:lpstr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gestão de ativos</dc:title>
  <dc:subject>Modelo para procedimentos e documentos de manutenção</dc:subject>
  <dc:creator>PCM Direto</dc:creator>
  <cp:keywords>PCM Direto, procedimento, modelo, TAG</cp:keywords>
  <dc:description>generated by python-docx</dc:description>
  <cp:lastModifiedBy>PCM Direto</cp:lastModifiedBy>
  <cp:revision>3</cp:revision>
  <dcterms:created xsi:type="dcterms:W3CDTF">2026-10-27T22:19:00Z</dcterms:created>
  <dcterms:modified xsi:type="dcterms:W3CDTF">2026-10-27T22:41:00Z</dcterms:modified>
  <cp:category/>
</cp:coreProperties>
</file>