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432"/>
        <w:gridCol w:w="1500"/>
        <w:gridCol w:w="3432"/>
      </w:tblGrid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Código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codigo"/>
                <w:tag w:val="codigo"/>
                <w:id w:val="301"/>
                <w:dataBinding w:prefixMappings="xmlns:pcm='urn:pcm-direto:documento:1'" w:xpath="/pcm:documento[1]/pcm:codig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PCM-MAN-017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Organização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organizacao"/>
                <w:tag w:val="organizacao"/>
                <w:id w:val="305"/>
                <w:dataBinding w:prefixMappings="xmlns:pcm='urn:pcm-direto:documento:1'" w:xpath="/pcm:documento[1]/pcm:organizaca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Elaborado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elaborado"/>
                <w:tag w:val="elaborado"/>
                <w:id w:val="303"/>
                <w:dataBinding w:prefixMappings="xmlns:pcm='urn:pcm-direto:documento:1'" w:xpath="/pcm:documento[1]/pcm:elabor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Aprovado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aprovado"/>
                <w:tag w:val="aprovado"/>
                <w:id w:val="304"/>
                <w:dataBinding w:prefixMappings="xmlns:pcm='urn:pcm-direto:documento:1'" w:xpath="/pcm:documento[1]/pcm:aprov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</w:tbl>
    <w:p>
      <w:pPr>
        <w:spacing w:after="0" w:line="120" w:lineRule="exact"/>
      </w:pPr>
    </w:p>
    <w:p>
      <w:pPr>
        <w:pStyle w:val="Ttulo1"/>
      </w:pPr>
      <w:r>
        <w:t xml:space="preserve">OBJETIVO</w:t>
      </w:r>
    </w:p>
    <w:p>
      <w:pPr>
        <w:pStyle w:val="CorpoPCMD"/>
      </w:pPr>
      <w:r>
        <w:t xml:space="preserve">Padronizar o cálculo mensal, por ativo, de MTBF, MTTR e disponibilidade, para que todos os ativos sejam medidos pelo mesmo critério e o resultado seja registrado sempre no mesmo lugar.</w:t>
      </w:r>
    </w:p>
    <w:p>
      <w:pPr>
        <w:pStyle w:val="Ttulo1"/>
      </w:pPr>
      <w:r>
        <w:t xml:space="preserve">ESCOPO E APLICAÇÃO</w:t>
      </w:r>
    </w:p>
    <w:p>
      <w:pPr>
        <w:pStyle w:val="CorpoPCMD"/>
      </w:pPr>
      <w:r>
        <w:t xml:space="preserve">Aplica-se a: todos os ativos identificados por TAG que tenham falhas registradas e horas planejadas de operação.</w:t>
      </w:r>
    </w:p>
    <w:p>
      <w:pPr>
        <w:pStyle w:val="CorpoPCMD"/>
      </w:pPr>
      <w:r>
        <w:t xml:space="preserve">Não se aplica a: paradas programadas (preventiva, setup, falta de programação), que não entram como falha.</w:t>
      </w:r>
    </w:p>
    <w:p>
      <w:pPr>
        <w:pStyle w:val="Ttulo1"/>
      </w:pPr>
      <w:r>
        <w:t xml:space="preserve">DEFINIÇÕES E SIGLAS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Termo ou sigla</w:t>
            </w:r>
          </w:p>
        </w:tc>
        <w:tc>
          <w:tcPr>
            <w:tcW w:w="739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Definição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HP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planejadas de operação do ativo no mês, digitadas a partir do calendário de turnos (h).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HI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de indisponibilidade causadas por falhas no mês: do início ao fim da indisponibilidade, cortadas na virada do mês (h).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operadas: HP − HI (h).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Número de falhas com início no mês.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MTBF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Tempo médio entre falhas, em horas.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MTTR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Tempo médio de reparo, em horas.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Sem dado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Resultado que não pode ser calculado por falta de informação. Fica em branco e nunca vale zero.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RESPONSABILIDADES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5524"/>
        <w:gridCol w:w="2564"/>
      </w:tblGrid>
      <w:tr>
        <w:trPr>
          <w:cantSplit/>
          <w:tblHeader/>
          <w:jc w:val="center"/>
        </w:trPr>
        <w:tc>
          <w:tcPr>
            <w:tcW w:w="177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552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Responsabilidade</w:t>
            </w:r>
          </w:p>
        </w:tc>
        <w:tc>
          <w:tcPr>
            <w:tcW w:w="256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Manutenção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Registrar cada falha com data e hora de início e fim da indisponibilidade e do reparo.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Produção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Informar as horas planejadas de operação por ativo e por mês.</w:t>
            </w:r>
          </w:p>
        </w:tc>
        <w:tc>
          <w:tcPr>
            <w:tcW w:w="256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Calcular os indicadores, tratar os casos especiais e registrar o resultado.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DOCUMENTOS DE REFERÊNCIA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5129"/>
        <w:gridCol w:w="2367"/>
        <w:gridCol w:w="2368"/>
      </w:tblGrid>
      <w:tr>
        <w:trPr>
          <w:cantSplit/>
          <w:tblHeader/>
          <w:jc w:val="center"/>
        </w:trPr>
        <w:tc>
          <w:tcPr>
            <w:tcW w:w="512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Documento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Código ou versão</w:t>
            </w:r>
          </w:p>
        </w:tc>
        <w:tc>
          <w:tcPr>
            <w:tcW w:w="236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consulta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Registro de falhas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PCM-MAN-008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Indicadores mensais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PCM-MAN-011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COMPETÊNCIA E PRÉ-REQUISITOS</w:t>
      </w:r>
    </w:p>
    <w:p>
      <w:pPr>
        <w:pStyle w:val="CorpoPCMD"/>
      </w:pPr>
      <w:r>
        <w:t xml:space="preserve">Só executa este procedimento quem sabe preencher o Registro de falhas e os Indicadores mensais e foi liberado pelo PCM.</w:t>
      </w:r>
    </w:p>
    <w:p>
      <w:pPr>
        <w:pStyle w:val="Ttulo1"/>
      </w:pPr>
      <w:r>
        <w:t xml:space="preserve">DESCRIÇÃO DO PROCEDIMENTO</w:t>
      </w:r>
    </w:p>
    <w:p>
      <w:pPr>
        <w:pStyle w:val="Ttulo2"/>
      </w:pPr>
      <w:r>
        <w:t xml:space="preserve">Fórmulas e unidades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5524"/>
        <w:gridCol w:w="1973"/>
      </w:tblGrid>
      <w:tr>
        <w:trPr>
          <w:cantSplit/>
          <w:tblHeader/>
          <w:jc w:val="center"/>
        </w:trPr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552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Fórmula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Unidade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Horas operadas (HO)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HP − HI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h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MTBF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 ÷ N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h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MTTR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Soma dos tempos de reparo ÷ nº de falhas com reparo completo (fim do reparo − início do reparo)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h</w:t>
            </w:r>
          </w:p>
        </w:tc>
      </w:tr>
      <w:tr>
        <w:trPr>
          <w:cantSplit/>
          <w:jc w:val="center"/>
        </w:trPr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Disponibilidade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HO ÷ HP × 100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%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Origem das horas</w:t>
      </w:r>
    </w:p>
    <w:p>
      <w:pPr>
        <w:pStyle w:val="Commarcadores"/>
      </w:pPr>
      <w:r>
        <w:t xml:space="preserve">HP é digitada por ativo e por mês, a partir do calendário de turnos da produção, no PCM-MAN-011.</w:t>
      </w:r>
    </w:p>
    <w:p>
      <w:pPr>
        <w:pStyle w:val="Commarcadores"/>
      </w:pPr>
      <w:r>
        <w:t xml:space="preserve">A parada por falha é calculada pelo Registro de falhas (HI) e não é digitada. Assim a parada fecha com o registro e não existem duas versões do mesmo número.</w:t>
      </w:r>
    </w:p>
    <w:p>
      <w:pPr>
        <w:pStyle w:val="Commarcadores"/>
      </w:pPr>
      <w:r>
        <w:t xml:space="preserve">Parada que não é falha, como a preventiva programada, é digitada à parte. Só entra em HI se a empresa medir disponibilidade total. Defina o critério uma vez e use sempre o mesmo.</w:t>
      </w:r>
    </w:p>
    <w:p>
      <w:pPr>
        <w:pStyle w:val="Ttulo2"/>
      </w:pPr>
      <w:r>
        <w:t xml:space="preserve">Etapas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789"/>
        <w:gridCol w:w="3748"/>
        <w:gridCol w:w="2565"/>
        <w:gridCol w:w="1184"/>
        <w:gridCol w:w="1578"/>
      </w:tblGrid>
      <w:tr>
        <w:trPr>
          <w:cantSplit/>
          <w:tblHeader/>
          <w:jc w:val="center"/>
        </w:trPr>
        <w:tc>
          <w:tcPr>
            <w:tcW w:w="78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374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Atividade e critério de verificação</w:t>
            </w:r>
          </w:p>
        </w:tc>
        <w:tc>
          <w:tcPr>
            <w:tcW w:w="256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Ponto-chave</w:t>
            </w:r>
          </w:p>
        </w:tc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TAG</w:t>
            </w:r>
          </w:p>
        </w:tc>
        <w:tc>
          <w:tcPr>
            <w:tcW w:w="157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1</w:t>
            </w:r>
          </w:p>
        </w:tc>
        <w:tc>
          <w:tcPr>
            <w:tcW w:w="37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Conferir se todas as falhas do mês têm TAG e início. Critério: nenhuma falha sem TAG ou início.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sem início não entra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</w:t>
            </w:r>
          </w:p>
        </w:tc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2</w:t>
            </w:r>
          </w:p>
        </w:tc>
        <w:tc>
          <w:tcPr>
            <w:tcW w:w="374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Digitar HP do mês para cada ativo. Critério: HP preenchida ou em branco de propósito.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Em branco ≠ zero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</w:t>
            </w:r>
          </w:p>
        </w:tc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3</w:t>
            </w:r>
          </w:p>
        </w:tc>
        <w:tc>
          <w:tcPr>
            <w:tcW w:w="37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Calcular HI cortando as indisponibilidades na virada do mês. Critério: soma de HI por ativo conferida.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Divida o que passa de um mês para o outro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</w:t>
            </w:r>
          </w:p>
        </w:tc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4</w:t>
            </w:r>
          </w:p>
        </w:tc>
        <w:tc>
          <w:tcPr>
            <w:tcW w:w="374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Contar N e somar os tempos de reparo completos. Critério: N igual ao número de linhas do mês.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 conta no mês do início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</w:t>
            </w:r>
          </w:p>
        </w:tc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5</w:t>
            </w:r>
          </w:p>
        </w:tc>
        <w:tc>
          <w:tcPr>
            <w:tcW w:w="37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Calcular MTBF, MTTR e disponibilidade pelas fórmulas. Critério: valores conferidos com o exemplo.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Sem divisor = sem dado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</w:t>
            </w:r>
          </w:p>
        </w:tc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6</w:t>
            </w:r>
          </w:p>
        </w:tc>
        <w:tc>
          <w:tcPr>
            <w:tcW w:w="374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Registrar a linha ativo × mês no PCM-MAN-011. Critério: N, HP, HI e os três indicadores preenchidos.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aberta: marcar como provisória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</w:t>
            </w:r>
          </w:p>
        </w:tc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Casos especiais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959"/>
        <w:gridCol w:w="6905"/>
      </w:tblGrid>
      <w:tr>
        <w:trPr>
          <w:cantSplit/>
          <w:tblHeader/>
          <w:jc w:val="center"/>
        </w:trPr>
        <w:tc>
          <w:tcPr>
            <w:tcW w:w="295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Situação</w:t>
            </w:r>
          </w:p>
        </w:tc>
        <w:tc>
          <w:tcPr>
            <w:tcW w:w="690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Regra</w:t>
            </w:r>
          </w:p>
        </w:tc>
      </w:tr>
      <w:tr>
        <w:trPr>
          <w:cantSplit/>
          <w:jc w:val="center"/>
        </w:trPr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sem fim</w:t>
            </w:r>
          </w:p>
        </w:tc>
        <w:tc>
          <w:tcPr>
            <w:tcW w:w="6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Conta em N. Para HI, use o fim do mês (ou a data de hoje, no mês corrente) e marque como provisória. Fica fora do MTTR até ser fechada.</w:t>
            </w:r>
          </w:p>
        </w:tc>
      </w:tr>
      <w:tr>
        <w:trPr>
          <w:cantSplit/>
          <w:jc w:val="center"/>
        </w:trPr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 que atravessa dois meses</w:t>
            </w:r>
          </w:p>
        </w:tc>
        <w:tc>
          <w:tcPr>
            <w:tcW w:w="690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HI é dividida em cada mês. N e o tempo de reparo ficam todos no mês de início.</w:t>
            </w:r>
          </w:p>
        </w:tc>
      </w:tr>
      <w:tr>
        <w:trPr>
          <w:cantSplit/>
          <w:jc w:val="center"/>
        </w:trPr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Mês sem falha</w:t>
            </w:r>
          </w:p>
        </w:tc>
        <w:tc>
          <w:tcPr>
            <w:tcW w:w="6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N = 0: MTBF e MTTR ficam sem dado. A disponibilidade é 100%, se houver HP.</w:t>
            </w:r>
          </w:p>
        </w:tc>
      </w:tr>
      <w:tr>
        <w:trPr>
          <w:cantSplit/>
          <w:jc w:val="center"/>
        </w:trPr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Mês sem HP</w:t>
            </w:r>
          </w:p>
        </w:tc>
        <w:tc>
          <w:tcPr>
            <w:tcW w:w="690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MTBF e disponibilidade ficam sem dado. N e MTTR continuam calculáveis.</w:t>
            </w:r>
          </w:p>
        </w:tc>
      </w:tr>
      <w:tr>
        <w:trPr>
          <w:cantSplit/>
          <w:jc w:val="center"/>
        </w:trPr>
        <w:tc>
          <w:tcPr>
            <w:tcW w:w="295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Reparo ausente</w:t>
            </w:r>
          </w:p>
        </w:tc>
        <w:tc>
          <w:tcPr>
            <w:tcW w:w="6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falha não entra no MTTR, mas HI usa a indisponibilidade normalmente.</w:t>
            </w:r>
          </w:p>
        </w:tc>
      </w:tr>
      <w:tr>
        <w:trPr>
          <w:cantSplit/>
          <w:jc w:val="center"/>
        </w:trPr>
        <w:tc>
          <w:tcPr>
            <w:tcW w:w="295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Dado incoerente</w:t>
            </w:r>
          </w:p>
        </w:tc>
        <w:tc>
          <w:tcPr>
            <w:tcW w:w="690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Fim antes do início, ou HI maior que HP: mostrar alerta e não calcular.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Quando mostrar "sem dado" em vez de zero</w:t>
      </w:r>
    </w:p>
    <w:p>
      <w:pPr>
        <w:pStyle w:val="Commarcadores"/>
      </w:pPr>
      <w:r>
        <w:t xml:space="preserve">Sem dado: divisor vazio ou zero (HP, N, nº de reparos) ou insumo em branco.</w:t>
      </w:r>
    </w:p>
    <w:p>
      <w:pPr>
        <w:pStyle w:val="Commarcadores"/>
      </w:pPr>
      <w:r>
        <w:t xml:space="preserve">Zero só quando é medido: 0 falhas, ou 0 h de parada com HP preenchida.</w:t>
      </w:r>
    </w:p>
    <w:p>
      <w:pPr>
        <w:pStyle w:val="Commarcadores"/>
      </w:pPr>
      <w:r>
        <w:t xml:space="preserve">HP digitada como 0 também dá sem dado na disponibilidade.</w:t>
      </w:r>
    </w:p>
    <w:p>
      <w:pPr>
        <w:pStyle w:val="Ttulo2"/>
      </w:pPr>
      <w:r>
        <w:t xml:space="preserve">Exemplo numérico (dados fictícios)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282"/>
        <w:gridCol w:w="888"/>
        <w:gridCol w:w="1381"/>
        <w:gridCol w:w="690"/>
        <w:gridCol w:w="1184"/>
        <w:gridCol w:w="1677"/>
        <w:gridCol w:w="1480"/>
        <w:gridCol w:w="1282"/>
      </w:tblGrid>
      <w:tr>
        <w:trPr>
          <w:cantSplit/>
          <w:tblHeader/>
          <w:jc w:val="center"/>
        </w:trPr>
        <w:tc>
          <w:tcPr>
            <w:tcW w:w="128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Ativo</w:t>
            </w:r>
          </w:p>
        </w:tc>
        <w:tc>
          <w:tcPr>
            <w:tcW w:w="88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Mês</w:t>
            </w:r>
          </w:p>
        </w:tc>
        <w:tc>
          <w:tcPr>
            <w:tcW w:w="138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HP (h)</w:t>
            </w:r>
          </w:p>
        </w:tc>
        <w:tc>
          <w:tcPr>
            <w:tcW w:w="69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N</w:t>
            </w:r>
          </w:p>
        </w:tc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HI</w:t>
            </w:r>
          </w:p>
        </w:tc>
        <w:tc>
          <w:tcPr>
            <w:tcW w:w="167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MTBF</w:t>
            </w:r>
          </w:p>
        </w:tc>
        <w:tc>
          <w:tcPr>
            <w:tcW w:w="148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MTTR</w:t>
            </w:r>
          </w:p>
        </w:tc>
        <w:tc>
          <w:tcPr>
            <w:tcW w:w="128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Disp.</w:t>
            </w:r>
          </w:p>
        </w:tc>
      </w:tr>
      <w:tr>
        <w:trPr>
          <w:cantSplit/>
          <w:jc w:val="center"/>
        </w:trPr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BMB-01</w:t>
            </w:r>
          </w:p>
        </w:tc>
        <w:tc>
          <w:tcPr>
            <w:tcW w:w="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Jan</w:t>
            </w:r>
          </w:p>
        </w:tc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600</w:t>
            </w:r>
          </w:p>
        </w:tc>
        <w:tc>
          <w:tcPr>
            <w:tcW w:w="6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3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9 h</w:t>
            </w:r>
          </w:p>
        </w:tc>
        <w:tc>
          <w:tcPr>
            <w:tcW w:w="167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197,0 h</w:t>
            </w:r>
          </w:p>
        </w:tc>
        <w:tc>
          <w:tcPr>
            <w:tcW w:w="1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3,33 h</w:t>
            </w:r>
          </w:p>
        </w:tc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98,5%</w:t>
            </w:r>
          </w:p>
        </w:tc>
      </w:tr>
      <w:tr>
        <w:trPr>
          <w:cantSplit/>
          <w:jc w:val="center"/>
        </w:trPr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BMB-01</w:t>
            </w:r>
          </w:p>
        </w:tc>
        <w:tc>
          <w:tcPr>
            <w:tcW w:w="88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Fev</w:t>
            </w:r>
          </w:p>
        </w:tc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560</w:t>
            </w:r>
          </w:p>
        </w:tc>
        <w:tc>
          <w:tcPr>
            <w:tcW w:w="69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0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4 h</w:t>
            </w:r>
          </w:p>
        </w:tc>
        <w:tc>
          <w:tcPr>
            <w:tcW w:w="16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sem dado</w:t>
            </w:r>
          </w:p>
        </w:tc>
        <w:tc>
          <w:tcPr>
            <w:tcW w:w="148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sem dado</w:t>
            </w:r>
          </w:p>
        </w:tc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99,3%</w:t>
            </w:r>
          </w:p>
        </w:tc>
      </w:tr>
      <w:tr>
        <w:trPr>
          <w:cantSplit/>
          <w:jc w:val="center"/>
        </w:trPr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CMP-02</w:t>
            </w:r>
          </w:p>
        </w:tc>
        <w:tc>
          <w:tcPr>
            <w:tcW w:w="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Jan</w:t>
            </w:r>
          </w:p>
        </w:tc>
        <w:tc>
          <w:tcPr>
            <w:tcW w:w="1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em branco</w:t>
            </w:r>
          </w:p>
        </w:tc>
        <w:tc>
          <w:tcPr>
            <w:tcW w:w="6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1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5 h</w:t>
            </w:r>
          </w:p>
        </w:tc>
        <w:tc>
          <w:tcPr>
            <w:tcW w:w="167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sem dado</w:t>
            </w:r>
          </w:p>
        </w:tc>
        <w:tc>
          <w:tcPr>
            <w:tcW w:w="1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4,0 h</w:t>
            </w:r>
          </w:p>
        </w:tc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sem dado</w:t>
            </w:r>
          </w:p>
        </w:tc>
      </w:tr>
      <w:tr>
        <w:trPr>
          <w:cantSplit/>
          <w:jc w:val="center"/>
        </w:trPr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CMP-02</w:t>
            </w:r>
          </w:p>
        </w:tc>
        <w:tc>
          <w:tcPr>
            <w:tcW w:w="88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Fev</w:t>
            </w:r>
          </w:p>
        </w:tc>
        <w:tc>
          <w:tcPr>
            <w:tcW w:w="138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500</w:t>
            </w:r>
          </w:p>
        </w:tc>
        <w:tc>
          <w:tcPr>
            <w:tcW w:w="69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2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20 h</w:t>
            </w:r>
          </w:p>
        </w:tc>
        <w:tc>
          <w:tcPr>
            <w:tcW w:w="167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240,0 h</w:t>
            </w:r>
          </w:p>
        </w:tc>
        <w:tc>
          <w:tcPr>
            <w:tcW w:w="148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6,0 h</w:t>
            </w:r>
          </w:p>
        </w:tc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96,0%</w:t>
            </w:r>
          </w:p>
        </w:tc>
      </w:tr>
    </w:tbl>
    <w:p>
      <w:pPr>
        <w:spacing w:after="0"/>
      </w:pPr>
    </w:p>
    <w:p>
      <w:pPr>
        <w:pStyle w:val="Commarcadores"/>
      </w:pPr>
      <w:r>
        <w:t xml:space="preserve">BMB-01 em janeiro: indisponibilidades de 4, 3 e 2 h, a última iniciada em 31/01 às 22:00. Reparos de 3, 2 e 5 h. HO = 591 h; MTBF = 591 ÷ 3 = 197,0 h; MTTR = 10 ÷ 3 = 3,33 h; disponibilidade = 591 ÷ 600 = 98,5%.</w:t>
      </w:r>
    </w:p>
    <w:p>
      <w:pPr>
        <w:pStyle w:val="Commarcadores"/>
      </w:pPr>
      <w:r>
        <w:t xml:space="preserve">BMB-01 em fevereiro: as 4 h restantes da falha que atravessou o mês, sem nova falha. HO = 556 h; disponibilidade = 556 ÷ 560 = 99,3%.</w:t>
      </w:r>
    </w:p>
    <w:p>
      <w:pPr>
        <w:pStyle w:val="Commarcadores"/>
      </w:pPr>
      <w:r>
        <w:t xml:space="preserve">CMP-02 em janeiro: sem HP, só o MTTR é calculado (4,0 h).</w:t>
      </w:r>
    </w:p>
    <w:p>
      <w:pPr>
        <w:pStyle w:val="Commarcadores"/>
      </w:pPr>
      <w:r>
        <w:t xml:space="preserve">CMP-02 em fevereiro: falha de 8 h com reparo de 6 h e outra sem fim, iniciada em 28/02 às 12:00, que vale 12 h até o fim do mês (provisória, fora do MTTR). HI = 20 h; HO = 480 h; MTBF = 240,0 h; MTTR = 6,0 h; disponibilidade = 96,0%.</w:t>
      </w:r>
    </w:p>
    <w:p>
      <w:pPr>
        <w:pStyle w:val="Ttulo2"/>
      </w:pPr>
      <w:r>
        <w:t xml:space="preserve">Verificação final antes de registrar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7891"/>
        <w:gridCol w:w="1973"/>
      </w:tblGrid>
      <w:tr>
        <w:trPr>
          <w:cantSplit/>
          <w:tblHeader/>
          <w:jc w:val="center"/>
        </w:trPr>
        <w:tc>
          <w:tcPr>
            <w:tcW w:w="789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Conferido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Todas as falhas do mês têm TAG e início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HP preenchida ou em branco de propósito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Falhas abertas e que atravessam o mês tratadas conforme as regras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Resultado registrado no PCM-MAN-011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REGISTROS E ANEXOS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452"/>
        <w:gridCol w:w="3946"/>
        <w:gridCol w:w="2466"/>
      </w:tblGrid>
      <w:tr>
        <w:trPr>
          <w:cantSplit/>
          <w:tblHeader/>
          <w:jc w:val="center"/>
        </w:trPr>
        <w:tc>
          <w:tcPr>
            <w:tcW w:w="345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Registro ou anexo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armazenamento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Registro de falhas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PCM-MAN-008 / </w:t>
            </w:r>
            <w:r>
              <w:rPr>
                <w:color w:val="4A5668"/>
              </w:rPr>
              <w:t xml:space="preserve">[sistema]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Indicadores mensais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PCM-MAN-011 / </w:t>
            </w:r>
            <w:r>
              <w:rPr>
                <w:color w:val="4A5668"/>
              </w:rPr>
              <w:t xml:space="preserve">[sistema]</w:t>
            </w: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HISTÓRICO DE REVISÕES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282"/>
        <w:gridCol w:w="4932"/>
        <w:gridCol w:w="2466"/>
      </w:tblGrid>
      <w:tr>
        <w:trPr>
          <w:cantSplit/>
          <w:tblHeader/>
          <w:jc w:val="center"/>
        </w:trPr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Revisão</w:t>
            </w:r>
          </w:p>
        </w:tc>
        <w:tc>
          <w:tcPr>
            <w:tcW w:w="128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Descrição da alteração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00</w:t>
            </w:r>
          </w:p>
        </w:tc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A definir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Emissão inicial.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</w:tbl>
    <w:p>
      <w:pPr>
        <w:spacing w:after="0"/>
      </w:pPr>
    </w:p>
    <w:sectPr w:rsidR="006444D5" w:rsidSect="005E30B9">
      <w:headerReference w:type="default" r:id="rId9"/>
      <w:footerReference w:type="default" r:id="rId10"/>
      <w:pgSz w:w="11906" w:h="16838" w:code="9"/>
      <w:pgMar w:top="1304" w:right="1021" w:bottom="1134" w:left="102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E23F" w14:textId="77777777" w:rsidR="00560059" w:rsidRDefault="00560059">
      <w:pPr>
        <w:spacing w:after="0" w:line="240" w:lineRule="auto"/>
      </w:pPr>
      <w:r>
        <w:separator/>
      </w:r>
    </w:p>
  </w:endnote>
  <w:endnote w:type="continuationSeparator" w:id="0">
    <w:p w14:paraId="688FDAA7" w14:textId="77777777" w:rsidR="00560059" w:rsidRDefault="0056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97" w:type="dxa"/>
      <w:tblInd w:w="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700"/>
      <w:gridCol w:w="2597"/>
    </w:tblGrid>
    <w:tr w:rsidR="006444D5" w14:paraId="35968896" w14:textId="77777777" w:rsidTr="001300BE">
      <w:tc>
        <w:tcPr>
          <w:tcW w:w="6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E2EB6F" w14:textId="59860141" w:rsidR="006444D5" w:rsidRDefault="00ED6D3A">
          <w:pPr>
            <w:pStyle w:val="RodapPCMD"/>
          </w:pPr>
          <w:r>
            <w:t xml:space="preserve">PCM </w:t>
          </w:r>
          <w:proofErr w:type="gramStart"/>
          <w:r>
            <w:t>Direto  ·</w:t>
          </w:r>
          <w:proofErr w:type="gramEnd"/>
          <w:r>
            <w:t xml:space="preserve">  </w:t>
          </w:r>
          <w:sdt>
            <w:sdtPr>
              <w:alias w:val="codigo"/>
              <w:tag w:val="codigo"/>
              <w:id w:val="107"/>
              <w:dataBinding w:prefixMappings="xmlns:pcm='urn:pcm-direto:documento:1'" w:xpath="/pcm:documento[1]/pcm:codigo[1]" w:storeItemID="{AB496642-2582-4D65-BBFF-722B9D4F9128}"/>
              <w:text/>
            </w:sdtPr>
            <w:sdtContent>
              <w:r>
                <w:t>PCM-MAN-017</w:t>
              </w:r>
            </w:sdtContent>
          </w:sdt>
          <w:r>
            <w:t xml:space="preserve">  ·  Rev. </w:t>
          </w:r>
          <w:sdt>
            <w:sdtPr>
              <w:alias w:val="revisao"/>
              <w:tag w:val="revisao"/>
              <w:id w:val="108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t>00</w:t>
              </w:r>
            </w:sdtContent>
          </w:sdt>
          <w:r>
            <w:t xml:space="preserve">  ·  </w:t>
          </w:r>
          <w:sdt>
            <w:sdtPr>
              <w:alias w:val="data"/>
              <w:tag w:val="data"/>
              <w:id w:val="109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t>A definir</w:t>
              </w:r>
            </w:sdtContent>
          </w:sdt>
          <w:r>
            <w:t xml:space="preserve">  ·  Cópia impressa não controlada</w:t>
          </w:r>
        </w:p>
      </w:tc>
      <w:tc>
        <w:tcPr>
          <w:tcW w:w="259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F6EB805" w14:textId="0F5629ED" w:rsidR="006444D5" w:rsidRDefault="00ED6D3A">
          <w:pPr>
            <w:pStyle w:val="RodapPCMD"/>
            <w:jc w:val="right"/>
          </w:pPr>
          <w:r>
            <w:rPr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6B02A421" w14:textId="7BB80879" w:rsidR="006444D5" w:rsidRDefault="001300BE" w:rsidP="005E30B9">
    <w:pP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5B8E360" wp14:editId="5DF2342F">
              <wp:simplePos x="0" y="0"/>
              <wp:positionH relativeFrom="margin">
                <wp:align>left</wp:align>
              </wp:positionH>
              <wp:positionV relativeFrom="paragraph">
                <wp:posOffset>-255269</wp:posOffset>
              </wp:positionV>
              <wp:extent cx="6263640" cy="45719"/>
              <wp:effectExtent l="0" t="0" r="0" b="0"/>
              <wp:wrapNone/>
              <wp:docPr id="2" name="Shape 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63640" cy="45719"/>
                      </a:xfrm>
                      <a:prstGeom prst="rect">
                        <a:avLst/>
                      </a:prstGeom>
                      <a:solidFill>
                        <a:srgbClr val="E2701F"/>
                      </a:solidFill>
                      <a:ln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2E361" id="Shape 0" o:spid="_x0000_s1026" style="position:absolute;margin-left:0;margin-top:-20.1pt;width:493.2pt;height:3.6pt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" fillcolor="#e2701f" stroked="f">
              <w10:wrap anchorx="margin"/>
            </v:rect>
          </w:pict>
        </mc:Fallback>
      </mc:AlternateContent>
    </w:r>
    <w:r w:rsidR="004E55E6">
      <w:rPr>
        <w:noProof/>
      </w:rPr>
      <w:drawing>
        <wp:anchor distT="0" distB="0" distL="114300" distR="114300" simplePos="0" relativeHeight="251671552" behindDoc="0" locked="0" layoutInCell="1" allowOverlap="1" wp14:anchorId="4B6F40A6" wp14:editId="141EA25C">
          <wp:simplePos x="0" y="0"/>
          <wp:positionH relativeFrom="margin">
            <wp:posOffset>78105</wp:posOffset>
          </wp:positionH>
          <wp:positionV relativeFrom="paragraph">
            <wp:posOffset>-160210</wp:posOffset>
          </wp:positionV>
          <wp:extent cx="179705" cy="179705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7EF93" w14:textId="77777777" w:rsidR="00560059" w:rsidRDefault="00560059">
      <w:pPr>
        <w:spacing w:after="0" w:line="240" w:lineRule="auto"/>
      </w:pPr>
      <w:r>
        <w:separator/>
      </w:r>
    </w:p>
  </w:footnote>
  <w:footnote w:type="continuationSeparator" w:id="0">
    <w:p w14:paraId="62435CBD" w14:textId="77777777" w:rsidR="00560059" w:rsidRDefault="0056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30"/>
      <w:gridCol w:w="5804"/>
      <w:gridCol w:w="2030"/>
    </w:tblGrid>
    <w:tr w:rsidR="006639E2" w:rsidRPr="006639E2" w14:paraId="5777CE05" w14:textId="77777777" w:rsidTr="001300BE">
      <w:trPr>
        <w:trHeight w:val="139"/>
      </w:trPr>
      <w:tc>
        <w:tcPr>
          <w:tcW w:w="2030" w:type="dxa"/>
          <w:tcBorders>
            <w:top w:val="single" w:sz="4" w:space="0" w:color="162855"/>
            <w:left w:val="single" w:sz="4" w:space="0" w:color="162855"/>
            <w:bottom w:val="single" w:sz="4" w:space="0" w:color="162855"/>
            <w:right w:val="single" w:sz="4" w:space="0" w:color="FFFFFF" w:themeColor="background1"/>
          </w:tcBorders>
          <w:shd w:val="clear" w:color="auto" w:fill="162855"/>
          <w:tcMar>
            <w:top w:w="100" w:type="dxa"/>
            <w:left w:w="220" w:type="dxa"/>
            <w:bottom w:w="100" w:type="dxa"/>
            <w:right w:w="160" w:type="dxa"/>
          </w:tcMar>
          <w:vAlign w:val="center"/>
        </w:tcPr>
        <w:p w14:paraId="04F041B1" w14:textId="77777777" w:rsidR="006639E2" w:rsidRPr="00945E7F" w:rsidRDefault="006639E2" w:rsidP="00F040AC">
          <w:pPr>
            <w:spacing w:after="0"/>
            <w:ind w:left="708"/>
            <w:rPr>
              <w:rFonts w:ascii="Arial Black" w:eastAsia="Arial Black" w:hAnsi="Arial Black" w:cs="Arial Black"/>
              <w:color w:val="FFFFFF"/>
              <w:sz w:val="27"/>
              <w:szCs w:val="27"/>
            </w:rPr>
          </w:pP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2A2783D0" wp14:editId="5BD224B8">
                <wp:simplePos x="0" y="0"/>
                <wp:positionH relativeFrom="column">
                  <wp:posOffset>-109855</wp:posOffset>
                </wp:positionH>
                <wp:positionV relativeFrom="paragraph">
                  <wp:posOffset>-32385</wp:posOffset>
                </wp:positionV>
                <wp:extent cx="1206500" cy="359410"/>
                <wp:effectExtent l="0" t="0" r="0" b="0"/>
                <wp:wrapNone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650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04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FFFFFF" w:themeColor="background1"/>
          </w:tcBorders>
          <w:shd w:val="clear" w:color="auto" w:fill="162855"/>
          <w:vAlign w:val="center"/>
        </w:tcPr>
        <w:p w14:paraId="1014DFD9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2"/>
            </w:rPr>
          </w:pPr>
          <w:sdt>
            <w:sdtPr>
              <w:alias w:val="titulo"/>
              <w:tag w:val="titulo"/>
              <w:id w:val="201"/>
              <w:dataBinding w:prefixMappings="xmlns:pcm='urn:pcm-direto:documento:1'" w:xpath="/pcm:documento[1]/pcm:titul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22"/>
                </w:rPr>
                <w:t>Procedimento: cálculo de MTBF, MTTR e disponibilidade</w:t>
              </w:r>
            </w:sdtContent>
          </w:sdt>
        </w:p>
      </w:tc>
      <w:tc>
        <w:tcPr>
          <w:tcW w:w="2030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0F1D3D"/>
          </w:tcBorders>
          <w:shd w:val="clear" w:color="auto" w:fill="162855"/>
          <w:vAlign w:val="center"/>
        </w:tcPr>
        <w:p w14:paraId="0BDC3252" w14:textId="77777777" w:rsidR="006639E2" w:rsidRPr="00F040AC" w:rsidRDefault="006639E2" w:rsidP="00F040AC">
          <w:pPr>
            <w:spacing w:after="0"/>
            <w:jc w:val="center"/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Rev. </w:t>
          </w:r>
          <w:sdt>
            <w:sdtPr>
              <w:alias w:val="revisao"/>
              <w:tag w:val="revisao"/>
              <w:id w:val="202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00</w:t>
              </w:r>
            </w:sdtContent>
          </w:sdt>
        </w:p>
        <w:p w14:paraId="198326E5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4"/>
              <w:szCs w:val="24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Data: </w:t>
          </w:r>
          <w:sdt>
            <w:sdtPr>
              <w:alias w:val="data"/>
              <w:tag w:val="data"/>
              <w:id w:val="203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A definir</w:t>
              </w:r>
            </w:sdtContent>
          </w:sdt>
        </w:p>
      </w:tc>
    </w:tr>
  </w:tbl>
  <w:p w14:paraId="3B4C8B04" w14:textId="59210991" w:rsidR="00407D4C" w:rsidRDefault="00407D4C" w:rsidP="00F040AC"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3C1D20"/>
    <w:multiLevelType w:val="multilevel"/>
    <w:tmpl w:val="7B2E4C20"/>
    <w:lvl w:ilvl="0">
      <w:start w:val="1"/>
      <w:numFmt w:val="decimal"/>
      <w:pStyle w:val="Ttulo1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54"/>
        </w:tabs>
        <w:ind w:left="454" w:hanging="454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680"/>
        </w:tabs>
        <w:ind w:left="680" w:hanging="680"/>
      </w:p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0BE"/>
    <w:rsid w:val="0015074B"/>
    <w:rsid w:val="001671B9"/>
    <w:rsid w:val="0029639D"/>
    <w:rsid w:val="002B7B27"/>
    <w:rsid w:val="00326F90"/>
    <w:rsid w:val="00407D4C"/>
    <w:rsid w:val="004978DB"/>
    <w:rsid w:val="004E55E6"/>
    <w:rsid w:val="00560059"/>
    <w:rsid w:val="005E30B9"/>
    <w:rsid w:val="006444D5"/>
    <w:rsid w:val="006639E2"/>
    <w:rsid w:val="0096601F"/>
    <w:rsid w:val="00AA1D8D"/>
    <w:rsid w:val="00AE558C"/>
    <w:rsid w:val="00B47730"/>
    <w:rsid w:val="00B93FBD"/>
    <w:rsid w:val="00CB0664"/>
    <w:rsid w:val="00ED6D3A"/>
    <w:rsid w:val="00F040AC"/>
    <w:rsid w:val="00F51B73"/>
    <w:rsid w:val="00F70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B7E207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left"/>
    </w:pPr>
    <w:rPr>
      <w:rFonts w:ascii="Arial" w:eastAsia="Arial" w:hAnsi="Arial" w:cs="Arial"/>
      <w:color w:val="0E1726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20"/>
      </w:numPr>
      <w:spacing w:before="240"/>
      <w:jc w:val="left"/>
      <w:outlineLvl w:val="0"/>
    </w:pPr>
    <w:rPr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40"/>
      <w:jc w:val="left"/>
      <w:outlineLvl w:val="1"/>
    </w:pPr>
    <w:rPr>
      <w:b/>
      <w:bCs/>
      <w:color w:val="0B2A5B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5142D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B2A5B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81F44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contextualSpacing/>
    </w:pPr>
    <w:rPr>
      <w:b/>
      <w:color w:val="000000"/>
      <w:spacing w:val="5"/>
      <w:kern w:val="28"/>
      <w:sz w:val="2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81F44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5142D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B2A5B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B2A5B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0B2A5B" w:themeColor="accent1"/>
      </w:pBdr>
      <w:spacing w:before="200" w:after="280"/>
      <w:ind w:left="936" w:right="936"/>
    </w:pPr>
    <w:rPr>
      <w:b/>
      <w:bCs/>
      <w:i/>
      <w:iCs/>
      <w:color w:val="0B2A5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B2A5B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B2A5B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E2701F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E2701F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81F44" w:themeColor="accent1" w:themeShade="BF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AA5316" w:themeColor="accent2" w:themeShade="BF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37404D" w:themeColor="accent3" w:themeShade="BF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1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  <w:shd w:val="clear" w:color="auto" w:fill="A4C3F4" w:themeFill="accent1" w:themeFillTint="3F"/>
      </w:tcPr>
    </w:tblStylePr>
    <w:tblStylePr w:type="band2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1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  <w:shd w:val="clear" w:color="auto" w:fill="F7DBC7" w:themeFill="accent2" w:themeFillTint="3F"/>
      </w:tcPr>
    </w:tblStylePr>
    <w:tblStylePr w:type="band2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1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  <w:shd w:val="clear" w:color="auto" w:fill="CED4DC" w:themeFill="accent3" w:themeFillTint="3F"/>
      </w:tcPr>
    </w:tblStylePr>
    <w:tblStylePr w:type="band2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C3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B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D4D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2A5B" w:themeColor="accen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shd w:val="clear" w:color="auto" w:fill="A4C3F4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701F" w:themeColor="accent2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shd w:val="clear" w:color="auto" w:fill="F7DBC7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5668" w:themeColor="accent3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shd w:val="clear" w:color="auto" w:fill="CED4DC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2A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2A5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2A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2A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C3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70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70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70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B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566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566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566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D4D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  <w:insideV w:val="single" w:sz="8" w:space="0" w:color="1653B6" w:themeColor="accent1" w:themeTint="BF"/>
      </w:tblBorders>
    </w:tblPr>
    <w:tcPr>
      <w:shd w:val="clear" w:color="auto" w:fill="A4C3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53B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  <w:insideV w:val="single" w:sz="8" w:space="0" w:color="E99357" w:themeColor="accent2" w:themeTint="BF"/>
      </w:tblBorders>
    </w:tblPr>
    <w:tcPr>
      <w:shd w:val="clear" w:color="auto" w:fill="F7DB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935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  <w:insideV w:val="single" w:sz="8" w:space="0" w:color="6D7E97" w:themeColor="accent3" w:themeTint="BF"/>
      </w:tblBorders>
    </w:tblPr>
    <w:tcPr>
      <w:shd w:val="clear" w:color="auto" w:fill="CED4D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7E9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cPr>
      <w:shd w:val="clear" w:color="auto" w:fill="A4C3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BE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CEF6" w:themeFill="accent1" w:themeFillTint="33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tcBorders>
          <w:insideH w:val="single" w:sz="6" w:space="0" w:color="0B2A5B" w:themeColor="accent1"/>
          <w:insideV w:val="single" w:sz="6" w:space="0" w:color="0B2A5B" w:themeColor="accent1"/>
        </w:tcBorders>
        <w:shd w:val="clear" w:color="auto" w:fill="4986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cPr>
      <w:shd w:val="clear" w:color="auto" w:fill="F7DB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2D2" w:themeFill="accent2" w:themeFillTint="33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tcBorders>
          <w:insideH w:val="single" w:sz="6" w:space="0" w:color="E2701F" w:themeColor="accent2"/>
          <w:insideV w:val="single" w:sz="6" w:space="0" w:color="E2701F" w:themeColor="accent2"/>
        </w:tcBorders>
        <w:shd w:val="clear" w:color="auto" w:fill="F0B7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cPr>
      <w:shd w:val="clear" w:color="auto" w:fill="CED4D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EEF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CE3" w:themeFill="accent3" w:themeFillTint="33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tcBorders>
          <w:insideH w:val="single" w:sz="6" w:space="0" w:color="4A5668" w:themeColor="accent3"/>
          <w:insideV w:val="single" w:sz="6" w:space="0" w:color="4A5668" w:themeColor="accent3"/>
        </w:tcBorders>
        <w:shd w:val="clear" w:color="auto" w:fill="9EA9B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C3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86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86E9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B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B7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B78F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D4D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A9B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A9BA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2A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142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1F4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70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37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531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566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2A3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04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B2A5B" w:themeColor="accent1"/>
        <w:bottom w:val="single" w:sz="4" w:space="0" w:color="0B2A5B" w:themeColor="accent1"/>
        <w:right w:val="single" w:sz="4" w:space="0" w:color="0B2A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1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1836" w:themeColor="accent1" w:themeShade="99"/>
          <w:insideV w:val="nil"/>
        </w:tcBorders>
        <w:shd w:val="clear" w:color="auto" w:fill="061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836" w:themeFill="accent1" w:themeFillShade="99"/>
      </w:tcPr>
    </w:tblStylePr>
    <w:tblStylePr w:type="band1Vert">
      <w:tblPr/>
      <w:tcPr>
        <w:shd w:val="clear" w:color="auto" w:fill="6D9EED" w:themeFill="accent1" w:themeFillTint="66"/>
      </w:tcPr>
    </w:tblStylePr>
    <w:tblStylePr w:type="band1Horz">
      <w:tblPr/>
      <w:tcPr>
        <w:shd w:val="clear" w:color="auto" w:fill="4986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E2701F" w:themeColor="accent2"/>
        <w:bottom w:val="single" w:sz="4" w:space="0" w:color="E2701F" w:themeColor="accent2"/>
        <w:right w:val="single" w:sz="4" w:space="0" w:color="E2701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21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211" w:themeColor="accent2" w:themeShade="99"/>
          <w:insideV w:val="nil"/>
        </w:tcBorders>
        <w:shd w:val="clear" w:color="auto" w:fill="88421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211" w:themeFill="accent2" w:themeFillShade="99"/>
      </w:tcPr>
    </w:tblStylePr>
    <w:tblStylePr w:type="band1Vert">
      <w:tblPr/>
      <w:tcPr>
        <w:shd w:val="clear" w:color="auto" w:fill="F3C5A5" w:themeFill="accent2" w:themeFillTint="66"/>
      </w:tcPr>
    </w:tblStylePr>
    <w:tblStylePr w:type="band1Horz">
      <w:tblPr/>
      <w:tcPr>
        <w:shd w:val="clear" w:color="auto" w:fill="F0B7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4A5668" w:themeColor="accent3"/>
        <w:bottom w:val="single" w:sz="4" w:space="0" w:color="4A5668" w:themeColor="accent3"/>
        <w:right w:val="single" w:sz="4" w:space="0" w:color="4A566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E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33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33E" w:themeColor="accent3" w:themeShade="99"/>
          <w:insideV w:val="nil"/>
        </w:tcBorders>
        <w:shd w:val="clear" w:color="auto" w:fill="2C333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33E" w:themeFill="accent3" w:themeFillShade="99"/>
      </w:tcPr>
    </w:tblStylePr>
    <w:tblStylePr w:type="band1Vert">
      <w:tblPr/>
      <w:tcPr>
        <w:shd w:val="clear" w:color="auto" w:fill="B1BAC7" w:themeFill="accent3" w:themeFillTint="66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5668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shd w:val="clear" w:color="auto" w:fill="B6CEF6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shd w:val="clear" w:color="auto" w:fill="F9E2D2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EE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shd w:val="clear" w:color="auto" w:fill="D8DCE3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4453" w:themeFill="accent3" w:themeFillShade="CC"/>
      </w:tcPr>
    </w:tblStylePr>
    <w:tblStylePr w:type="lastRow">
      <w:rPr>
        <w:b/>
        <w:bCs/>
        <w:color w:val="3B445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CEF6" w:themeFill="accent1" w:themeFillTint="33"/>
    </w:tcPr>
    <w:tblStylePr w:type="firstRow">
      <w:rPr>
        <w:b/>
        <w:bCs/>
      </w:rPr>
      <w:tblPr/>
      <w:tcPr>
        <w:shd w:val="clear" w:color="auto" w:fill="6D9E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9E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2D2" w:themeFill="accent2" w:themeFillTint="33"/>
    </w:tcPr>
    <w:tblStylePr w:type="firstRow">
      <w:rPr>
        <w:b/>
        <w:bCs/>
      </w:rPr>
      <w:tblPr/>
      <w:tcPr>
        <w:shd w:val="clear" w:color="auto" w:fill="F3C5A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C5A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CE3" w:themeFill="accent3" w:themeFillTint="33"/>
    </w:tcPr>
    <w:tblStylePr w:type="firstRow">
      <w:rPr>
        <w:b/>
        <w:bCs/>
      </w:rPr>
      <w:tblPr/>
      <w:tcPr>
        <w:shd w:val="clear" w:color="auto" w:fill="B1BAC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BAC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sz w:val="19"/>
    </w:rPr>
  </w:style>
  <w:style w:type="paragraph" w:customStyle="1" w:styleId="TabelaPCMD">
    <w:name w:val="Tabela PCMD"/>
    <w:basedOn w:val="Normal"/>
    <w:pPr>
      <w:spacing w:after="0" w:line="269" w:lineRule="auto"/>
      <w:jc w:val="left"/>
    </w:pPr>
    <w:rPr>
      <w:sz w:val="19"/>
    </w:rPr>
  </w:style>
  <w:style w:type="paragraph" w:customStyle="1" w:styleId="CorpoPCMD">
    <w:name w:val="Corpo PCMD"/>
    <w:basedOn w:val="Normal"/>
  </w:style>
  <w:style w:type="paragraph" w:customStyle="1" w:styleId="MetadadosPCMD">
    <w:name w:val="Metadados PCMD"/>
    <w:basedOn w:val="Normal"/>
    <w:pPr>
      <w:spacing w:after="0" w:line="252" w:lineRule="auto"/>
    </w:pPr>
    <w:rPr>
      <w:color w:val="4A5668"/>
      <w:sz w:val="16"/>
    </w:rPr>
  </w:style>
  <w:style w:type="paragraph" w:customStyle="1" w:styleId="RodapPCMD">
    <w:name w:val="Rodapé PCMD"/>
    <w:basedOn w:val="Normal"/>
    <w:pPr>
      <w:spacing w:after="0" w:line="252" w:lineRule="auto"/>
    </w:pPr>
    <w:rPr>
      <w:color w:val="4A5668"/>
      <w:sz w:val="15"/>
    </w:rPr>
  </w:style>
  <w:style w:type="paragraph" w:customStyle="1" w:styleId="TabelaTextoPCMD">
    <w:name w:val="Tabela Texto PCMD"/>
  </w:style>
  <w:style w:type="character" w:styleId="TextodoEspaoReservado">
    <w:name w:val="Placeholder Text"/>
    <w:basedOn w:val="Fontepargpadro"/>
    <w:uiPriority w:val="99"/>
    <w:semiHidden/>
    <w:rsid w:val="00F704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cm:documento xmlns:pcm="urn:pcm-direto:documento:1">
  <pcm:titulo>Procedimento: cálculo de MTBF, MTTR e disponibilidade</pcm:titulo>
  <pcm:codigo>PCM-MAN-017</pcm:codigo>
  <pcm:revisao>00</pcm:revisao>
  <pcm:data>A definir</pcm:data>
  <pcm:elaborado>A definir</pcm:elaborado>
  <pcm:aprovado>A definir</pcm:aprovado>
  <pcm:organizacao>A definir</pcm:organizacao>
  <pcm:situacao>Em elaboração</pcm:situacao>
</pcm:documento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96642-2582-4D65-BBFF-722B9D4F9128}">
  <ds:schemaRefs>
    <ds:schemaRef ds:uri="urn:pcm-direto:documento:1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240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padrão de documento PCM Direto</vt:lpstr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Procedimento: cálculo de MTBF, MTTR e disponibilidade</dc:title>
  <dc:subject>Modelo para procedimentos e documentos de manutenção</dc:subject>
  <dc:creator>PCM Direto</dc:creator>
  <cp:keywords>PCM Direto, procedimento, modelo, TAG</cp:keywords>
  <dc:description>generated by python-docx</dc:description>
  <cp:lastModifiedBy>PCM Direto</cp:lastModifiedBy>
  <cp:revision>3</cp:revision>
  <dcterms:created xsi:type="dcterms:W3CDTF">2026-10-27T22:19:00Z</dcterms:created>
  <dcterms:modified xsi:type="dcterms:W3CDTF">2026-10-27T22:41:00Z</dcterms:modified>
  <cp:category/>
</cp:coreProperties>
</file>