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432"/>
        <w:gridCol w:w="1500"/>
        <w:gridCol w:w="3432"/>
      </w:tblGrid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Código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codigo"/>
                <w:tag w:val="codigo"/>
                <w:id w:val="301"/>
                <w:dataBinding w:prefixMappings="xmlns:pcm='urn:pcm-direto:documento:1'" w:xpath="/pcm:documento[1]/pcm:codig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PCM-MAN-019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Organização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organizacao"/>
                <w:tag w:val="organizacao"/>
                <w:id w:val="305"/>
                <w:dataBinding w:prefixMappings="xmlns:pcm='urn:pcm-direto:documento:1'" w:xpath="/pcm:documento[1]/pcm:organizaca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Elaborado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elaborado"/>
                <w:tag w:val="elaborado"/>
                <w:id w:val="303"/>
                <w:dataBinding w:prefixMappings="xmlns:pcm='urn:pcm-direto:documento:1'" w:xpath="/pcm:documento[1]/pcm:elabor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Aprovado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aprovado"/>
                <w:tag w:val="aprovado"/>
                <w:id w:val="304"/>
                <w:dataBinding w:prefixMappings="xmlns:pcm='urn:pcm-direto:documento:1'" w:xpath="/pcm:documento[1]/pcm:aprov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</w:tbl>
    <w:p>
      <w:pPr>
        <w:spacing w:after="0" w:line="120" w:lineRule="exact"/>
      </w:pPr>
    </w:p>
    <w:p>
      <w:pPr>
        <w:pStyle w:val="NotaPCMD"/>
      </w:pPr>
      <w:r>
        <w:rPr>
          <w:b/>
          <w:color w:val="0B2A5B"/>
        </w:rPr>
        <w:t xml:space="preserve">NOTA  </w:t>
      </w:r>
      <w:r>
        <w:t xml:space="preserve">o texto em preto é uma proposta pronta; ajuste metas, prazos e critérios ao seu negócio. Substitua o texto cinza entre </w:t>
      </w:r>
      <w:r>
        <w:rPr>
          <w:color w:val="4A5668"/>
        </w:rPr>
        <w:t xml:space="preserve">[colchetes]</w:t>
      </w:r>
      <w:r>
        <w:t xml:space="preserve"> e apague as orientações.</w:t>
      </w:r>
    </w:p>
    <w:p>
      <w:pPr>
        <w:pStyle w:val="Ttulo1"/>
      </w:pPr>
      <w:r>
        <w:t xml:space="preserve">OBJETIVO</w:t>
      </w:r>
    </w:p>
    <w:p>
      <w:pPr>
        <w:pStyle w:val="CorpoPCMD"/>
      </w:pPr>
      <w:r>
        <w:t xml:space="preserve">Definir como </w:t>
      </w:r>
      <w:r>
        <w:rPr>
          <w:color w:val="4A5668"/>
        </w:rPr>
        <w:t xml:space="preserve">[Nome da empresa]</w:t>
      </w:r>
      <w:r>
        <w:t xml:space="preserve"> escolhe, planeja, executa e revisa a manutenção de cada ativo, de forma que o esforço seja proporcional ao risco e ao valor do ativo para o negócio.</w:t>
      </w:r>
    </w:p>
    <w:p>
      <w:pPr>
        <w:pStyle w:val="Ttulo1"/>
      </w:pPr>
      <w:r>
        <w:t xml:space="preserve">ESCOPO E APLICAÇÃO</w:t>
      </w:r>
    </w:p>
    <w:p>
      <w:pPr>
        <w:pStyle w:val="CorpoPCMD"/>
      </w:pPr>
      <w:r>
        <w:t xml:space="preserve">Aplica-se a todos os ativos cadastrados de </w:t>
      </w:r>
      <w:r>
        <w:rPr>
          <w:color w:val="4A5668"/>
        </w:rPr>
        <w:t xml:space="preserve">[unidades / áreas]</w:t>
      </w:r>
      <w:r>
        <w:t xml:space="preserve">. Complementa o Manual de gestão de ativos (PCM-MAN-018).</w:t>
      </w:r>
    </w:p>
    <w:p>
      <w:pPr>
        <w:pStyle w:val="Ttulo1"/>
      </w:pPr>
      <w:r>
        <w:t xml:space="preserve">RESPONSABILIDADES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Função</w:t>
            </w:r>
          </w:p>
        </w:tc>
        <w:tc>
          <w:tcPr>
            <w:tcW w:w="739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Responsabilidade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Gerente de manutenção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Aprovar a estratégia e garantir recursos.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Engenharia de manutenção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Criticidade, MFMEA, seleção de tarefas e análise de falhas.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Planos, programação, registros e indicadores.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Técnicos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Executar e registrar com qualidade.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Operação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Manutenção autônoma e liberação dos equipamentos.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DOCUMENTOS DE REFERÊNCIA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5129"/>
        <w:gridCol w:w="2367"/>
        <w:gridCol w:w="2368"/>
      </w:tblGrid>
      <w:tr>
        <w:trPr>
          <w:cantSplit/>
          <w:tblHeader/>
          <w:jc w:val="center"/>
        </w:trPr>
        <w:tc>
          <w:tcPr>
            <w:tcW w:w="512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Documento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Código ou versão</w:t>
            </w:r>
          </w:p>
        </w:tc>
        <w:tc>
          <w:tcPr>
            <w:tcW w:w="236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consulta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Confiabilidade e mantenabilidade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ABNT NBR 5462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Critérios para manutenção centrada em confiabilidade (RCM)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SAE JA1011 / JA1012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Coleta e troca de dados de confiabilidade e manutenção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ISO 14224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Indicadores de desempenho da manutenção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EN 15341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[Manuais dos fabricantes e normas regulamentadoras aplicáveis]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[Código ou versão]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TIPOS DE MANUTENÇÃO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3946"/>
        <w:gridCol w:w="3945"/>
      </w:tblGrid>
      <w:tr>
        <w:trPr>
          <w:cantSplit/>
          <w:tblHeader/>
          <w:jc w:val="center"/>
        </w:trPr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w="394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Quando usar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Corretiva não planejada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Reparo depois da falha, sem programação.</w:t>
            </w:r>
          </w:p>
        </w:tc>
        <w:tc>
          <w:tcPr>
            <w:tcW w:w="39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Deve ser exceção. Medir e reduzir.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Corretiva planejada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Rodar até falhar, com peças e recursos prontos.</w:t>
            </w:r>
          </w:p>
        </w:tc>
        <w:tc>
          <w:tcPr>
            <w:tcW w:w="394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Ativos C, falha sem risco e barata.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Preventiva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Tarefa em intervalo fixo de tempo ou uso.</w:t>
            </w:r>
          </w:p>
        </w:tc>
        <w:tc>
          <w:tcPr>
            <w:tcW w:w="39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Desgaste ligado à idade ou ao uso.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Preditiva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Medir a condição (vibração, temperatura, óleo) e agir na tendência.</w:t>
            </w:r>
          </w:p>
        </w:tc>
        <w:tc>
          <w:tcPr>
            <w:tcW w:w="394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com aviso prévio mensurável; ativos A.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Detectiva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Teste de função oculta (proteções, alarmes).</w:t>
            </w:r>
          </w:p>
        </w:tc>
        <w:tc>
          <w:tcPr>
            <w:tcW w:w="39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Dispositivos que só atuam na emergência.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Melhoria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Mudar o projeto para eliminar a falha.</w:t>
            </w:r>
          </w:p>
        </w:tc>
        <w:tc>
          <w:tcPr>
            <w:tcW w:w="394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repetida sem tarefa que resolva.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Manutenção autônoma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Limpeza, inspeção, lubrificação e reaperto pelo operador.</w:t>
            </w:r>
          </w:p>
        </w:tc>
        <w:tc>
          <w:tcPr>
            <w:tcW w:w="39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Todos os ativos de produção.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ESTRATÉGIA POR CRITICIDADE</w:t>
      </w:r>
    </w:p>
    <w:p>
      <w:pPr>
        <w:pStyle w:val="CorpoPCMD"/>
      </w:pPr>
      <w:r>
        <w:t xml:space="preserve">A classe vem do modelo PCM-MAN-002. Ela define o pacote mínimo de manutenção: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2565"/>
        <w:gridCol w:w="2565"/>
        <w:gridCol w:w="2564"/>
      </w:tblGrid>
      <w:tr>
        <w:trPr>
          <w:cantSplit/>
          <w:tblHeader/>
          <w:jc w:val="center"/>
        </w:trPr>
        <w:tc>
          <w:tcPr>
            <w:tcW w:w="217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56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Classe A · crítico</w:t>
            </w:r>
          </w:p>
        </w:tc>
        <w:tc>
          <w:tcPr>
            <w:tcW w:w="256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Classe B · importante</w:t>
            </w:r>
          </w:p>
        </w:tc>
        <w:tc>
          <w:tcPr>
            <w:tcW w:w="256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Classe C · baixo impacto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Análise de falhas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MFMEA completa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MFMEA simplificada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Não exigida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Preventiva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Sim, por MFMEA e fabricante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Sim, do fabricante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Só legal ou de segurança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Preditiva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Sim, onde houver técnica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Avaliar caso a caso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Não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Peças sobressalentes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Críticas em estoque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Avaliar lead time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Comprar na falha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Prioridade da OS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Alta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Média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Baixa</w:t>
            </w:r>
          </w:p>
        </w:tc>
      </w:tr>
      <w:tr>
        <w:trPr>
          <w:cantSplit/>
          <w:jc w:val="center"/>
        </w:trPr>
        <w:tc>
          <w:tcPr>
            <w:tcW w:w="217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Análise de causa raiz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 falha com parada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repetida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Não exigida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SELEÇÃO DAS TAREFAS (MFMEA)</w:t>
      </w:r>
    </w:p>
    <w:p>
      <w:pPr>
        <w:pStyle w:val="CorpoPCMD"/>
      </w:pPr>
      <w:r>
        <w:t xml:space="preserve">Para cada modo de falha relevante, escolha a tarefa pela ordem abaixo. Pare na primeira resposta Sim que seja técnica e economicamente viável: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5918"/>
        <w:gridCol w:w="3354"/>
      </w:tblGrid>
      <w:tr>
        <w:trPr>
          <w:cantSplit/>
          <w:tblHeader/>
          <w:jc w:val="center"/>
        </w:trPr>
        <w:tc>
          <w:tcPr>
            <w:tcW w:w="59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Nº</w:t>
            </w:r>
          </w:p>
        </w:tc>
        <w:tc>
          <w:tcPr>
            <w:tcW w:w="591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Pergunta</w:t>
            </w:r>
          </w:p>
        </w:tc>
        <w:tc>
          <w:tcPr>
            <w:tcW w:w="335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Se Sim</w:t>
            </w:r>
          </w:p>
        </w:tc>
      </w:tr>
      <w:tr>
        <w:trPr>
          <w:cantSplit/>
          <w:jc w:val="center"/>
        </w:trPr>
        <w:tc>
          <w:tcPr>
            <w:tcW w:w="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</w:t>
            </w:r>
          </w:p>
        </w:tc>
        <w:tc>
          <w:tcPr>
            <w:tcW w:w="591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falha dá sinal mensurável antes de acontecer?</w:t>
            </w:r>
          </w:p>
        </w:tc>
        <w:tc>
          <w:tcPr>
            <w:tcW w:w="33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Preditiva (inspeção por condição)</w:t>
            </w:r>
          </w:p>
        </w:tc>
      </w:tr>
      <w:tr>
        <w:trPr>
          <w:cantSplit/>
          <w:jc w:val="center"/>
        </w:trPr>
        <w:tc>
          <w:tcPr>
            <w:tcW w:w="59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</w:t>
            </w:r>
          </w:p>
        </w:tc>
        <w:tc>
          <w:tcPr>
            <w:tcW w:w="591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falha está ligada à idade ou ao uso, com vida previsível?</w:t>
            </w:r>
          </w:p>
        </w:tc>
        <w:tc>
          <w:tcPr>
            <w:tcW w:w="33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Preventiva (troca ou restauração programada)</w:t>
            </w:r>
          </w:p>
        </w:tc>
      </w:tr>
      <w:tr>
        <w:trPr>
          <w:cantSplit/>
          <w:jc w:val="center"/>
        </w:trPr>
        <w:tc>
          <w:tcPr>
            <w:tcW w:w="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</w:t>
            </w:r>
          </w:p>
        </w:tc>
        <w:tc>
          <w:tcPr>
            <w:tcW w:w="591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falha é oculta (só aparece quando se precisa da função)?</w:t>
            </w:r>
          </w:p>
        </w:tc>
        <w:tc>
          <w:tcPr>
            <w:tcW w:w="33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Detectiva (teste periódico)</w:t>
            </w:r>
          </w:p>
        </w:tc>
      </w:tr>
      <w:tr>
        <w:trPr>
          <w:cantSplit/>
          <w:jc w:val="center"/>
        </w:trPr>
        <w:tc>
          <w:tcPr>
            <w:tcW w:w="59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</w:t>
            </w:r>
          </w:p>
        </w:tc>
        <w:tc>
          <w:tcPr>
            <w:tcW w:w="591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consequência é aceitável em segurança e custo?</w:t>
            </w:r>
          </w:p>
        </w:tc>
        <w:tc>
          <w:tcPr>
            <w:tcW w:w="33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Corretiva planejada</w:t>
            </w:r>
          </w:p>
        </w:tc>
      </w:tr>
      <w:tr>
        <w:trPr>
          <w:cantSplit/>
          <w:jc w:val="center"/>
        </w:trPr>
        <w:tc>
          <w:tcPr>
            <w:tcW w:w="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5</w:t>
            </w:r>
          </w:p>
        </w:tc>
        <w:tc>
          <w:tcPr>
            <w:tcW w:w="591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Nenhuma das anteriores resolve?</w:t>
            </w:r>
          </w:p>
        </w:tc>
        <w:tc>
          <w:tcPr>
            <w:tcW w:w="33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Melhoria ou mudança de projeto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PLANO DE MANUTENÇÃO</w:t>
      </w:r>
    </w:p>
    <w:p>
      <w:pPr>
        <w:pStyle w:val="CorpoPCMD"/>
      </w:pPr>
      <w:r>
        <w:t xml:space="preserve">Cada tarefa do plano (PCM-MAN-002, aba Plano) tem no mínimo: TAG, tarefa, tipo, frequência, duração, se exige parada, especialidade e data da 1ª execução. O cronograma anual é gerado a partir do plano.</w:t>
      </w:r>
    </w:p>
    <w:p>
      <w:pPr>
        <w:pStyle w:val="Commarcadores"/>
      </w:pPr>
      <w:r>
        <w:t xml:space="preserve">Frequência inicial: a do fabricante ou da MFMEA, a mais conservadora.</w:t>
      </w:r>
    </w:p>
    <w:p>
      <w:pPr>
        <w:pStyle w:val="Commarcadores"/>
      </w:pPr>
      <w:r>
        <w:t xml:space="preserve">Ajuste da frequência: só com histórico de falhas e inspeções (mínimo de </w:t>
      </w:r>
      <w:r>
        <w:rPr>
          <w:color w:val="4A5668"/>
        </w:rPr>
        <w:t xml:space="preserve">[12 meses]</w:t>
      </w:r>
      <w:r>
        <w:t xml:space="preserve">).</w:t>
      </w:r>
    </w:p>
    <w:p>
      <w:pPr>
        <w:pStyle w:val="Commarcadores"/>
      </w:pPr>
      <w:r>
        <w:t xml:space="preserve">Instruções detalhadas de cada tarefa ficam no checklist (PCM-MAN-005) ou em POP (PCM-MAN-016 / 017).</w:t>
      </w:r>
    </w:p>
    <w:p>
      <w:pPr>
        <w:pStyle w:val="Ttulo1"/>
      </w:pPr>
      <w:r>
        <w:t xml:space="preserve">FLUXO DA ORDEM DE SERVIÇO</w:t>
      </w:r>
    </w:p>
    <w:p>
      <w:pPr>
        <w:pStyle w:val="CorpoPCMD"/>
      </w:pPr>
      <w:r>
        <w:t xml:space="preserve">Do pedido ao aprendizado, todo serviço segue as mesmas etapas e usa o mesmo registro (PCM-MAN-004):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4340"/>
        <w:gridCol w:w="1776"/>
        <w:gridCol w:w="1972"/>
      </w:tblGrid>
      <w:tr>
        <w:trPr>
          <w:cantSplit/>
          <w:tblHeader/>
          <w:jc w:val="center"/>
        </w:trPr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434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acontece</w:t>
            </w:r>
          </w:p>
        </w:tc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  <w:tc>
          <w:tcPr>
            <w:tcW w:w="197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Saída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  Solicitação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Quem vê o problema abre o pedido com a TAG e o sintoma.</w:t>
            </w:r>
          </w:p>
        </w:tc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[Operação]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Pedido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  Triagem</w:t>
            </w:r>
          </w:p>
        </w:tc>
        <w:tc>
          <w:tcPr>
            <w:tcW w:w="4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Define tipo e prioridade pela criticidade do ativo.</w:t>
            </w:r>
          </w:p>
        </w:tc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classificada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  Planejamento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Define passos, peças, pessoas, horas e liberações.</w:t>
            </w:r>
          </w:p>
        </w:tc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planejada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  Programação</w:t>
            </w:r>
          </w:p>
        </w:tc>
        <w:tc>
          <w:tcPr>
            <w:tcW w:w="4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Encaixa no planner com a operação.</w:t>
            </w:r>
          </w:p>
        </w:tc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 + produção]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programada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5  Execução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Executa e registra horas, causa e o que foi feito.</w:t>
            </w:r>
          </w:p>
        </w:tc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[Manutenção]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executada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6  Fechamento</w:t>
            </w:r>
          </w:p>
        </w:tc>
        <w:tc>
          <w:tcPr>
            <w:tcW w:w="4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Operação libera; PCM confere e fecha.</w:t>
            </w:r>
          </w:p>
        </w:tc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[Operação / PCM]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fechada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7  Análise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Falhas relevantes vão para a ficha de falha e o Pareto.</w:t>
            </w:r>
          </w:p>
        </w:tc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[Engenharia]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Aprendizado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PRIORIZAÇÃO DAS ORDENS DE SERVIÇO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5425"/>
        <w:gridCol w:w="2959"/>
      </w:tblGrid>
      <w:tr>
        <w:trPr>
          <w:cantSplit/>
          <w:tblHeader/>
          <w:jc w:val="center"/>
        </w:trPr>
        <w:tc>
          <w:tcPr>
            <w:tcW w:w="148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Prioridade</w:t>
            </w:r>
          </w:p>
        </w:tc>
        <w:tc>
          <w:tcPr>
            <w:tcW w:w="542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Critério</w:t>
            </w:r>
          </w:p>
        </w:tc>
        <w:tc>
          <w:tcPr>
            <w:tcW w:w="295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Início do atendimento</w:t>
            </w:r>
          </w:p>
        </w:tc>
      </w:tr>
      <w:tr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Emergência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Risco à segurança, ao meio ambiente ou parada de ativo A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[Imediato]</w:t>
            </w:r>
          </w:p>
        </w:tc>
      </w:tr>
      <w:tr>
        <w:trPr>
          <w:cantSplit/>
          <w:jc w:val="center"/>
        </w:trPr>
        <w:tc>
          <w:tcPr>
            <w:tcW w:w="148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Alta</w:t>
            </w:r>
          </w:p>
        </w:tc>
        <w:tc>
          <w:tcPr>
            <w:tcW w:w="54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Ativo A com perda de desempenho ou ativo B parado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[Até 24 h]</w:t>
            </w:r>
          </w:p>
        </w:tc>
      </w:tr>
      <w:tr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Média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Ativo B com perda de desempenho; preventiva vencendo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[Até 7 dias]</w:t>
            </w:r>
          </w:p>
        </w:tc>
      </w:tr>
      <w:tr>
        <w:trPr>
          <w:cantSplit/>
          <w:jc w:val="center"/>
        </w:trPr>
        <w:tc>
          <w:tcPr>
            <w:tcW w:w="148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Baixa</w:t>
            </w:r>
          </w:p>
        </w:tc>
        <w:tc>
          <w:tcPr>
            <w:tcW w:w="54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Ativo C, melhorias e serviços sem impacto</w:t>
            </w:r>
          </w:p>
        </w:tc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[Programar no backlog]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PROGRAMAÇÃO</w:t>
      </w:r>
    </w:p>
    <w:p>
      <w:pPr>
        <w:pStyle w:val="CorpoPCMD"/>
      </w:pPr>
      <w:r>
        <w:t xml:space="preserve">A programação é semanal e mensal no Planner (PCM-MAN-003). Só entra na programação o serviço com peças, pessoas, ferramentas e liberação da operação garantidas. Reunião de programação: </w:t>
      </w:r>
      <w:r>
        <w:rPr>
          <w:color w:val="4A5668"/>
        </w:rPr>
        <w:t xml:space="preserve">[toda sexta-feira, com produção e PCM]</w:t>
      </w:r>
      <w:r>
        <w:t xml:space="preserve">.</w:t>
      </w:r>
    </w:p>
    <w:p>
      <w:pPr>
        <w:pStyle w:val="Ttulo1"/>
      </w:pPr>
      <w:r>
        <w:t xml:space="preserve">PARADAS PROGRAMADAS</w:t>
      </w:r>
    </w:p>
    <w:p>
      <w:pPr>
        <w:pStyle w:val="CorpoPCMD"/>
      </w:pPr>
      <w:r>
        <w:t xml:space="preserve">Serviços que exigem parar o equipamento ou a linha são agrupados em paradas programadas (programadas no PCM-MAN-003), combinadas com a produção com antecedência.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6116"/>
        <w:gridCol w:w="1972"/>
      </w:tblGrid>
      <w:tr>
        <w:trPr>
          <w:cantSplit/>
          <w:tblHeader/>
          <w:jc w:val="center"/>
        </w:trPr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Prazo</w:t>
            </w:r>
          </w:p>
        </w:tc>
        <w:tc>
          <w:tcPr>
            <w:tcW w:w="611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Atividade</w:t>
            </w:r>
          </w:p>
        </w:tc>
        <w:tc>
          <w:tcPr>
            <w:tcW w:w="197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[60 dias antes]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Definir escopo, duração e janela com a produção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 + produção]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[30 dias antes]</w:t>
            </w:r>
          </w:p>
        </w:tc>
        <w:tc>
          <w:tcPr>
            <w:tcW w:w="611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Fechar lista de serviços, peças, contratados e permissões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[7 dias antes]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Conferir peças em estoque, equipe, ferramentas e liberações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Durante</w:t>
            </w:r>
          </w:p>
        </w:tc>
        <w:tc>
          <w:tcPr>
            <w:tcW w:w="611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Acompanhar o cronograma da parada e registrar desvios</w:t>
            </w:r>
          </w:p>
        </w:tc>
        <w:tc>
          <w:tcPr>
            <w:tcW w:w="197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[Líder da parada]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[7 dias depois]</w:t>
            </w:r>
          </w:p>
        </w:tc>
        <w:tc>
          <w:tcPr>
            <w:tcW w:w="61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Reunião de fechamento: o que foi feito, o que ficou e lições</w:t>
            </w:r>
          </w:p>
        </w:tc>
        <w:tc>
          <w:tcPr>
            <w:tcW w:w="19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PLANO DE PREDITIVA</w:t>
      </w:r>
    </w:p>
    <w:p>
      <w:pPr>
        <w:pStyle w:val="CorpoPCMD"/>
      </w:pPr>
      <w:r>
        <w:t xml:space="preserve">A condição dos ativos classe A é monitorada pelas técnicas abaixo. Ao passar do limite de alerta, abre-se OS de acordo com a prioridade.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3551"/>
        <w:gridCol w:w="1973"/>
        <w:gridCol w:w="2367"/>
      </w:tblGrid>
      <w:tr>
        <w:trPr>
          <w:cantSplit/>
          <w:tblHeader/>
          <w:jc w:val="center"/>
        </w:trPr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Técnica</w:t>
            </w:r>
          </w:p>
        </w:tc>
        <w:tc>
          <w:tcPr>
            <w:tcW w:w="355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O que mede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Periodicidade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Limite de alerta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Vibração</w:t>
            </w:r>
          </w:p>
        </w:tc>
        <w:tc>
          <w:tcPr>
            <w:tcW w:w="3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Desbalanceamento, folga, rolamentos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[Mensal]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[Conforme ISO 10816 / histórico]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Termografia</w:t>
            </w:r>
          </w:p>
        </w:tc>
        <w:tc>
          <w:tcPr>
            <w:tcW w:w="355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Pontos quentes em painéis e mancais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[Semestral]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[ΔT acima de 20 °C]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Análise de óleo</w:t>
            </w:r>
          </w:p>
        </w:tc>
        <w:tc>
          <w:tcPr>
            <w:tcW w:w="3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Desgaste, contaminação, vida do óleo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[Trimestral]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[Limites do laboratório]</w:t>
            </w:r>
          </w:p>
        </w:tc>
      </w:tr>
      <w:tr>
        <w:trPr>
          <w:cantSplit/>
          <w:jc w:val="center"/>
        </w:trPr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Ultrassom</w:t>
            </w:r>
          </w:p>
        </w:tc>
        <w:tc>
          <w:tcPr>
            <w:tcW w:w="355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Vazamentos e lubrificação de mancais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[Mensal]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[Aumento de dB sobre o padrão]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PEÇAS SOBRESSALENTES</w:t>
      </w:r>
    </w:p>
    <w:p>
      <w:pPr>
        <w:pStyle w:val="CorpoPCMD"/>
      </w:pPr>
      <w:r>
        <w:t xml:space="preserve">Peças dos ativos A com lead time maior que o tempo de parada aceitável ficam em estoque, com mínimo definido (PCM-MAN-010). O estoque mínimo é revisto </w:t>
      </w:r>
      <w:r>
        <w:rPr>
          <w:color w:val="4A5668"/>
        </w:rPr>
        <w:t xml:space="preserve">[a cada 6 meses]</w:t>
      </w:r>
      <w:r>
        <w:t xml:space="preserve"> com o consumo real.</w:t>
      </w:r>
    </w:p>
    <w:p>
      <w:pPr>
        <w:pStyle w:val="Ttulo1"/>
      </w:pPr>
      <w:r>
        <w:t xml:space="preserve">LUBRIFICAÇÃO E CALIBRAÇÃO</w:t>
      </w:r>
    </w:p>
    <w:p>
      <w:pPr>
        <w:pStyle w:val="Commarcadores"/>
      </w:pPr>
      <w:r>
        <w:t xml:space="preserve">Lubrificação: pontos, lubrificante, quantidade e frequência ficam no plano do ativo (PCM-MAN-002). Só se usa o lubrificante especificado, identificado e armazenado limpo.</w:t>
      </w:r>
    </w:p>
    <w:p>
      <w:pPr>
        <w:pStyle w:val="Commarcadores"/>
      </w:pPr>
      <w:r>
        <w:t xml:space="preserve">Calibração: instrumentos de medição que afetam segurança, qualidade ou o resultado do serviço têm identificação, validade e certificado. Instrumento vencido não é usado.</w:t>
      </w:r>
    </w:p>
    <w:p>
      <w:pPr>
        <w:pStyle w:val="Commarcadores"/>
      </w:pPr>
      <w:r>
        <w:t xml:space="preserve">Ambos entram na programação como qualquer outra tarefa preventiva.</w:t>
      </w:r>
    </w:p>
    <w:p>
      <w:pPr>
        <w:pStyle w:val="Ttulo1"/>
      </w:pPr>
      <w:r>
        <w:t xml:space="preserve">MANUTENÇÃO AUTÔNOMA</w:t>
      </w:r>
    </w:p>
    <w:p>
      <w:pPr>
        <w:pStyle w:val="CorpoPCMD"/>
      </w:pPr>
      <w:r>
        <w:t xml:space="preserve">Os operadores fazem limpeza, inspeção, lubrificação e reaperto conforme o check de cada máquina (PCM-MAN-014). Anomalias recebem etiqueta e viram OS quando o operador não consegue resolver.</w:t>
      </w:r>
    </w:p>
    <w:p>
      <w:pPr>
        <w:pStyle w:val="Ttulo1"/>
      </w:pPr>
      <w:r>
        <w:t xml:space="preserve">EQUIPE E BACKLOG</w:t>
      </w:r>
    </w:p>
    <w:p>
      <w:pPr>
        <w:pStyle w:val="CorpoPCMD"/>
      </w:pPr>
      <w:r>
        <w:t xml:space="preserve">A equipe é dimensionada pelas horas do plano mais uma folga para corretivas: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7497"/>
      </w:tblGrid>
      <w:tr>
        <w:trPr>
          <w:cantSplit/>
          <w:tblHeader/>
          <w:jc w:val="center"/>
        </w:trPr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Passo</w:t>
            </w:r>
          </w:p>
        </w:tc>
        <w:tc>
          <w:tcPr>
            <w:tcW w:w="749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Cálculo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  Horas do plano</w:t>
            </w:r>
          </w:p>
        </w:tc>
        <w:tc>
          <w:tcPr>
            <w:tcW w:w="749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Soma das horas de preventiva e preditiva do mês (PCM-MAN-002, aba Cronograma).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  Horas de corretiva</w:t>
            </w:r>
          </w:p>
        </w:tc>
        <w:tc>
          <w:tcPr>
            <w:tcW w:w="749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Média dos últimos </w:t>
            </w:r>
            <w:r>
              <w:rPr>
                <w:color w:val="4A5668"/>
              </w:rPr>
              <w:t xml:space="preserve">[6 meses]</w:t>
            </w:r>
            <w:r>
              <w:t xml:space="preserve"> (PCM-MAN-011).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  Horas necessárias</w:t>
            </w:r>
          </w:p>
        </w:tc>
        <w:tc>
          <w:tcPr>
            <w:tcW w:w="749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(Passo 1 + passo 2) ÷ (1 − folga para férias, treinamento e deslocamento, ex.: 20%).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  Pessoas</w:t>
            </w:r>
          </w:p>
        </w:tc>
        <w:tc>
          <w:tcPr>
            <w:tcW w:w="749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necessárias ÷ horas mensais de um técnico, por especialidade.</w:t>
            </w:r>
          </w:p>
        </w:tc>
      </w:tr>
    </w:tbl>
    <w:p>
      <w:pPr>
        <w:spacing w:after="0"/>
      </w:pPr>
    </w:p>
    <w:p>
      <w:pPr>
        <w:pStyle w:val="CorpoPCMD"/>
      </w:pPr>
      <w:r>
        <w:t xml:space="preserve">Backlog saudável: </w:t>
      </w:r>
      <w:r>
        <w:rPr>
          <w:color w:val="4A5668"/>
        </w:rPr>
        <w:t xml:space="preserve">[2 a 4 semanas]</w:t>
      </w:r>
      <w:r>
        <w:t xml:space="preserve"> de trabalho. Abaixo disso, falta serviço planejado; acima, falta gente ou há serviço que deveria ser cancelado. O backlog é revisto toda semana na reunião de programação.</w:t>
      </w:r>
    </w:p>
    <w:p>
      <w:pPr>
        <w:pStyle w:val="Ttulo1"/>
      </w:pPr>
      <w:r>
        <w:t xml:space="preserve">INDICADORES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5425"/>
        <w:gridCol w:w="1973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542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Cálculo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Disponibilidade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(Tempo programado − tempo parado) ÷ tempo programado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[≥ 95%]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MTBF</w:t>
            </w:r>
          </w:p>
        </w:tc>
        <w:tc>
          <w:tcPr>
            <w:tcW w:w="54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Tempo de operação ÷ nº de falhas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[subir]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MTTR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Tempo de reparo ÷ nº de falhas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[baixar]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% corretiva</w:t>
            </w:r>
          </w:p>
        </w:tc>
        <w:tc>
          <w:tcPr>
            <w:tcW w:w="54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em corretiva ÷ horas totais de manutenção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[≤ 20%]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Aderência à preventiva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Preventivas feitas no prazo ÷ programadas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[≥ 90%]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Backlog</w:t>
            </w:r>
          </w:p>
        </w:tc>
        <w:tc>
          <w:tcPr>
            <w:tcW w:w="542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de serviço pendente ÷ horas disponíveis por semana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[2 a 4 semanas]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Custo</w:t>
            </w:r>
          </w:p>
        </w:tc>
        <w:tc>
          <w:tcPr>
            <w:tcW w:w="5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Custo realizado ÷ orçado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[≤ 100%]</w:t>
            </w:r>
          </w:p>
        </w:tc>
      </w:tr>
    </w:tbl>
    <w:p>
      <w:pPr>
        <w:spacing w:after="0"/>
      </w:pPr>
    </w:p>
    <w:p>
      <w:pPr>
        <w:pStyle w:val="CorpoPCMD"/>
      </w:pPr>
      <w:r>
        <w:t xml:space="preserve">Os indicadores são calculados no PCM-MAN-011 e analisados </w:t>
      </w:r>
      <w:r>
        <w:rPr>
          <w:color w:val="4A5668"/>
        </w:rPr>
        <w:t xml:space="preserve">[mensalmente]</w:t>
      </w:r>
      <w:r>
        <w:t xml:space="preserve">.</w:t>
      </w:r>
    </w:p>
    <w:p>
      <w:pPr>
        <w:pStyle w:val="Ttulo1"/>
      </w:pPr>
      <w:r>
        <w:t xml:space="preserve">ANÁLISE DE FALHAS E MELHORIA</w:t>
      </w:r>
    </w:p>
    <w:p>
      <w:pPr>
        <w:pStyle w:val="CorpoPCMD"/>
      </w:pPr>
      <w:r>
        <w:t xml:space="preserve">Falhas são registradas na ficha de falha (PCM-MAN-008). O Pareto mensal indica as maiores perdas. Falha com parada em ativo A, ou repetida, abre ação corretiva com causa raiz (PCM-MAN-009).</w:t>
      </w:r>
    </w:p>
    <w:p>
      <w:pPr>
        <w:pStyle w:val="Ttulo1"/>
      </w:pPr>
      <w:r>
        <w:t xml:space="preserve">REVISÃO DA ESTRATÉGIA</w:t>
      </w:r>
    </w:p>
    <w:p>
      <w:pPr>
        <w:pStyle w:val="Commarcadores"/>
      </w:pPr>
      <w:r>
        <w:t xml:space="preserve">Revisão geral </w:t>
      </w:r>
      <w:r>
        <w:rPr>
          <w:color w:val="4A5668"/>
        </w:rPr>
        <w:t xml:space="preserve">[anual]</w:t>
      </w:r>
      <w:r>
        <w:t xml:space="preserve">, com criticidade, planos e indicadores.</w:t>
      </w:r>
    </w:p>
    <w:p>
      <w:pPr>
        <w:pStyle w:val="Commarcadores"/>
      </w:pPr>
      <w:r>
        <w:t xml:space="preserve">Revisão extra quando: falha grave, mudança de processo, novo ativo ou resultado fora da meta por </w:t>
      </w:r>
      <w:r>
        <w:rPr>
          <w:color w:val="4A5668"/>
        </w:rPr>
        <w:t xml:space="preserve">[3 meses seguidos]</w:t>
      </w:r>
      <w:r>
        <w:t xml:space="preserve">.</w:t>
      </w:r>
    </w:p>
    <w:p>
      <w:pPr>
        <w:pStyle w:val="Ttulo1"/>
      </w:pPr>
      <w:r>
        <w:t xml:space="preserve">REGISTROS E ANEXOS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452"/>
        <w:gridCol w:w="3946"/>
        <w:gridCol w:w="2466"/>
      </w:tblGrid>
      <w:tr>
        <w:trPr>
          <w:cantSplit/>
          <w:tblHeader/>
          <w:jc w:val="center"/>
        </w:trPr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 ou anexo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armazenamento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Atas de análise crítica e relatórios de indicadores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 ou sistema]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Registros dos modelos PCM Direto citados neste manual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 ou sistema]</w:t>
            </w: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[PCM]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HISTÓRICO DE REVISÕES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282"/>
        <w:gridCol w:w="4932"/>
        <w:gridCol w:w="2466"/>
      </w:tblGrid>
      <w:tr>
        <w:trPr>
          <w:cantSplit/>
          <w:tblHeader/>
          <w:jc w:val="center"/>
        </w:trPr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Revisão</w:t>
            </w:r>
          </w:p>
        </w:tc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Descrição da alteração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00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A definir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Emissão inicial.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</w:tbl>
    <w:p>
      <w:pPr>
        <w:spacing w:after="0"/>
      </w:pPr>
    </w:p>
    <w:sectPr w:rsidR="006444D5" w:rsidSect="005E30B9">
      <w:headerReference w:type="default" r:id="rId9"/>
      <w:footerReference w:type="default" r:id="rId10"/>
      <w:pgSz w:w="11906" w:h="16838" w:code="9"/>
      <w:pgMar w:top="1304" w:right="1021" w:bottom="1134" w:left="102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E23F" w14:textId="77777777" w:rsidR="00560059" w:rsidRDefault="00560059">
      <w:pPr>
        <w:spacing w:after="0" w:line="240" w:lineRule="auto"/>
      </w:pPr>
      <w:r>
        <w:separator/>
      </w:r>
    </w:p>
  </w:endnote>
  <w:endnote w:type="continuationSeparator" w:id="0">
    <w:p w14:paraId="688FDAA7" w14:textId="77777777" w:rsidR="00560059" w:rsidRDefault="0056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97" w:type="dxa"/>
      <w:tblInd w:w="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700"/>
      <w:gridCol w:w="2597"/>
    </w:tblGrid>
    <w:tr w:rsidR="006444D5" w14:paraId="35968896" w14:textId="77777777" w:rsidTr="001300BE">
      <w:tc>
        <w:tcPr>
          <w:tcW w:w="6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E2EB6F" w14:textId="59860141" w:rsidR="006444D5" w:rsidRDefault="00ED6D3A">
          <w:pPr>
            <w:pStyle w:val="RodapPCMD"/>
          </w:pPr>
          <w:r>
            <w:t xml:space="preserve">PCM </w:t>
          </w:r>
          <w:proofErr w:type="gramStart"/>
          <w:r>
            <w:t>Direto  ·</w:t>
          </w:r>
          <w:proofErr w:type="gramEnd"/>
          <w:r>
            <w:t xml:space="preserve">  </w:t>
          </w:r>
          <w:sdt>
            <w:sdtPr>
              <w:alias w:val="codigo"/>
              <w:tag w:val="codigo"/>
              <w:id w:val="107"/>
              <w:dataBinding w:prefixMappings="xmlns:pcm='urn:pcm-direto:documento:1'" w:xpath="/pcm:documento[1]/pcm:codigo[1]" w:storeItemID="{AB496642-2582-4D65-BBFF-722B9D4F9128}"/>
              <w:text/>
            </w:sdtPr>
            <w:sdtContent>
              <w:r>
                <w:t>PCM-MAN-019</w:t>
              </w:r>
            </w:sdtContent>
          </w:sdt>
          <w:r>
            <w:t xml:space="preserve">  ·  Rev. </w:t>
          </w:r>
          <w:sdt>
            <w:sdtPr>
              <w:alias w:val="revisao"/>
              <w:tag w:val="revisao"/>
              <w:id w:val="108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t>00</w:t>
              </w:r>
            </w:sdtContent>
          </w:sdt>
          <w:r>
            <w:t xml:space="preserve">  ·  </w:t>
          </w:r>
          <w:sdt>
            <w:sdtPr>
              <w:alias w:val="data"/>
              <w:tag w:val="data"/>
              <w:id w:val="109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t>A definir</w:t>
              </w:r>
            </w:sdtContent>
          </w:sdt>
          <w:r>
            <w:t xml:space="preserve">  ·  Cópia impressa não controlada</w:t>
          </w:r>
        </w:p>
      </w:tc>
      <w:tc>
        <w:tcPr>
          <w:tcW w:w="259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6EB805" w14:textId="0F5629ED" w:rsidR="006444D5" w:rsidRDefault="00ED6D3A">
          <w:pPr>
            <w:pStyle w:val="RodapPCMD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B02A421" w14:textId="7BB80879" w:rsidR="006444D5" w:rsidRDefault="001300BE" w:rsidP="005E30B9">
    <w:pP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5B8E360" wp14:editId="5DF2342F">
              <wp:simplePos x="0" y="0"/>
              <wp:positionH relativeFrom="margin">
                <wp:align>left</wp:align>
              </wp:positionH>
              <wp:positionV relativeFrom="paragraph">
                <wp:posOffset>-255269</wp:posOffset>
              </wp:positionV>
              <wp:extent cx="6263640" cy="45719"/>
              <wp:effectExtent l="0" t="0" r="0" b="0"/>
              <wp:wrapNone/>
              <wp:docPr id="2" name="Shape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63640" cy="45719"/>
                      </a:xfrm>
                      <a:prstGeom prst="rect">
                        <a:avLst/>
                      </a:prstGeom>
                      <a:solidFill>
                        <a:srgbClr val="E2701F"/>
                      </a:solidFill>
                      <a:ln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2E361" id="Shape 0" o:spid="_x0000_s1026" style="position:absolute;margin-left:0;margin-top:-20.1pt;width:493.2pt;height:3.6p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" fillcolor="#e2701f" stroked="f">
              <w10:wrap anchorx="margin"/>
            </v:rect>
          </w:pict>
        </mc:Fallback>
      </mc:AlternateContent>
    </w:r>
    <w:r w:rsidR="004E55E6">
      <w:rPr>
        <w:noProof/>
      </w:rPr>
      <w:drawing>
        <wp:anchor distT="0" distB="0" distL="114300" distR="114300" simplePos="0" relativeHeight="251671552" behindDoc="0" locked="0" layoutInCell="1" allowOverlap="1" wp14:anchorId="4B6F40A6" wp14:editId="141EA25C">
          <wp:simplePos x="0" y="0"/>
          <wp:positionH relativeFrom="margin">
            <wp:posOffset>78105</wp:posOffset>
          </wp:positionH>
          <wp:positionV relativeFrom="paragraph">
            <wp:posOffset>-160210</wp:posOffset>
          </wp:positionV>
          <wp:extent cx="179705" cy="17970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EF93" w14:textId="77777777" w:rsidR="00560059" w:rsidRDefault="00560059">
      <w:pPr>
        <w:spacing w:after="0" w:line="240" w:lineRule="auto"/>
      </w:pPr>
      <w:r>
        <w:separator/>
      </w:r>
    </w:p>
  </w:footnote>
  <w:footnote w:type="continuationSeparator" w:id="0">
    <w:p w14:paraId="62435CBD" w14:textId="77777777" w:rsidR="00560059" w:rsidRDefault="0056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30"/>
      <w:gridCol w:w="5804"/>
      <w:gridCol w:w="2030"/>
    </w:tblGrid>
    <w:tr w:rsidR="006639E2" w:rsidRPr="006639E2" w14:paraId="5777CE05" w14:textId="77777777" w:rsidTr="001300BE">
      <w:trPr>
        <w:trHeight w:val="139"/>
      </w:trPr>
      <w:tc>
        <w:tcPr>
          <w:tcW w:w="2030" w:type="dxa"/>
          <w:tcBorders>
            <w:top w:val="single" w:sz="4" w:space="0" w:color="162855"/>
            <w:left w:val="single" w:sz="4" w:space="0" w:color="162855"/>
            <w:bottom w:val="single" w:sz="4" w:space="0" w:color="162855"/>
            <w:right w:val="single" w:sz="4" w:space="0" w:color="FFFFFF" w:themeColor="background1"/>
          </w:tcBorders>
          <w:shd w:val="clear" w:color="auto" w:fill="162855"/>
          <w:tcMar>
            <w:top w:w="100" w:type="dxa"/>
            <w:left w:w="220" w:type="dxa"/>
            <w:bottom w:w="100" w:type="dxa"/>
            <w:right w:w="160" w:type="dxa"/>
          </w:tcMar>
          <w:vAlign w:val="center"/>
        </w:tcPr>
        <w:p w14:paraId="04F041B1" w14:textId="77777777" w:rsidR="006639E2" w:rsidRPr="00945E7F" w:rsidRDefault="006639E2" w:rsidP="00F040AC">
          <w:pPr>
            <w:spacing w:after="0"/>
            <w:ind w:left="708"/>
            <w:rPr>
              <w:rFonts w:ascii="Arial Black" w:eastAsia="Arial Black" w:hAnsi="Arial Black" w:cs="Arial Black"/>
              <w:color w:val="FFFFFF"/>
              <w:sz w:val="27"/>
              <w:szCs w:val="27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A2783D0" wp14:editId="5BD224B8">
                <wp:simplePos x="0" y="0"/>
                <wp:positionH relativeFrom="column">
                  <wp:posOffset>-109855</wp:posOffset>
                </wp:positionH>
                <wp:positionV relativeFrom="paragraph">
                  <wp:posOffset>-32385</wp:posOffset>
                </wp:positionV>
                <wp:extent cx="1206500" cy="359410"/>
                <wp:effectExtent l="0" t="0" r="0" b="0"/>
                <wp:wrapNone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50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04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FFFFFF" w:themeColor="background1"/>
          </w:tcBorders>
          <w:shd w:val="clear" w:color="auto" w:fill="162855"/>
          <w:vAlign w:val="center"/>
        </w:tcPr>
        <w:p w14:paraId="1014DFD9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2"/>
            </w:rPr>
          </w:pPr>
          <w:sdt>
            <w:sdtPr>
              <w:alias w:val="titulo"/>
              <w:tag w:val="titulo"/>
              <w:id w:val="201"/>
              <w:dataBinding w:prefixMappings="xmlns:pcm='urn:pcm-direto:documento:1'" w:xpath="/pcm:documento[1]/pcm:titul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22"/>
                </w:rPr>
                <w:t>Manual de estratégia de manutenção</w:t>
              </w:r>
            </w:sdtContent>
          </w:sdt>
        </w:p>
      </w:tc>
      <w:tc>
        <w:tcPr>
          <w:tcW w:w="2030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0F1D3D"/>
          </w:tcBorders>
          <w:shd w:val="clear" w:color="auto" w:fill="162855"/>
          <w:vAlign w:val="center"/>
        </w:tcPr>
        <w:p w14:paraId="0BDC3252" w14:textId="77777777" w:rsidR="006639E2" w:rsidRPr="00F040AC" w:rsidRDefault="006639E2" w:rsidP="00F040AC">
          <w:pPr>
            <w:spacing w:after="0"/>
            <w:jc w:val="center"/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Rev. </w:t>
          </w:r>
          <w:sdt>
            <w:sdtPr>
              <w:alias w:val="revisao"/>
              <w:tag w:val="revisao"/>
              <w:id w:val="202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00</w:t>
              </w:r>
            </w:sdtContent>
          </w:sdt>
        </w:p>
        <w:p w14:paraId="198326E5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4"/>
              <w:szCs w:val="24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Data: </w:t>
          </w:r>
          <w:sdt>
            <w:sdtPr>
              <w:alias w:val="data"/>
              <w:tag w:val="data"/>
              <w:id w:val="203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A definir</w:t>
              </w:r>
            </w:sdtContent>
          </w:sdt>
        </w:p>
      </w:tc>
    </w:tr>
  </w:tbl>
  <w:p w14:paraId="3B4C8B04" w14:textId="59210991" w:rsidR="00407D4C" w:rsidRDefault="00407D4C" w:rsidP="00F040AC"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3C1D20"/>
    <w:multiLevelType w:val="multilevel"/>
    <w:tmpl w:val="7B2E4C20"/>
    <w:lvl w:ilvl="0">
      <w:start w:val="1"/>
      <w:numFmt w:val="decimal"/>
      <w:pStyle w:val="Ttulo1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680"/>
        </w:tabs>
        <w:ind w:left="680" w:hanging="680"/>
      </w:p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0BE"/>
    <w:rsid w:val="0015074B"/>
    <w:rsid w:val="001671B9"/>
    <w:rsid w:val="0029639D"/>
    <w:rsid w:val="002B7B27"/>
    <w:rsid w:val="00326F90"/>
    <w:rsid w:val="00407D4C"/>
    <w:rsid w:val="004978DB"/>
    <w:rsid w:val="004E55E6"/>
    <w:rsid w:val="00560059"/>
    <w:rsid w:val="005E30B9"/>
    <w:rsid w:val="006444D5"/>
    <w:rsid w:val="006639E2"/>
    <w:rsid w:val="0096601F"/>
    <w:rsid w:val="00AA1D8D"/>
    <w:rsid w:val="00AE558C"/>
    <w:rsid w:val="00B47730"/>
    <w:rsid w:val="00B93FBD"/>
    <w:rsid w:val="00CB0664"/>
    <w:rsid w:val="00ED6D3A"/>
    <w:rsid w:val="00F040AC"/>
    <w:rsid w:val="00F51B73"/>
    <w:rsid w:val="00F70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B7E207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eastAsia="Arial" w:hAnsi="Arial" w:cs="Arial"/>
      <w:color w:val="0E1726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240"/>
      <w:jc w:val="left"/>
      <w:outlineLvl w:val="0"/>
    </w:pPr>
    <w:rPr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40"/>
      <w:jc w:val="left"/>
      <w:outlineLvl w:val="1"/>
    </w:pPr>
    <w:rPr>
      <w:b/>
      <w:bCs/>
      <w:color w:val="0B2A5B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5142D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B2A5B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81F44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b/>
      <w:color w:val="000000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81F44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5142D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B2A5B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B2A5B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0B2A5B" w:themeColor="accent1"/>
      </w:pBdr>
      <w:spacing w:before="200" w:after="280"/>
      <w:ind w:left="936" w:right="936"/>
    </w:pPr>
    <w:rPr>
      <w:b/>
      <w:bCs/>
      <w:i/>
      <w:iCs/>
      <w:color w:val="0B2A5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B2A5B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B2A5B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E2701F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E2701F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81F44" w:themeColor="accent1" w:themeShade="BF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AA5316" w:themeColor="accent2" w:themeShade="BF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37404D" w:themeColor="accent3" w:themeShade="BF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1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  <w:shd w:val="clear" w:color="auto" w:fill="A4C3F4" w:themeFill="accent1" w:themeFillTint="3F"/>
      </w:tcPr>
    </w:tblStylePr>
    <w:tblStylePr w:type="band2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1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  <w:shd w:val="clear" w:color="auto" w:fill="F7DBC7" w:themeFill="accent2" w:themeFillTint="3F"/>
      </w:tcPr>
    </w:tblStylePr>
    <w:tblStylePr w:type="band2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1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  <w:shd w:val="clear" w:color="auto" w:fill="CED4DC" w:themeFill="accent3" w:themeFillTint="3F"/>
      </w:tcPr>
    </w:tblStylePr>
    <w:tblStylePr w:type="band2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C3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B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D4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2A5B" w:themeColor="accen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shd w:val="clear" w:color="auto" w:fill="A4C3F4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701F" w:themeColor="accent2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shd w:val="clear" w:color="auto" w:fill="F7DBC7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5668" w:themeColor="accent3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shd w:val="clear" w:color="auto" w:fill="CED4DC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2A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2A5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2A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2A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C3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70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70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70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B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566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566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566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D4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  <w:insideV w:val="single" w:sz="8" w:space="0" w:color="1653B6" w:themeColor="accent1" w:themeTint="BF"/>
      </w:tblBorders>
    </w:tblPr>
    <w:tcPr>
      <w:shd w:val="clear" w:color="auto" w:fill="A4C3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53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  <w:insideV w:val="single" w:sz="8" w:space="0" w:color="E99357" w:themeColor="accent2" w:themeTint="BF"/>
      </w:tblBorders>
    </w:tblPr>
    <w:tcPr>
      <w:shd w:val="clear" w:color="auto" w:fill="F7DB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935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  <w:insideV w:val="single" w:sz="8" w:space="0" w:color="6D7E97" w:themeColor="accent3" w:themeTint="BF"/>
      </w:tblBorders>
    </w:tblPr>
    <w:tcPr>
      <w:shd w:val="clear" w:color="auto" w:fill="CED4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7E9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cPr>
      <w:shd w:val="clear" w:color="auto" w:fill="A4C3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BE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CEF6" w:themeFill="accent1" w:themeFillTint="33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tcBorders>
          <w:insideH w:val="single" w:sz="6" w:space="0" w:color="0B2A5B" w:themeColor="accent1"/>
          <w:insideV w:val="single" w:sz="6" w:space="0" w:color="0B2A5B" w:themeColor="accent1"/>
        </w:tcBorders>
        <w:shd w:val="clear" w:color="auto" w:fill="4986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cPr>
      <w:shd w:val="clear" w:color="auto" w:fill="F7DB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2D2" w:themeFill="accent2" w:themeFillTint="33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tcBorders>
          <w:insideH w:val="single" w:sz="6" w:space="0" w:color="E2701F" w:themeColor="accent2"/>
          <w:insideV w:val="single" w:sz="6" w:space="0" w:color="E2701F" w:themeColor="accent2"/>
        </w:tcBorders>
        <w:shd w:val="clear" w:color="auto" w:fill="F0B7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cPr>
      <w:shd w:val="clear" w:color="auto" w:fill="CED4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EE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CE3" w:themeFill="accent3" w:themeFillTint="33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tcBorders>
          <w:insideH w:val="single" w:sz="6" w:space="0" w:color="4A5668" w:themeColor="accent3"/>
          <w:insideV w:val="single" w:sz="6" w:space="0" w:color="4A5668" w:themeColor="accent3"/>
        </w:tcBorders>
        <w:shd w:val="clear" w:color="auto" w:fill="9EA9B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C3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86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86E9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B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7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78F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D4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A9B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A9BA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2A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142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F4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70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37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531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566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2A3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04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B2A5B" w:themeColor="accent1"/>
        <w:bottom w:val="single" w:sz="4" w:space="0" w:color="0B2A5B" w:themeColor="accent1"/>
        <w:right w:val="single" w:sz="4" w:space="0" w:color="0B2A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836" w:themeColor="accent1" w:themeShade="99"/>
          <w:insideV w:val="nil"/>
        </w:tcBorders>
        <w:shd w:val="clear" w:color="auto" w:fill="061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36" w:themeFill="accent1" w:themeFillShade="99"/>
      </w:tcPr>
    </w:tblStylePr>
    <w:tblStylePr w:type="band1Vert">
      <w:tblPr/>
      <w:tcPr>
        <w:shd w:val="clear" w:color="auto" w:fill="6D9EED" w:themeFill="accent1" w:themeFillTint="66"/>
      </w:tcPr>
    </w:tblStylePr>
    <w:tblStylePr w:type="band1Horz">
      <w:tblPr/>
      <w:tcPr>
        <w:shd w:val="clear" w:color="auto" w:fill="4986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E2701F" w:themeColor="accent2"/>
        <w:bottom w:val="single" w:sz="4" w:space="0" w:color="E2701F" w:themeColor="accent2"/>
        <w:right w:val="single" w:sz="4" w:space="0" w:color="E270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21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211" w:themeColor="accent2" w:themeShade="99"/>
          <w:insideV w:val="nil"/>
        </w:tcBorders>
        <w:shd w:val="clear" w:color="auto" w:fill="88421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211" w:themeFill="accent2" w:themeFillShade="99"/>
      </w:tcPr>
    </w:tblStylePr>
    <w:tblStylePr w:type="band1Vert">
      <w:tblPr/>
      <w:tcPr>
        <w:shd w:val="clear" w:color="auto" w:fill="F3C5A5" w:themeFill="accent2" w:themeFillTint="66"/>
      </w:tcPr>
    </w:tblStylePr>
    <w:tblStylePr w:type="band1Horz">
      <w:tblPr/>
      <w:tcPr>
        <w:shd w:val="clear" w:color="auto" w:fill="F0B7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4A5668" w:themeColor="accent3"/>
        <w:bottom w:val="single" w:sz="4" w:space="0" w:color="4A5668" w:themeColor="accent3"/>
        <w:right w:val="single" w:sz="4" w:space="0" w:color="4A566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33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33E" w:themeColor="accent3" w:themeShade="99"/>
          <w:insideV w:val="nil"/>
        </w:tcBorders>
        <w:shd w:val="clear" w:color="auto" w:fill="2C333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33E" w:themeFill="accent3" w:themeFillShade="99"/>
      </w:tcPr>
    </w:tblStylePr>
    <w:tblStylePr w:type="band1Vert">
      <w:tblPr/>
      <w:tcPr>
        <w:shd w:val="clear" w:color="auto" w:fill="B1BAC7" w:themeFill="accent3" w:themeFillTint="66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5668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shd w:val="clear" w:color="auto" w:fill="B6CEF6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shd w:val="clear" w:color="auto" w:fill="F9E2D2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EE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shd w:val="clear" w:color="auto" w:fill="D8DCE3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4453" w:themeFill="accent3" w:themeFillShade="CC"/>
      </w:tcPr>
    </w:tblStylePr>
    <w:tblStylePr w:type="lastRow">
      <w:rPr>
        <w:b/>
        <w:bCs/>
        <w:color w:val="3B445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CEF6" w:themeFill="accent1" w:themeFillTint="33"/>
    </w:tcPr>
    <w:tblStylePr w:type="firstRow">
      <w:rPr>
        <w:b/>
        <w:bCs/>
      </w:rPr>
      <w:tblPr/>
      <w:tcPr>
        <w:shd w:val="clear" w:color="auto" w:fill="6D9E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9E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2D2" w:themeFill="accent2" w:themeFillTint="33"/>
    </w:tcPr>
    <w:tblStylePr w:type="firstRow">
      <w:rPr>
        <w:b/>
        <w:bCs/>
      </w:rPr>
      <w:tblPr/>
      <w:tcPr>
        <w:shd w:val="clear" w:color="auto" w:fill="F3C5A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5A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CE3" w:themeFill="accent3" w:themeFillTint="33"/>
    </w:tcPr>
    <w:tblStylePr w:type="firstRow">
      <w:rPr>
        <w:b/>
        <w:bCs/>
      </w:rPr>
      <w:tblPr/>
      <w:tcPr>
        <w:shd w:val="clear" w:color="auto" w:fill="B1BA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BA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sz w:val="19"/>
    </w:rPr>
  </w:style>
  <w:style w:type="paragraph" w:customStyle="1" w:styleId="TabelaPCMD">
    <w:name w:val="Tabela PCMD"/>
    <w:basedOn w:val="Normal"/>
    <w:pPr>
      <w:spacing w:after="0" w:line="269" w:lineRule="auto"/>
      <w:jc w:val="left"/>
    </w:pPr>
    <w:rPr>
      <w:sz w:val="19"/>
    </w:rPr>
  </w:style>
  <w:style w:type="paragraph" w:customStyle="1" w:styleId="CorpoPCMD">
    <w:name w:val="Corpo PCMD"/>
    <w:basedOn w:val="Normal"/>
  </w:style>
  <w:style w:type="paragraph" w:customStyle="1" w:styleId="MetadadosPCMD">
    <w:name w:val="Metadados PCMD"/>
    <w:basedOn w:val="Normal"/>
    <w:pPr>
      <w:spacing w:after="0" w:line="252" w:lineRule="auto"/>
    </w:pPr>
    <w:rPr>
      <w:color w:val="4A5668"/>
      <w:sz w:val="16"/>
    </w:rPr>
  </w:style>
  <w:style w:type="paragraph" w:customStyle="1" w:styleId="RodapPCMD">
    <w:name w:val="Rodapé PCMD"/>
    <w:basedOn w:val="Normal"/>
    <w:pPr>
      <w:spacing w:after="0" w:line="252" w:lineRule="auto"/>
    </w:pPr>
    <w:rPr>
      <w:color w:val="4A5668"/>
      <w:sz w:val="15"/>
    </w:rPr>
  </w:style>
  <w:style w:type="paragraph" w:customStyle="1" w:styleId="TabelaTextoPCMD">
    <w:name w:val="Tabela Texto PCMD"/>
  </w:style>
  <w:style w:type="character" w:styleId="TextodoEspaoReservado">
    <w:name w:val="Placeholder Text"/>
    <w:basedOn w:val="Fontepargpadro"/>
    <w:uiPriority w:val="99"/>
    <w:semiHidden/>
    <w:rsid w:val="00F704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cm:documento xmlns:pcm="urn:pcm-direto:documento:1">
  <pcm:titulo>Manual de estratégia de manutenção</pcm:titulo>
  <pcm:codigo>PCM-MAN-019</pcm:codigo>
  <pcm:revisao>00</pcm:revisao>
  <pcm:data>A definir</pcm:data>
  <pcm:elaborado>A definir</pcm:elaborado>
  <pcm:aprovado>A definir</pcm:aprovado>
  <pcm:organizacao>A definir</pcm:organizacao>
  <pcm:situacao>Em elaboração</pcm:situacao>
</pcm:documento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96642-2582-4D65-BBFF-722B9D4F9128}">
  <ds:schemaRefs>
    <ds:schemaRef ds:uri="urn:pcm-direto:documento:1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240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padrão de documento PCM Direto</vt:lpstr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estratégia de manutenção</dc:title>
  <dc:subject>Modelo para procedimentos e documentos de manutenção</dc:subject>
  <dc:creator>PCM Direto</dc:creator>
  <cp:keywords>PCM Direto, procedimento, modelo, TAG</cp:keywords>
  <dc:description>generated by python-docx</dc:description>
  <cp:lastModifiedBy>PCM Direto</cp:lastModifiedBy>
  <cp:revision>3</cp:revision>
  <dcterms:created xsi:type="dcterms:W3CDTF">2026-10-27T22:19:00Z</dcterms:created>
  <dcterms:modified xsi:type="dcterms:W3CDTF">2026-10-27T22:41:00Z</dcterms:modified>
  <cp:category/>
</cp:coreProperties>
</file>