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Gestão de Ativos</w:t>
      </w:r>
    </w:p>
    <w:p>
      <w:pPr>
        <w:spacing w:before="120"/>
      </w:pPr>
      <w:r>
        <w:rPr>
          <w:b/>
          <w:color w:val="B85C00"/>
        </w:rPr>
        <w:t xml:space="preserve">PCMD-W1  ·  </w:t>
      </w:r>
      <w:r>
        <w:rPr>
          <w:color w:val="5B6875"/>
        </w:rPr>
        <w:t>Como cadastrar, identificar, classificar e preservar o histórico dos ativos.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{{organizacao.nome}}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{{organizacao.referencial}}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{{documento.data}}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{{documento.elaborador}}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{{documento.proxima_revisao}}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{{documento.situacao}}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{{origem.dados}}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  <w:b/>
              </w:rPr>
              <w:t>{{emissao.data}}</w:t>
            </w:r>
          </w:p>
        </w:tc>
      </w:tr>
    </w:tbl>
    <w:p>
      <w:pPr>
        <w:spacing w:after="40"/>
      </w:pPr>
    </w:p>
    <w:p>
      <w:pPr>
        <w:pStyle w:val="DestaquePCMD"/>
        <w:pBdr>
          <w:left w:val="single" w:sz="24" w:space="8" w:color="B85C00"/>
        </w:pBdr>
        <w:shd w:val="clear" w:color="auto" w:fill="FFF4C2"/>
      </w:pPr>
      <w:r>
        <w:rPr>
          <w:b/>
          <w:color w:val="B85C00"/>
        </w:rPr>
        <w:t xml:space="preserve">AVISO  </w:t>
      </w:r>
      <w:r>
        <w:t>O material apoia a organização do PCM e não substitui a avaliação de profissional habilitado nem o texto oficial das normas. As periodicidades são base genérica e devem ser confirmadas com o manual do fabricante.</w:t>
      </w:r>
    </w:p>
    <w:p>
      <w:pPr>
        <w:pStyle w:val="NotaPCMD"/>
      </w:pPr>
      <w:r>
        <w:t>Aprovador: preencher somente após aprovação efetiva. Este modelo não registra nem presume aprovação. Modelo PCM Direto 1.0.0 (23/10/2026) · Thiago Oliveira Lima · pcmdireto@gmail.com · Licença MIT.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cadastra, identifica, classifica e mantém o histórico dos seus ativos de manutenção, com os registros do PCM Direto e os modelos PCMD.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481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Dentro do escopo</w:t>
            </w:r>
          </w:p>
        </w:tc>
        <w:tc>
          <w:tcPr>
            <w:tcW w:type="dxa" w:w="481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Fora do escopo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pStyle w:val="TabelaPCMD"/>
            </w:pPr>
            <w:r>
              <w:t>Cadastro e hierarquia, IDs e TAGs, setores, criticidade, responsáveis, histórico, requisitos e controle documental.</w:t>
            </w:r>
          </w:p>
        </w:tc>
        <w:tc>
          <w:tcPr>
            <w:tcW w:type="dxa" w:w="4819"/>
          </w:tcPr>
          <w:p>
            <w:pPr>
              <w:pStyle w:val="TabelaPCMD"/>
            </w:pPr>
            <w:r>
              <w:t>Procedimentos de execução, indicadores sem regra aprovada e qualquer declaração de conformidade legal.</w:t>
            </w:r>
          </w:p>
        </w:tc>
      </w:tr>
    </w:tbl>
    <w:p/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Modelo de máquina compartilhado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Cadastro dos ativos</w:t>
      </w:r>
    </w:p>
    <w:p>
      <w:r>
        <w:t>Hierarquia: organização → setor → ativo → tarefas do plano. Cada ativo pertence a um setor e a um tipo de equipamento da biblioteca técnica.</w:t>
      </w:r>
    </w:p>
    <w:p>
      <w:pPr>
        <w:pStyle w:val="Heading2"/>
      </w:pPr>
      <w:r>
        <w:t>IDs e TAGs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65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Histórico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Heading2"/>
      </w:pPr>
      <w:r>
        <w:t>Setores</w:t>
      </w:r>
    </w:p>
    <w:p>
      <w:pPr>
        <w:pStyle w:val="NotaPCMD"/>
        <w:keepNext/>
      </w:pPr>
      <w:r>
        <w:t>Setores cadastrados (PCMD-02, aba Setores) · região repetível «setores»: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Sigla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rStyle w:val="MarcadorPCMD"/>
              </w:rPr>
              <w:t>{{setor.sigla}}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rPr>
                <w:rStyle w:val="MarcadorPCMD"/>
              </w:rPr>
              <w:t>{{setor.descricao}}</w:t>
            </w:r>
          </w:p>
        </w:tc>
      </w:tr>
    </w:tbl>
    <w:p/>
    <w:p>
      <w:pPr>
        <w:pStyle w:val="Heading1"/>
      </w:pPr>
      <w:r>
        <w:t>5.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3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Segurança = 3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A (</w:t>
            </w:r>
            <w:r>
              <w:rPr>
                <w:rStyle w:val="MarcadorPCMD"/>
                <w:b/>
                <w:color w:val="0B3D63"/>
              </w:rPr>
              <w:t>{{criticidade.limite_a}}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B (</w:t>
            </w:r>
            <w:r>
              <w:rPr>
                <w:rStyle w:val="MarcadorPCMD"/>
                <w:b/>
                <w:color w:val="0B3D63"/>
              </w:rPr>
              <w:t>{{criticidade.limite_b}}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Limites fora de 5 ≤ B &lt; A ≤ 15 ou não inteiros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1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2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N2 Qualidade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N4 Frequência de falha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24" w:space="8" w:color="7A0019"/>
        </w:pBdr>
        <w:shd w:val="clear" w:color="auto" w:fill="FBE7EA"/>
      </w:pPr>
      <w:r>
        <w:rPr>
          <w:b/>
          <w:color w:val="7A0019"/>
        </w:rPr>
        <w:t xml:space="preserve">IMPORTANTE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1"/>
      </w:pPr>
      <w:r>
        <w:t>6. Histórico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cancelada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 removido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1"/>
      </w:pPr>
      <w:r>
        <w:t>7. Referências e requisitos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REGRA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8. Controle documental</w:t>
      </w:r>
    </w:p>
    <w:p>
      <w:r>
        <w:t xml:space="preserve">Os documentos PCMD ficam na lista mestra (PCMD-01) com revisão, datas, elaborador, aprovador e situação; cada revisão entra no histórico. Próxima revisão deste manual: </w:t>
      </w:r>
      <w:r>
        <w:rPr>
          <w:rStyle w:val="MarcadorPCMD"/>
        </w:rPr>
        <w:t>{{documento.proxima_revisao}}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PCMD-02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PCMD-04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PCMD-W1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CATÁLOGO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1"/>
      </w:pPr>
      <w:r>
        <w:t>9.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Ativos Pendente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1"/>
      </w:pPr>
      <w:r>
        <w:t>10.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11. Histórico de revisão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 · região repetível «ativos»: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36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7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Setor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N1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N2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N3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N4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N5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Pontuação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rStyle w:val="MarcadorPCMD"/>
              </w:rPr>
              <w:t>{{ativo.tag}}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rPr>
                <w:rStyle w:val="MarcadorPCMD"/>
              </w:rPr>
              <w:t>{{ativo.descricao}}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rPr>
                <w:rStyle w:val="MarcadorPCMD"/>
              </w:rPr>
              <w:t>{{ativo.setor}}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{{ativo.tipo_nome}}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{{criticidade.nota_seguranca}}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{{criticidade.nota_qualidade}}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{{criticidade.nota_producao}}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{{criticidade.nota_frequencia_falha}}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{{criticidade.nota_custo_reparo}}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{{criticidade.pontuacao}}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{{criticidade.classe}}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PCMD-W1 · Revisão </w:t>
    </w:r>
    <w:r>
      <w:rPr>
        <w:rStyle w:val="MarcadorPCMD"/>
        <w:sz w:val="16"/>
      </w:rPr>
      <w:t>{{documento.revisao}}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PCMD-W1 · Manual de Gestão de Ativos</w:t>
    </w:r>
  </w:p>
  <w:p>
    <w:pPr>
      <w:jc w:val="right"/>
    </w:pPr>
    <w:r>
      <w:rPr>
        <w:rStyle w:val="MarcadorPCMD"/>
        <w:sz w:val="16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8" w:space="3" w:color="B85C00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B85C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top w:val="single" w:sz="24" w:space="10" w:color="0B3D63"/>
        <w:left w:val="single" w:sz="24" w:space="10" w:color="0B3D63"/>
        <w:bottom w:val="single" w:sz="24" w:space="10" w:color="0B3D63"/>
        <w:right w:val="single" w:sz="24" w:space="10" w:color="0B3D63"/>
      </w:pBdr>
      <w:spacing w:after="0" w:line="240" w:lineRule="auto" w:before="160"/>
      <w:contextualSpacing/>
      <w:shd w:val="clear" w:color="auto" w:fill="0B3D63"/>
    </w:pPr>
    <w:rPr>
      <w:rFonts w:ascii="Arial" w:hAnsi="Arial" w:cs="Arial" w:eastAsia="Arial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