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Estratégia de Manutenção</w:t>
      </w:r>
    </w:p>
    <w:p>
      <w:pPr>
        <w:spacing w:before="120"/>
      </w:pPr>
      <w:r>
        <w:rPr>
          <w:b/>
          <w:color w:val="B85C00"/>
        </w:rPr>
        <w:t xml:space="preserve">PCMD-W2  ·  </w:t>
      </w:r>
      <w:r>
        <w:rPr>
          <w:color w:val="5B6875"/>
        </w:rPr>
        <w:t>Como escolher e revisar estratégias, planejar, registrar execuções e tratar falhas.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D5DDE5"/>
          <w:left w:val="nil"/>
          <w:bottom w:val="single" w:sz="8" w:space="0" w:color="D5DDE5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Organização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{{organizacao.nome}}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Referencial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{{organizacao.referencial}}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{{documento.revisao}}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{{documento.data}}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Elaborador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{{documento.elaborador}}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Aprovador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{{documento.proxima_revisao}}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{{documento.situacao}}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{{origem.dados}}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{{emissao.data}}</w:t>
            </w:r>
          </w:p>
        </w:tc>
      </w:tr>
    </w:tbl>
    <w:p>
      <w:pPr>
        <w:spacing w:after="40"/>
      </w:pPr>
    </w:p>
    <w:p>
      <w:pPr>
        <w:pStyle w:val="DestaquePCMD"/>
        <w:pBdr>
          <w:left w:val="single" w:sz="24" w:space="8" w:color="B85C00"/>
        </w:pBdr>
        <w:shd w:val="clear" w:color="auto" w:fill="FFF4C2"/>
      </w:pPr>
      <w:r>
        <w:rPr>
          <w:b/>
          <w:color w:val="B85C00"/>
        </w:rPr>
        <w:t xml:space="preserve">AVISO  </w:t>
      </w:r>
      <w:r>
        <w:t>O material apoia a organização do PCM e não substitui a avaliação de profissional habilitado nem o texto oficial das normas. As periodicidades são base genérica e devem ser confirmadas com o manual do fabricante.</w:t>
      </w:r>
    </w:p>
    <w:p>
      <w:pPr>
        <w:pStyle w:val="NotaPCMD"/>
      </w:pPr>
      <w:r>
        <w:t>Aprovador: preencher somente após aprovação efetiva. Este modelo não registra nem presume aprovação. Modelo PCM Direto 1.0.0 (23/10/2026) · Thiago Oliveira Lima · pcmdireto@gmail.com · Licença MIT.</w:t>
      </w:r>
    </w:p>
    <w:p>
      <w:pPr>
        <w:pStyle w:val="Heading1"/>
      </w:pPr>
      <w:r>
        <w:t>1. Objetivo e escopo</w:t>
      </w:r>
    </w:p>
    <w:p>
      <w:r>
        <w:t xml:space="preserve">Este manual descreve como </w:t>
      </w:r>
      <w:r>
        <w:rPr>
          <w:rStyle w:val="MarcadorPCMD"/>
        </w:rPr>
        <w:t>{{organizacao.nome}}</w:t>
      </w:r>
      <w:r>
        <w:t xml:space="preserve"> escolhe e revisa estratégias de manutenção, planeja, registra execuções e trata falhas, com os registros do PCM Direto e os modelos PCMD. Cadastro, criticidade e histórico seguem o Manual de Gestão de Ativos (PCMD-W1).</w:t>
      </w:r>
    </w:p>
    <w:p>
      <w:pPr>
        <w:pStyle w:val="DestaquePCMD"/>
        <w:pBdr>
          <w:left w:val="single" w:sz="24" w:space="8" w:color="0B3D63"/>
        </w:pBdr>
        <w:shd w:val="clear" w:color="auto" w:fill="F4F7FA"/>
      </w:pPr>
      <w:r>
        <w:rPr>
          <w:b/>
          <w:color w:val="0B3D63"/>
        </w:rPr>
        <w:t xml:space="preserve">IMPORTANTE  </w:t>
      </w:r>
      <w:r>
        <w:t>Estratégias, prazos por classe e metas são definidos pelo profissional responsável. Enquanto não forem, aparecem como A definir: este manual não cria regras técnicas.</w:t>
      </w:r>
    </w:p>
    <w:p>
      <w:pPr>
        <w:pStyle w:val="Heading1"/>
      </w:pPr>
      <w:r>
        <w:t>2. Termos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70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Ocorrência prevista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Trio ativo + tarefa + data prevista gerado a partir do plano vigente.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Execução vinculada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Realização que informa a data prevista da ocorrência que atendeu.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Estratégia de manutenção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Forma de atuação escolhida para um ativo ou tarefa pelo profissional responsável.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de segurança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Não pode ser retirada do plano nem ter a frequência reduzida em relação à referência.</w:t>
            </w:r>
          </w:p>
        </w:tc>
      </w:tr>
    </w:tbl>
    <w:p/>
    <w:p>
      <w:pPr>
        <w:pStyle w:val="NotaPCMD"/>
      </w:pPr>
      <w:r>
        <w:t>Demais termos (ativo local, ID técnico, TAG, Pendente, A definir): ver PCMD-W1.</w:t>
      </w:r>
    </w:p>
    <w:p>
      <w:pPr>
        <w:pStyle w:val="Heading1"/>
      </w:pPr>
      <w:r>
        <w:t>3.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type="dxa" w:w="498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{{documento.elaborador}}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Aprovador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pela estratégia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Avalia consequências, escolhe e revisa estratégias e define prazos por classe.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{{estrategia.responsavel}}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por tarefa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Pessoa ligada a cada tarefa do plano mestre (PCMD-03).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 · região repetível «pessoas»: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{{pessoa.nome}}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rPr>
                <w:rStyle w:val="MarcadorPCMD"/>
              </w:rPr>
              <w:t>{{pessoa.funcao}}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{{pessoa.especialidade}}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{{pessoa.responsabilidade}}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4. Estratégia por classe</w:t>
      </w:r>
    </w:p>
    <w:p>
      <w:r>
        <w:t>A avaliação parte da criticidade do PCMD-02 (classe A, B, C ou Pendente). Ativos Pendente são avaliados antes de qualquer decisão baseada na classe, e cada decisão tem justificativa registrada.</w:t>
      </w:r>
    </w:p>
    <w:p>
      <w:pPr>
        <w:pStyle w:val="NotaPCMD"/>
        <w:keepNext/>
      </w:pPr>
      <w:r>
        <w:t>Definição do profissional responsável (</w:t>
      </w:r>
      <w:r>
        <w:rPr>
          <w:rStyle w:val="MarcadorPCMD"/>
        </w:rPr>
        <w:t>{{estrategia.responsavel}}</w:t>
      </w:r>
      <w: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247"/>
        <w:gridCol w:w="3175"/>
        <w:gridCol w:w="2608"/>
        <w:gridCol w:w="2608"/>
      </w:tblGrid>
      <w:tr>
        <w:trPr>
          <w:tblHeader w:val="true"/>
          <w:cantSplit/>
        </w:trPr>
        <w:tc>
          <w:tcPr>
            <w:tcW w:type="dxa" w:w="124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  <w:tc>
          <w:tcPr>
            <w:tcW w:type="dxa" w:w="317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Estratégia predominante</w:t>
            </w:r>
          </w:p>
        </w:tc>
        <w:tc>
          <w:tcPr>
            <w:tcW w:type="dxa" w:w="260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Prazo de atendimento</w:t>
            </w:r>
          </w:p>
        </w:tc>
        <w:tc>
          <w:tcPr>
            <w:tcW w:type="dxa" w:w="260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 do plano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  <w:color w:val="0B3D63"/>
              </w:rPr>
              <w:t>A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{{estrategia.classe_a.estrategia}}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{{estrategia.classe_a.prazo}}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{{estrategia.classe_a.revisao}}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B</w:t>
            </w:r>
          </w:p>
        </w:tc>
        <w:tc>
          <w:tcPr>
            <w:tcW w:type="dxa" w:w="3175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{{estrategia.classe_b.estrategia}}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{{estrategia.classe_b.prazo}}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{{estrategia.classe_b.revisao}}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  <w:color w:val="0B3D63"/>
              </w:rPr>
              <w:t>C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{{estrategia.classe_c.estrategia}}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{{estrategia.classe_c.prazo}}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{{estrategia.classe_c.revisao}}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Pendente</w:t>
            </w:r>
          </w:p>
        </w:tc>
        <w:tc>
          <w:tcPr>
            <w:tcW w:type="dxa" w:w="3175"/>
            <w:shd w:val="clear" w:color="auto" w:fill="F4F7FA"/>
          </w:tcPr>
          <w:p>
            <w:pPr>
              <w:pStyle w:val="TabelaPCMD"/>
            </w:pPr>
            <w:r>
              <w:t>Avaliar a criticidade antes de definir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Não se aplica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Não se aplica</w:t>
            </w:r>
          </w:p>
        </w:tc>
      </w:tr>
    </w:tbl>
    <w:p/>
    <w:p>
      <w:r>
        <w:t xml:space="preserve">Periodicidade de revisão da estratégia: </w:t>
      </w:r>
      <w:r>
        <w:rPr>
          <w:rStyle w:val="MarcadorPCMD"/>
        </w:rPr>
        <w:t>{{estrategia.periodicidade_revisao}}</w:t>
      </w:r>
      <w:r>
        <w:t>. A classe não altera automaticamente nenhuma frequência.</w:t>
      </w:r>
    </w:p>
    <w:p>
      <w:pPr>
        <w:pStyle w:val="Heading1"/>
      </w:pPr>
      <w:r>
        <w:t>5. Origem das tarefas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7370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</w:t>
            </w:r>
          </w:p>
        </w:tc>
        <w:tc>
          <w:tcPr>
            <w:tcW w:type="dxa" w:w="737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Detalhe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e versão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Toda tarefa vem da biblioteca técnica com origem e versão registradas.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genérica</w:t>
            </w:r>
          </w:p>
        </w:tc>
        <w:tc>
          <w:tcPr>
            <w:tcW w:type="dxa" w:w="7370"/>
            <w:shd w:val="clear" w:color="auto" w:fill="F4F7FA"/>
          </w:tcPr>
          <w:p>
            <w:pPr>
              <w:pStyle w:val="TabelaPCMD"/>
            </w:pPr>
            <w:r>
              <w:t>Origem exata: base genérica a validar com manual do fabricante.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  <w:color w:val="0B3D63"/>
              </w:rPr>
              <w:t>Confirmação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Ao confirmar em manual do fabricante ou outra fonte, atualizar origem e versão.</w:t>
            </w:r>
          </w:p>
        </w:tc>
      </w:tr>
    </w:tbl>
    <w:p/>
    <w:p>
      <w:pPr>
        <w:pStyle w:val="DestaquePCMD"/>
        <w:pBdr>
          <w:left w:val="single" w:sz="24" w:space="8" w:color="7A0019"/>
        </w:pBdr>
        <w:shd w:val="clear" w:color="auto" w:fill="FBE7EA"/>
      </w:pPr>
      <w:r>
        <w:rPr>
          <w:b/>
          <w:color w:val="7A0019"/>
        </w:rPr>
        <w:t xml:space="preserve">SEGURANÇA  </w:t>
      </w:r>
      <w:r>
        <w:t>Tarefa de segurança não pode ser excluída, desmarcada nem ter intervalo ampliado; só é permitido manter ou aumentar a frequência. Validações de planilha ajudam, mas podem ser contornadas e não substituem as travas do app.</w:t>
      </w:r>
    </w:p>
    <w:p>
      <w:pPr>
        <w:pStyle w:val="Heading1"/>
      </w:pPr>
      <w:r>
        <w:t>6. Do plano ao registro</w:t>
      </w:r>
    </w:p>
    <w:p>
      <w:pPr>
        <w:pStyle w:val="Heading2"/>
      </w:pPr>
      <w:r>
        <w:t>Fluxo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74"/>
        <w:gridCol w:w="5896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5896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 que fazer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Onde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  <w:color w:val="0B3D63"/>
              </w:rPr>
              <w:t>1. Planejar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Manter atividade, frequência vigente, especialidade, duração e responsável de cada tarefa.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PCMD-03 Plano Mestre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2. Prever</w:t>
            </w:r>
          </w:p>
        </w:tc>
        <w:tc>
          <w:tcPr>
            <w:tcW w:type="dxa" w:w="5896"/>
            <w:shd w:val="clear" w:color="auto" w:fill="F4F7FA"/>
          </w:tcPr>
          <w:p>
            <w:pPr>
              <w:pStyle w:val="TabelaPCMD"/>
            </w:pPr>
            <w:r>
              <w:t>Gerar as ocorrências do ciclo de 52 semanas a partir do início (sem calendário ISO; diária = dias úteis, sem feriados).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PCMD-04 Ocorrências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  <w:color w:val="0B3D63"/>
              </w:rPr>
              <w:t>3. Executar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Registrar cada realização com data, responsável e a data prevista da ocorrência atendida.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Execuções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4. Acompanhar</w:t>
            </w:r>
          </w:p>
        </w:tc>
        <w:tc>
          <w:tcPr>
            <w:tcW w:type="dxa" w:w="5896"/>
            <w:shd w:val="clear" w:color="auto" w:fill="F4F7FA"/>
          </w:tcPr>
          <w:p>
            <w:pPr>
              <w:pStyle w:val="TabelaPCMD"/>
            </w:pPr>
            <w:r>
              <w:t xml:space="preserve">Ver o % realizado por mês da data prevista e comparar com a meta </w:t>
            </w:r>
            <w:r>
              <w:rPr>
                <w:rStyle w:val="MarcadorPCMD"/>
              </w:rPr>
              <w:t>{{metas.aderencia}}</w:t>
            </w:r>
            <w:r>
              <w:t>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PCMD-04 Cronograma</w:t>
            </w:r>
          </w:p>
        </w:tc>
      </w:tr>
    </w:tbl>
    <w:p/>
    <w:p>
      <w:pPr>
        <w:pStyle w:val="Heading2"/>
      </w:pPr>
      <w:r>
        <w:t>Como o realizado é contado</w:t>
      </w:r>
    </w:p>
    <w:p>
      <w:pPr>
        <w:pStyle w:val="ListBullet"/>
      </w:pPr>
      <w:r>
        <w:t>Pelo vínculo explícito à ocorrência prevista, nunca pela coincidência da data real; o mês é o da data prevista.</w:t>
      </w:r>
    </w:p>
    <w:p>
      <w:pPr>
        <w:pStyle w:val="ListBullet"/>
      </w:pPr>
      <w:r>
        <w:t>Duas execuções da mesma ocorrência contam uma vez. Canceladas e sem vínculo (inclusive legado) aparecem separadas e não contam.</w:t>
      </w:r>
    </w:p>
    <w:p>
      <w:pPr>
        <w:pStyle w:val="ListBullet"/>
      </w:pPr>
      <w:r>
        <w:t>Horas previstas são estimadas pela duração da tarefa; não são horas trabalhadas.</w:t>
      </w:r>
    </w:p>
    <w:p>
      <w:pPr>
        <w:pStyle w:val="Heading1"/>
      </w:pPr>
      <w:r>
        <w:t>7. Tratamento de falhas</w:t>
      </w:r>
    </w:p>
    <w:p>
      <w:r>
        <w:t>Cada falha vai para a ficha PCMD-05 com ativo, data, sintoma, causa, ação, horas de parada (opcional), peça e responsável. A análise de causa segue o critério do profissional responsável; este manual não prescreve procedimentos técnicos.</w:t>
      </w:r>
    </w:p>
    <w:p>
      <w:pPr>
        <w:pStyle w:val="ListBullet"/>
      </w:pPr>
      <w:r>
        <w:t>Horas de parada vazias significam não informado e não são tratadas como zero.</w:t>
      </w:r>
    </w:p>
    <w:p>
      <w:pPr>
        <w:pStyle w:val="ListBullet"/>
      </w:pPr>
      <w:r>
        <w:t>Falhas recorrentes vão para a revisão da estratégia, na periodicidade definida.</w:t>
      </w:r>
    </w:p>
    <w:p>
      <w:pPr>
        <w:pStyle w:val="Heading1"/>
      </w:pPr>
      <w:r>
        <w:t>8.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544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 explícita</w:t>
            </w:r>
          </w:p>
        </w:tc>
        <w:tc>
          <w:tcPr>
            <w:tcW w:type="dxa" w:w="181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% realizado (por ocorrência)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Concluídas distintas ÷ previstas distintas, no mês da data prevista; mês sem previsão: Sem previsão.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rPr>
                <w:rStyle w:val="MarcadorPCMD"/>
              </w:rPr>
              <w:t>{{metas.aderencia}}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Falhas registradas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Contagem de registros da PCMD-05 no período.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Horas de parada informadas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Soma das horas informadas na PCMD-05; vazios não entram como zero. Não é disponibilidade.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Disponibilidade, MTBF e MTTR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{{metas.disponibilidade}}</w:t>
            </w:r>
          </w:p>
        </w:tc>
      </w:tr>
    </w:tbl>
    <w:p/>
    <w:p>
      <w:pPr>
        <w:pStyle w:val="Heading1"/>
      </w:pPr>
      <w:r>
        <w:t>9. Revisão</w:t>
      </w:r>
    </w:p>
    <w:p>
      <w:r>
        <w:t xml:space="preserve">A estratégia é revisada na periodicidade </w:t>
      </w:r>
      <w:r>
        <w:rPr>
          <w:rStyle w:val="MarcadorPCMD"/>
        </w:rPr>
        <w:t>{{estrategia.periodicidade_revisao}}</w:t>
      </w:r>
      <w:r>
        <w:t xml:space="preserve"> e sempre que mudarem o ativo, a criticidade, o histórico de falhas ou as referências. Cada revisão entra no histórico abaixo e na lista mestra (PCMD-01).</w:t>
      </w:r>
    </w:p>
    <w:p>
      <w:pPr>
        <w:pStyle w:val="Heading1"/>
      </w:pPr>
      <w:r>
        <w:t>10. Referências e requisitos</w:t>
      </w:r>
    </w:p>
    <w:p>
      <w:r>
        <w:t xml:space="preserve">Referencial adotado: </w:t>
      </w:r>
      <w:r>
        <w:rPr>
          <w:rStyle w:val="MarcadorPCMD"/>
        </w:rPr>
        <w:t>{{organizacao.referencial}}</w:t>
      </w:r>
      <w:r>
        <w:t xml:space="preserve"> (o inicial do PCM Direto é GERAL (sem norma)).</w:t>
      </w:r>
    </w:p>
    <w:p>
      <w:pPr>
        <w:pStyle w:val="DestaquePCMD"/>
        <w:pBdr>
          <w:left w:val="single" w:sz="24" w:space="8" w:color="0B3D63"/>
        </w:pBdr>
        <w:shd w:val="clear" w:color="auto" w:fill="F4F7FA"/>
      </w:pPr>
      <w:r>
        <w:rPr>
          <w:b/>
          <w:color w:val="0B3D63"/>
        </w:rPr>
        <w:t xml:space="preserve">REGRA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 · região repetível «requisitos»: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Referência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Versão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66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Fonte (HTTPS)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{{requisito.referencia}}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{{requisito.versao}}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{{requisito.data}}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rPr>
                <w:rStyle w:val="MarcadorPCMD"/>
              </w:rPr>
              <w:t>{{requisito.fonte}}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{{requisito.status}}</w:t>
            </w:r>
          </w:p>
        </w:tc>
      </w:tr>
    </w:tbl>
    <w:p/>
    <w:p>
      <w:pPr>
        <w:pStyle w:val="Heading1"/>
      </w:pPr>
      <w:r>
        <w:t>11.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Nº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 de conferência</w:t>
            </w:r>
          </w:p>
        </w:tc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Estratégia por classe definida pelo responsável ou mantida como A definir; Pendente avaliado antes.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Tarefas de segurança com frequência igual ou maior que a referência e não retiradas.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Toda tarefa tem origem e versão; genéricas trazem a origem exata da base genérica.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Execuções informam a data prevista; canceladas e sem vínculo fora do percentual.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Falhas com ativo, data e sintoma; horas de parada vazias não tratadas como zero.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Metas sem regra aprovada como A definir; aprovador só após aprovação efetiva.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12. Histórico de revisão</w:t>
      </w:r>
    </w:p>
    <w:p>
      <w:pPr>
        <w:pStyle w:val="NotaPCMD"/>
        <w:keepNext/>
      </w:pPr>
      <w:r>
        <w:t>Revisões deste documento (PCMD-01, aba Revisões) · região repetível «revisoes»: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464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da mudança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{{revisao.numero}}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{{revisao.data}}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rPr>
                <w:rStyle w:val="MarcadorPCMD"/>
              </w:rPr>
              <w:t>{{revisao.descricao}}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{{revisao.responsavel}}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1361" w:right="1134" w:bottom="1474" w:left="1134" w:header="510" w:footer="454" w:gutter="0"/>
          <w:cols w:space="720"/>
          <w:docGrid w:linePitch="360"/>
        </w:sectPr>
      </w:pPr>
    </w:p>
    <w:p>
      <w:pPr>
        <w:pStyle w:val="Heading1"/>
      </w:pPr>
      <w:r>
        <w:t>Anexo A · Plano mestre (resumo)</w:t>
      </w:r>
    </w:p>
    <w:p>
      <w:r>
        <w:t>Origem: PCMD-03, aba Plano Mestre. Segurança = Sim: a tarefa não pode ser retirada nem ter a frequência reduzida.</w:t>
      </w:r>
    </w:p>
    <w:p>
      <w:pPr>
        <w:pStyle w:val="NotaPCMD"/>
        <w:keepNext/>
      </w:pPr>
      <w:r>
        <w:t>Tarefas do plano · região repetível «tarefas»: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361"/>
        <w:gridCol w:w="964"/>
        <w:gridCol w:w="3742"/>
        <w:gridCol w:w="1247"/>
        <w:gridCol w:w="1531"/>
        <w:gridCol w:w="1134"/>
        <w:gridCol w:w="1304"/>
        <w:gridCol w:w="1928"/>
        <w:gridCol w:w="1361"/>
      </w:tblGrid>
      <w:tr>
        <w:trPr>
          <w:tblHeader w:val="true"/>
          <w:cantSplit/>
        </w:trPr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96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ID tarefa</w:t>
            </w:r>
          </w:p>
        </w:tc>
        <w:tc>
          <w:tcPr>
            <w:tcW w:type="dxa" w:w="3742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124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Frequência</w:t>
            </w:r>
          </w:p>
        </w:tc>
        <w:tc>
          <w:tcPr>
            <w:tcW w:type="dxa" w:w="153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Duração (h)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Segurança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Origem / versão</w:t>
            </w:r>
          </w:p>
        </w:tc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{{tarefa.tag}}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rPr>
                <w:rStyle w:val="MarcadorPCMD"/>
              </w:rPr>
              <w:t>{{tarefa.id}}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rPr>
                <w:rStyle w:val="MarcadorPCMD"/>
              </w:rPr>
              <w:t>{{tarefa.atividade}}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rPr>
                <w:rStyle w:val="MarcadorPCMD"/>
              </w:rPr>
              <w:t>{{tarefa.frequencia_vigente}}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rPr>
                <w:rStyle w:val="MarcadorPCMD"/>
              </w:rPr>
              <w:t>{{tarefa.especialidade}}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{{tarefa.duracao_horas}}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{{tarefa.seguranca}}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{{tarefa.origem_versao}}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{{tarefa.responsavel_nome}}</w:t>
            </w:r>
          </w:p>
        </w:tc>
      </w:tr>
    </w:tbl>
    <w:p/>
    <w:sectPr w:rsidR="00FC693F" w:rsidRPr="0006063C" w:rsidSect="00034616">
      <w:pgSz w:w="16838" w:h="11906" w:orient="landscape"/>
      <w:pgMar w:top="1361" w:right="1134" w:bottom="147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</w:pPr>
    <w:r>
      <w:rPr>
        <w:sz w:val="16"/>
      </w:rP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</w:pPr>
    <w:r>
      <w:rPr>
        <w:sz w:val="16"/>
      </w:rPr>
      <w:t xml:space="preserve">PCMD-W2 · Revisão </w:t>
    </w:r>
    <w:r>
      <w:rPr>
        <w:rStyle w:val="MarcadorPCMD"/>
        <w:sz w:val="16"/>
      </w:rPr>
      <w:t>{{documento.revisao}}</w:t>
    </w:r>
    <w:r>
      <w:rPr>
        <w:sz w:val="16"/>
      </w:rPr>
      <w:t xml:space="preserve"> · PCM Direto · Licença MIT</w:t>
      <w:tab/>
      <w:t xml:space="preserve">Página </w:t>
    </w:r>
    <w:fldSimple w:instr="PAGE">
      <w:r>
        <w:rPr>
          <w:sz w:val="16"/>
        </w:rPr>
        <w:t>1</w:t>
      </w:r>
    </w:fldSimple>
    <w:r>
      <w:rPr>
        <w:sz w:val="16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3D63"/>
        <w:sz w:val="18"/>
      </w:rPr>
      <w:tab/>
      <w:t>PCMD-W2 · Manual de Estratégia de Manutenção</w:t>
    </w:r>
  </w:p>
  <w:p>
    <w:pPr>
      <w:jc w:val="right"/>
    </w:pPr>
    <w:r>
      <w:rPr>
        <w:rStyle w:val="MarcadorPCMD"/>
        <w:sz w:val="16"/>
      </w:rPr>
      <w:t>{{organizacao.nome}}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  <w:pBdr>
        <w:bottom w:val="single" w:sz="8" w:space="3" w:color="B85C00"/>
      </w:pBdr>
    </w:pPr>
    <w:rPr>
      <w:rFonts w:ascii="Arial" w:hAnsi="Arial" w:cs="Arial" w:eastAsia="Arial"/>
      <w:b/>
      <w:bCs/>
      <w:color w:val="0B3D6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Arial" w:hAnsi="Arial" w:cs="Arial" w:eastAsia="Arial"/>
      <w:b/>
      <w:bCs/>
      <w:color w:val="B85C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0B3D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  <w:top w:val="single" w:sz="24" w:space="10" w:color="0B3D63"/>
        <w:left w:val="single" w:sz="24" w:space="10" w:color="0B3D63"/>
        <w:bottom w:val="single" w:sz="24" w:space="10" w:color="0B3D63"/>
        <w:right w:val="single" w:sz="24" w:space="10" w:color="0B3D63"/>
      </w:pBdr>
      <w:spacing w:after="0" w:line="240" w:lineRule="auto" w:before="160"/>
      <w:contextualSpacing/>
      <w:shd w:val="clear" w:color="auto" w:fill="0B3D63"/>
    </w:pPr>
    <w:rPr>
      <w:rFonts w:ascii="Arial" w:hAnsi="Arial" w:cs="Arial" w:eastAsia="Arial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/>
    </w:pPr>
    <w:rPr>
      <w:sz w:val="16"/>
    </w:rPr>
  </w:style>
  <w:style w:type="paragraph" w:customStyle="1" w:styleId="NotaPCMD">
    <w:name w:val="Nota PCMD"/>
    <w:basedOn w:val="Normal"/>
    <w:rPr>
      <w:i/>
      <w:color w:val="404040"/>
      <w:sz w:val="18"/>
    </w:rPr>
  </w:style>
  <w:style w:type="paragraph" w:customStyle="1" w:styleId="DestaquePCMD">
    <w:name w:val="Destaque PCMD"/>
    <w:basedOn w:val="Normal"/>
    <w:pPr>
      <w:spacing w:before="80" w:after="160"/>
      <w:ind w:left="170" w:right="113"/>
    </w:pPr>
    <w:rPr>
      <w:sz w:val="19"/>
    </w:rPr>
  </w:style>
  <w:style w:type="paragraph" w:customStyle="1" w:styleId="TabelaPCMD">
    <w:name w:val="Tabela PCMD"/>
    <w:basedOn w:val="Normal"/>
    <w:pPr>
      <w:spacing w:after="0" w:line="240" w:lineRule="auto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PCMD-W2 Manual de Estratégia de Manutenção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