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Estratégia de Manutenção</w:t>
      </w:r>
    </w:p>
    <w:p>
      <w:pPr>
        <w:spacing w:before="80" w:after="200"/>
      </w:pPr>
      <w:r>
        <w:rPr>
          <w:b/>
          <w:color w:val="B85C00"/>
        </w:rPr>
        <w:t xml:space="preserve">PCMD-W2  ·  </w:t>
      </w:r>
      <w:r>
        <w:rPr>
          <w:color w:val="5B6875"/>
        </w:rPr>
        <w:t>Como escolher e revisar estratégias, planejar, registrar execuções e tratar falhas.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Indústria Exemplo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GERAL (sem norma)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00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23/10/2026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Pessoa A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 definir (aprovação não registrada)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 definir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Em elaboração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Demonstração fictícia (não é exportação do app)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23/10/2026</w:t>
            </w:r>
          </w:p>
        </w:tc>
      </w:tr>
    </w:tbl>
    <w:p>
      <w:pPr>
        <w:spacing w:before="80"/>
      </w:pPr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t>Indústria Exemplo</w:t>
      </w:r>
      <w:r>
        <w:t xml:space="preserve"> escolhe e revisa estratégias de manutenção, planeja, registra execuções e trata falhas, com os registros do PCM Direto e os modelos PCMD. Cadastro, criticidade e histórico seguem o Manual de Gestão de Ativos (PCMD-W1).</w:t>
      </w:r>
    </w:p>
    <w:p>
      <w:pPr>
        <w:pStyle w:val="DestaquePCMD"/>
        <w:pBdr>
          <w:left w:val="single" w:sz="18" w:space="8" w:color="0B3D63"/>
        </w:pBdr>
        <w:shd w:val="clear" w:color="auto" w:fill="F4F7FA"/>
      </w:pPr>
      <w:r>
        <w:t>Estratégias, prazos por classe e metas são definidos pelo profissional responsável. Enquanto não forem, aparecem como A definir: este manual não cria regras técnicas.</w:t>
      </w:r>
    </w:p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vinculada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t>A definir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  <w:tc>
          <w:tcPr>
            <w:tcW w:type="dxa" w:w="317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Estratégia predominante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Prazo de atendimento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B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t>A definir</w:t>
      </w:r>
      <w:r>
        <w:t>. A classe não altera automaticamente nenhuma frequência.</w:t>
      </w:r>
    </w:p>
    <w:p>
      <w:pPr>
        <w:pStyle w:val="Heading1"/>
      </w:pPr>
      <w:r>
        <w:t>5.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  <w:tc>
          <w:tcPr>
            <w:tcW w:type="dxa" w:w="737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genérica</w:t>
            </w:r>
          </w:p>
        </w:tc>
        <w:tc>
          <w:tcPr>
            <w:tcW w:type="dxa" w:w="7370"/>
            <w:shd w:val="clear" w:color="auto" w:fill="F4F7FA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18" w:space="8" w:color="0B3D63"/>
        </w:pBdr>
        <w:shd w:val="clear" w:color="auto" w:fill="F4F7FA"/>
      </w:pP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1"/>
      </w:pPr>
      <w:r>
        <w:t>6. Do plano ao registro</w:t>
      </w:r>
    </w:p>
    <w:p>
      <w:pPr>
        <w:pStyle w:val="Heading2"/>
      </w:pPr>
      <w:r>
        <w:t>Fluxo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5896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fazer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2. Prever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4. Acompanhar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t>A definir</w:t>
            </w:r>
            <w:r>
              <w:t>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pPr>
        <w:pStyle w:val="Heading2"/>
      </w:pPr>
      <w:r>
        <w:t>Como o realizado é contado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1"/>
      </w:pPr>
      <w:r>
        <w:t>7.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1"/>
      </w:pPr>
      <w:r>
        <w:t>8.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Falhas registradas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1"/>
      </w:pPr>
      <w:r>
        <w:t>9. Revisão</w:t>
      </w:r>
    </w:p>
    <w:p>
      <w:r>
        <w:t xml:space="preserve">A estratégia é revisada na periodicidade </w:t>
      </w:r>
      <w:r>
        <w:t>A definir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1"/>
      </w:pPr>
      <w:r>
        <w:t>10. Referências e requisitos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18" w:space="8" w:color="0B3D63"/>
        </w:pBdr>
        <w:shd w:val="clear" w:color="auto" w:fill="F4F7FA"/>
      </w:pP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11.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12. Histórico de revisão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96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ID tarefa</w:t>
            </w:r>
          </w:p>
        </w:tc>
        <w:tc>
          <w:tcPr>
            <w:tcW w:type="dxa" w:w="3742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Frequência</w:t>
            </w:r>
          </w:p>
        </w:tc>
        <w:tc>
          <w:tcPr>
            <w:tcW w:type="dxa" w:w="153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Duração (h)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Segurança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Origem / versão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visual e limpeza externa da carcaça, aletas e entrada de ventilação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MOT-02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ruído e vibração anormal (sensitiva ou com coletor de vibração)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corrente nas três fases e comparar com a corrente nominal da placa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MOT-04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Medir temperatura da carcaça e dos mancais (termômetro ou termografia)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rolamentos com o tipo e a quantidade de graxa indicados pelo fabricante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MOT-06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Reapertar conexões da caixa de ligação e verificar estado dos cabos e prensa-cabos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continuidade do aterramento da carcaça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MOT-08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Medir resistência de isolamento dos enrolamentos (megômetro) e registrar o valor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freios de elevação, carro e ponte (sem carga)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PRL-02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Testar limites de fim de curso de elevação, carro e ponte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botoeira ou controle remoto, incluindo o botão de emergência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PRL-04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Inspecionar cabo de aço: fios rompidos, amassamentos, corrosão e lubrificação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gancho, trava de segurança e moitão (trincas, deformação, abertura)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PRL-06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nível de óleo e vazamentos dos redutores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cabo de aço, rodas, mancais e engrenagens abertas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PRL-08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Inspecionar barramento ou festoon, coletores de corrente e painel elétrico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trilhos, rodas, batentes e para-choques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3,00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PRL-10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Inspeção geral da estrutura, fixações e placa de capacidade, por profissional habilitado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PRL-11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Verificação antes do uso pelo operador: freios, fim de curso, botoeira, gancho e trava, ruídos anormais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Diária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BCF-01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vazamento na vedação (selo mecânico ou gaxeta)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Registrar pressões de sucção e recalque e comparar com o ponto de operação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BCF-03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ruído, vibração e temperatura dos mancais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fixação e estado da proteção do acoplamento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BCF-05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Lubrificar mancais ou verificar nível de óleo do suporte de mancais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acoplamento e elemento elástico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BCF-07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alinhamento entre motor e bomba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Reapertar base, chumbadores e flanges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BCF-09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Inspeção interna: rotor, anéis de desgaste e folgas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Drenar condensado do reservatório e dos filtros (ou verificar o dreno automático)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CMP-02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nível de óleo do compressor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Limpar ou trocar o filtro de ar de admissão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CMP-04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vazamentos de ar em conexões, mangueiras e linha próxima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correias (tensão e desgaste) e fixação das proteções de partes móveis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CMP-06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Testar o funcionamento da válvula de segurança (alívio de pressão)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Conferir manômetros e pressostato (pressões de carga e alívio)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Instrumentação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CMP-08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Trocar óleo e filtro de óleo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Trocar elemento separador ar/óleo (compressor de parafuso)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CMP-10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Inspecionar externamente o reservatório: corrosão, suportes, identificação e acessórios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PCMD-W2 · Revisão </w:t>
    </w:r>
    <w:r>
      <w:rPr>
        <w:sz w:val="16"/>
      </w:rPr>
      <w:t>00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PCMD-W2 · Manual de Estratégia de Manutenção</w:t>
    </w:r>
  </w:p>
  <w:p>
    <w:pPr>
      <w:jc w:val="right"/>
    </w:pPr>
    <w:r>
      <w:rPr>
        <w:sz w:val="16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6" w:space="3" w:color="D5DDE5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0B3D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bottom w:val="single" w:sz="12" w:space="4" w:color="0B3D63"/>
      </w:pBdr>
      <w:spacing w:after="40" w:line="240" w:lineRule="auto" w:before="160"/>
      <w:contextualSpacing/>
    </w:pPr>
    <w:rPr>
      <w:rFonts w:ascii="Arial" w:hAnsi="Arial" w:cs="Arial" w:eastAsia="Arial"/>
      <w:b/>
      <w:color w:val="0B3D6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