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Estratégia de Manutenção</w:t>
      </w:r>
    </w:p>
    <w:p>
      <w:pPr>
        <w:spacing w:before="80" w:after="200"/>
      </w:pPr>
      <w:r>
        <w:rPr>
          <w:b/>
          <w:color w:val="B85C00"/>
        </w:rPr>
        <w:t xml:space="preserve">PCMD-W2  ·  </w:t>
      </w:r>
      <w:r>
        <w:rPr>
          <w:color w:val="5B6875"/>
        </w:rPr>
        <w:t>Como escolher e revisar estratégias, planejar, registrar execuções e tratar falhas.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D5DDE5"/>
          <w:left w:val="nil"/>
          <w:bottom w:val="single" w:sz="8" w:space="0" w:color="D5DDE5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Organização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{{organizacao.nome}}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Referencial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{{organizacao.referencial}}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{{documento.data}}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Elaborador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{{documento.elaborador}}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Aprovador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{{documento.proxima_revisao}}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{{documento.situacao}}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{{origem.dados}}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{{emissao.data}}</w:t>
            </w:r>
          </w:p>
        </w:tc>
      </w:tr>
    </w:tbl>
    <w:p>
      <w:pPr>
        <w:spacing w:before="80"/>
      </w:pPr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1. Objetivo e escopo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escolhe e revisa estratégias de manutenção, planeja, registra execuções e trata falhas, com os registros do PCM Direto e os modelos PCMD. Cadastro, criticidade e histórico seguem o Manual de Gestão de Ativos (PCMD-W1).</w:t>
      </w:r>
    </w:p>
    <w:p>
      <w:pPr>
        <w:pStyle w:val="DestaquePCMD"/>
        <w:pBdr>
          <w:left w:val="single" w:sz="18" w:space="8" w:color="0B3D63"/>
        </w:pBdr>
        <w:shd w:val="clear" w:color="auto" w:fill="F4F7FA"/>
      </w:pPr>
      <w:r>
        <w:t>Estratégias, prazos por classe e metas são definidos pelo profissional responsável. Enquanto não forem, aparecem como A definir: este manual não cria regras técnicas.</w:t>
      </w:r>
    </w:p>
    <w:p>
      <w:pPr>
        <w:pStyle w:val="Heading1"/>
      </w:pPr>
      <w:r>
        <w:t>2. Termos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70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Execução vinculada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de segurança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3.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498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Aprovador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{{estrategia.responsavel}}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por tarefa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4.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rPr>
          <w:rStyle w:val="MarcadorPCMD"/>
        </w:rPr>
        <w:t>{{estrategia.responsavel}}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  <w:tc>
          <w:tcPr>
            <w:tcW w:type="dxa" w:w="317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Estratégia predominante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Prazo de atendimento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{{estrategia.classe_a.estrategia}}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{{estrategia.classe_a.revisao}}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B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{{estrategia.classe_b.estrategia}}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{{estrategia.classe_b.prazo}}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{{estrategia.classe_b.revisao}}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{{estrategia.classe_c.estrategia}}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{{estrategia.classe_c.revisao}}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Pendente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rPr>
          <w:rStyle w:val="MarcadorPCMD"/>
        </w:rPr>
        <w:t>{{estrategia.periodicidade_revisao}}</w:t>
      </w:r>
      <w:r>
        <w:t>. A classe não altera automaticamente nenhuma frequência.</w:t>
      </w:r>
    </w:p>
    <w:p>
      <w:pPr>
        <w:pStyle w:val="Heading1"/>
      </w:pPr>
      <w:r>
        <w:t>5.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</w:t>
            </w:r>
          </w:p>
        </w:tc>
        <w:tc>
          <w:tcPr>
            <w:tcW w:type="dxa" w:w="737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genérica</w:t>
            </w:r>
          </w:p>
        </w:tc>
        <w:tc>
          <w:tcPr>
            <w:tcW w:type="dxa" w:w="7370"/>
            <w:shd w:val="clear" w:color="auto" w:fill="F4F7FA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18" w:space="8" w:color="0B3D63"/>
        </w:pBdr>
        <w:shd w:val="clear" w:color="auto" w:fill="F4F7FA"/>
      </w:pP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1"/>
      </w:pPr>
      <w:r>
        <w:t>6. Do plano ao registro</w:t>
      </w:r>
    </w:p>
    <w:p>
      <w:pPr>
        <w:pStyle w:val="Heading2"/>
      </w:pPr>
      <w:r>
        <w:t>Fluxo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5896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 que fazer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2. Prever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4. Acompanhar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rPr>
                <w:rStyle w:val="MarcadorPCMD"/>
              </w:rPr>
              <w:t>{{metas.aderencia}}</w:t>
            </w:r>
            <w:r>
              <w:t>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pPr>
        <w:pStyle w:val="Heading2"/>
      </w:pPr>
      <w:r>
        <w:t>Como o realizado é contado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1"/>
      </w:pPr>
      <w:r>
        <w:t>7.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1"/>
      </w:pPr>
      <w:r>
        <w:t>8.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44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 explícita</w:t>
            </w:r>
          </w:p>
        </w:tc>
        <w:tc>
          <w:tcPr>
            <w:tcW w:type="dxa" w:w="181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{{metas.aderencia}}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Falhas registradas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Disponibilidade, MTBF e MTTR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1"/>
      </w:pPr>
      <w:r>
        <w:t>9. Revisão</w:t>
      </w:r>
    </w:p>
    <w:p>
      <w:r>
        <w:t xml:space="preserve">A estratégia é revisada na periodicidade </w:t>
      </w:r>
      <w:r>
        <w:rPr>
          <w:rStyle w:val="MarcadorPCMD"/>
        </w:rPr>
        <w:t>{{estrategia.periodicidade_revisao}}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1"/>
      </w:pPr>
      <w:r>
        <w:t>10. Referências e requisitos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18" w:space="8" w:color="0B3D63"/>
        </w:pBdr>
        <w:shd w:val="clear" w:color="auto" w:fill="F4F7FA"/>
      </w:pP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Referência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Versão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66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Fonte (HTTPS)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11.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Nº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 de conferência</w:t>
            </w:r>
          </w:p>
        </w:tc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12. Histórico de revisão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464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da mudança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1361" w:right="1134" w:bottom="1474" w:left="1134" w:header="510" w:footer="454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 · região repetível «tarefas»: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96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ID tarefa</w:t>
            </w:r>
          </w:p>
        </w:tc>
        <w:tc>
          <w:tcPr>
            <w:tcW w:type="dxa" w:w="3742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Frequência</w:t>
            </w:r>
          </w:p>
        </w:tc>
        <w:tc>
          <w:tcPr>
            <w:tcW w:type="dxa" w:w="153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Duração (h)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Segurança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Origem / versão</w:t>
            </w:r>
          </w:p>
        </w:tc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{{tarefa.tag}}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rPr>
                <w:rStyle w:val="MarcadorPCMD"/>
              </w:rPr>
              <w:t>{{tarefa.id}}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rPr>
                <w:rStyle w:val="MarcadorPCMD"/>
              </w:rPr>
              <w:t>{{tarefa.atividade}}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rPr>
                <w:rStyle w:val="MarcadorPCMD"/>
              </w:rPr>
              <w:t>{{tarefa.frequencia_vigente}}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rPr>
                <w:rStyle w:val="MarcadorPCMD"/>
              </w:rPr>
              <w:t>{{tarefa.especialidade}}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{{tarefa.duracao_horas}}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{{tarefa.seguranca}}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{{tarefa.origem_versao}}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{{tarefa.responsavel_nome}}</w:t>
            </w:r>
          </w:p>
        </w:tc>
      </w:tr>
    </w:tbl>
    <w:p/>
    <w:sectPr w:rsidR="00FC693F" w:rsidRPr="0006063C" w:rsidSect="00034616">
      <w:pgSz w:w="16838" w:h="11906" w:orient="landscape"/>
      <w:pgMar w:top="1361" w:right="1134" w:bottom="147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</w:pPr>
    <w:r>
      <w:rPr>
        <w:sz w:val="16"/>
      </w:rP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</w:pPr>
    <w:r>
      <w:rPr>
        <w:sz w:val="16"/>
      </w:rPr>
      <w:t xml:space="preserve">PCMD-W2 · Revisão </w:t>
    </w:r>
    <w:r>
      <w:rPr>
        <w:rStyle w:val="MarcadorPCMD"/>
        <w:sz w:val="16"/>
      </w:rPr>
      <w:t>{{documento.revisao}}</w:t>
    </w:r>
    <w:r>
      <w:rPr>
        <w:sz w:val="16"/>
      </w:rPr>
      <w:t xml:space="preserve"> · PCM Direto · Licença MIT</w:t>
      <w:tab/>
      <w:t xml:space="preserve">Página </w:t>
    </w:r>
    <w:fldSimple w:instr="PAGE">
      <w:r>
        <w:rPr>
          <w:sz w:val="16"/>
        </w:rPr>
        <w:t>1</w:t>
      </w:r>
    </w:fldSimple>
    <w:r>
      <w:rPr>
        <w:sz w:val="16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3D63"/>
        <w:sz w:val="18"/>
      </w:rPr>
      <w:tab/>
      <w:t>PCMD-W2 · Manual de Estratégia de Manutenção</w:t>
    </w:r>
  </w:p>
  <w:p>
    <w:pPr>
      <w:jc w:val="right"/>
    </w:pPr>
    <w:r>
      <w:rPr>
        <w:rStyle w:val="MarcadorPCMD"/>
        <w:sz w:val="16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  <w:pBdr>
        <w:bottom w:val="single" w:sz="6" w:space="3" w:color="D5DDE5"/>
      </w:pBdr>
    </w:pPr>
    <w:rPr>
      <w:rFonts w:ascii="Arial" w:hAnsi="Arial" w:cs="Arial" w:eastAsia="Arial"/>
      <w:b/>
      <w:bCs/>
      <w:color w:val="0B3D6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Arial" w:hAnsi="Arial" w:cs="Arial" w:eastAsia="Arial"/>
      <w:b/>
      <w:bCs/>
      <w:color w:val="0B3D6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0B3D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  <w:bottom w:val="single" w:sz="12" w:space="4" w:color="0B3D63"/>
      </w:pBdr>
      <w:spacing w:after="40" w:line="240" w:lineRule="auto" w:before="160"/>
      <w:contextualSpacing/>
    </w:pPr>
    <w:rPr>
      <w:rFonts w:ascii="Arial" w:hAnsi="Arial" w:cs="Arial" w:eastAsia="Arial"/>
      <w:b/>
      <w:color w:val="0B3D6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/>
    </w:pPr>
    <w:rPr>
      <w:sz w:val="16"/>
    </w:rPr>
  </w:style>
  <w:style w:type="paragraph" w:customStyle="1" w:styleId="NotaPCMD">
    <w:name w:val="Nota PCMD"/>
    <w:basedOn w:val="Normal"/>
    <w:rPr>
      <w:i/>
      <w:color w:val="404040"/>
      <w:sz w:val="18"/>
    </w:rPr>
  </w:style>
  <w:style w:type="paragraph" w:customStyle="1" w:styleId="DestaquePCMD">
    <w:name w:val="Destaque PCMD"/>
    <w:basedOn w:val="Normal"/>
    <w:pPr>
      <w:spacing w:before="80" w:after="160"/>
      <w:ind w:left="170" w:right="113"/>
    </w:pPr>
    <w:rPr>
      <w:sz w:val="19"/>
    </w:rPr>
  </w:style>
  <w:style w:type="paragraph" w:customStyle="1" w:styleId="TabelaPCMD">
    <w:name w:val="Tabela PCMD"/>
    <w:basedOn w:val="Normal"/>
    <w:pPr>
      <w:spacing w:after="0" w:line="240" w:lineRule="auto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