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ins w:id="7" w:author="Tan Li" w:date="2019-04-23T16:57:00Z">
        <w:r>
          <w:rPr>
            <w:rFonts w:ascii="Times New Roman" w:hAnsi="Times New Roman" w:cs="Times New Roman"/>
            <w:sz w:val="24"/>
            <w:szCs w:val="24"/>
          </w:rPr>
          <w:t>back testing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Devraj Basu" w:date="2019-04-23T13:16: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B34970" w:rsidRDefault="00B34970">
      <w:pPr>
        <w:rPr>
          <w:ins w:id="24" w:author="Tan Li" w:date="2019-04-23T17:44:00Z"/>
          <w:rFonts w:ascii="Times New Roman" w:hAnsi="Times New Roman" w:cs="Times New Roman"/>
          <w:sz w:val="24"/>
          <w:szCs w:val="24"/>
        </w:rPr>
      </w:pPr>
      <w:ins w:id="25" w:author="Devraj Basu" w:date="2019-04-23T13:16:00Z">
        <w:r>
          <w:rPr>
            <w:rFonts w:ascii="Times New Roman" w:hAnsi="Times New Roman" w:cs="Times New Roman"/>
            <w:sz w:val="24"/>
            <w:szCs w:val="24"/>
          </w:rPr>
          <w:t>We next analyse the behaviour of both indicators for two other indices, namel</w:t>
        </w:r>
      </w:ins>
      <w:ins w:id="26" w:author="Devraj Basu" w:date="2019-04-23T13:17:00Z">
        <w:r>
          <w:rPr>
            <w:rFonts w:ascii="Times New Roman" w:hAnsi="Times New Roman" w:cs="Times New Roman"/>
            <w:sz w:val="24"/>
            <w:szCs w:val="24"/>
          </w:rPr>
          <w:t xml:space="preserve">y the FTSE 100, the major UK index and the Hang Seng, the main Hong Kong index, both over the 2008 crisis period. </w:t>
        </w:r>
      </w:ins>
      <w:ins w:id="27" w:author="Devraj Basu" w:date="2019-04-23T13:19:00Z">
        <w:r>
          <w:rPr>
            <w:rFonts w:ascii="Times New Roman" w:hAnsi="Times New Roman" w:cs="Times New Roman"/>
            <w:sz w:val="24"/>
            <w:szCs w:val="24"/>
          </w:rPr>
          <w:t>The sharpest period of decline for the FTSE was in the first week of Octo</w:t>
        </w:r>
      </w:ins>
      <w:ins w:id="28" w:author="Devraj Basu" w:date="2019-04-23T13:20:00Z">
        <w:r>
          <w:rPr>
            <w:rFonts w:ascii="Times New Roman" w:hAnsi="Times New Roman" w:cs="Times New Roman"/>
            <w:sz w:val="24"/>
            <w:szCs w:val="24"/>
          </w:rPr>
          <w:t xml:space="preserve">ber and as we see from Figure 2 the TDA based indicator peaks at exactly this point </w:t>
        </w:r>
      </w:ins>
      <w:ins w:id="29" w:author="Devraj Basu" w:date="2019-04-23T13:22:00Z">
        <w:r>
          <w:rPr>
            <w:rFonts w:ascii="Times New Roman" w:hAnsi="Times New Roman" w:cs="Times New Roman"/>
            <w:sz w:val="24"/>
            <w:szCs w:val="24"/>
          </w:rPr>
          <w:t xml:space="preserve">and then peaks again at the end of October which was the beginning of a less sharp decline. The non TDA based indicator’s </w:t>
        </w:r>
      </w:ins>
      <w:ins w:id="30" w:author="Devraj Basu" w:date="2019-04-23T13:21:00Z">
        <w:r>
          <w:rPr>
            <w:rFonts w:ascii="Times New Roman" w:hAnsi="Times New Roman" w:cs="Times New Roman"/>
            <w:sz w:val="24"/>
            <w:szCs w:val="24"/>
          </w:rPr>
          <w:t xml:space="preserve">peak </w:t>
        </w:r>
      </w:ins>
      <w:ins w:id="31" w:author="Devraj Basu" w:date="2019-04-23T13:26:00Z">
        <w:r w:rsidR="0050776B">
          <w:rPr>
            <w:rFonts w:ascii="Times New Roman" w:hAnsi="Times New Roman" w:cs="Times New Roman"/>
            <w:sz w:val="24"/>
            <w:szCs w:val="24"/>
          </w:rPr>
          <w:t xml:space="preserve">of around 0.7 </w:t>
        </w:r>
      </w:ins>
      <w:ins w:id="32" w:author="Devraj Basu" w:date="2019-04-23T13:21:00Z">
        <w:r>
          <w:rPr>
            <w:rFonts w:ascii="Times New Roman" w:hAnsi="Times New Roman" w:cs="Times New Roman"/>
            <w:sz w:val="24"/>
            <w:szCs w:val="24"/>
          </w:rPr>
          <w:t xml:space="preserve">is </w:t>
        </w:r>
      </w:ins>
      <w:ins w:id="33" w:author="Devraj Basu" w:date="2019-04-23T13:24:00Z">
        <w:r>
          <w:rPr>
            <w:rFonts w:ascii="Times New Roman" w:hAnsi="Times New Roman" w:cs="Times New Roman"/>
            <w:sz w:val="24"/>
            <w:szCs w:val="24"/>
          </w:rPr>
          <w:t xml:space="preserve">during the third and fourth weeks of October near the bottom of the sharp decline. </w:t>
        </w:r>
      </w:ins>
      <w:ins w:id="34" w:author="Devraj Basu" w:date="2019-04-23T13:25:00Z">
        <w:r>
          <w:rPr>
            <w:rFonts w:ascii="Times New Roman" w:hAnsi="Times New Roman" w:cs="Times New Roman"/>
            <w:sz w:val="24"/>
            <w:szCs w:val="24"/>
          </w:rPr>
          <w:t xml:space="preserve">The pattern is similar </w:t>
        </w:r>
      </w:ins>
      <w:ins w:id="35" w:author="Devraj Basu" w:date="2019-04-23T13:24:00Z">
        <w:r>
          <w:rPr>
            <w:rFonts w:ascii="Times New Roman" w:hAnsi="Times New Roman" w:cs="Times New Roman"/>
            <w:sz w:val="24"/>
            <w:szCs w:val="24"/>
          </w:rPr>
          <w:t>for the Hang Seng index</w:t>
        </w:r>
      </w:ins>
      <w:ins w:id="36" w:author="Devraj Basu" w:date="2019-04-23T13:25:00Z">
        <w:r>
          <w:rPr>
            <w:rFonts w:ascii="Times New Roman" w:hAnsi="Times New Roman" w:cs="Times New Roman"/>
            <w:sz w:val="24"/>
            <w:szCs w:val="24"/>
          </w:rPr>
          <w:t xml:space="preserve"> where the major decline begins around the middle of September. The TDA based in</w:t>
        </w:r>
      </w:ins>
      <w:ins w:id="37" w:author="Devraj Basu" w:date="2019-04-23T13:26:00Z">
        <w:r>
          <w:rPr>
            <w:rFonts w:ascii="Times New Roman" w:hAnsi="Times New Roman" w:cs="Times New Roman"/>
            <w:sz w:val="24"/>
            <w:szCs w:val="24"/>
          </w:rPr>
          <w:t>dicator jumps around this point, which is in fact the peak</w:t>
        </w:r>
        <w:r w:rsidR="0050776B">
          <w:rPr>
            <w:rFonts w:ascii="Times New Roman" w:hAnsi="Times New Roman" w:cs="Times New Roman"/>
            <w:sz w:val="24"/>
            <w:szCs w:val="24"/>
          </w:rPr>
          <w:t xml:space="preserve"> of 0.</w:t>
        </w:r>
      </w:ins>
      <w:ins w:id="38" w:author="Devraj Basu" w:date="2019-04-23T13:27:00Z">
        <w:r w:rsidR="0050776B">
          <w:rPr>
            <w:rFonts w:ascii="Times New Roman" w:hAnsi="Times New Roman" w:cs="Times New Roman"/>
            <w:sz w:val="24"/>
            <w:szCs w:val="24"/>
          </w:rPr>
          <w:t>8</w:t>
        </w:r>
      </w:ins>
      <w:ins w:id="39" w:author="Devraj Basu" w:date="2019-04-23T13:26:00Z">
        <w:r>
          <w:rPr>
            <w:rFonts w:ascii="Times New Roman" w:hAnsi="Times New Roman" w:cs="Times New Roman"/>
            <w:sz w:val="24"/>
            <w:szCs w:val="24"/>
          </w:rPr>
          <w:t xml:space="preserve">, </w:t>
        </w:r>
      </w:ins>
      <w:ins w:id="40" w:author="Devraj Basu" w:date="2019-04-23T13:27:00Z">
        <w:r w:rsidR="0050776B">
          <w:rPr>
            <w:rFonts w:ascii="Times New Roman" w:hAnsi="Times New Roman" w:cs="Times New Roman"/>
            <w:sz w:val="24"/>
            <w:szCs w:val="24"/>
          </w:rPr>
          <w:t xml:space="preserve">and jumps sharply again in </w:t>
        </w:r>
      </w:ins>
      <w:ins w:id="41" w:author="Devraj Basu" w:date="2019-04-23T13:28:00Z">
        <w:r w:rsidR="0050776B">
          <w:rPr>
            <w:rFonts w:ascii="Times New Roman" w:hAnsi="Times New Roman" w:cs="Times New Roman"/>
            <w:sz w:val="24"/>
            <w:szCs w:val="24"/>
          </w:rPr>
          <w:t>mid-October</w:t>
        </w:r>
      </w:ins>
      <w:ins w:id="42" w:author="Devraj Basu" w:date="2019-04-23T13:27:00Z">
        <w:r w:rsidR="0050776B">
          <w:rPr>
            <w:rFonts w:ascii="Times New Roman" w:hAnsi="Times New Roman" w:cs="Times New Roman"/>
            <w:sz w:val="24"/>
            <w:szCs w:val="24"/>
          </w:rPr>
          <w:t xml:space="preserve"> which is the beginning of a </w:t>
        </w:r>
      </w:ins>
      <w:ins w:id="43" w:author="Devraj Basu" w:date="2019-04-23T13:28:00Z">
        <w:r w:rsidR="0050776B">
          <w:rPr>
            <w:rFonts w:ascii="Times New Roman" w:hAnsi="Times New Roman" w:cs="Times New Roman"/>
            <w:sz w:val="24"/>
            <w:szCs w:val="24"/>
          </w:rPr>
          <w:t xml:space="preserve">shallower decline. There is a third jump at the end of October which </w:t>
        </w:r>
      </w:ins>
      <w:ins w:id="44" w:author="Devraj Basu" w:date="2019-04-23T13:29:00Z">
        <w:r w:rsidR="0050776B">
          <w:rPr>
            <w:rFonts w:ascii="Times New Roman" w:hAnsi="Times New Roman" w:cs="Times New Roman"/>
            <w:sz w:val="24"/>
            <w:szCs w:val="24"/>
          </w:rPr>
          <w:t xml:space="preserve">is a week before another </w:t>
        </w:r>
      </w:ins>
      <w:ins w:id="45" w:author="Devraj Basu" w:date="2019-04-23T13:32:00Z">
        <w:r w:rsidR="00D6605F">
          <w:rPr>
            <w:rFonts w:ascii="Times New Roman" w:hAnsi="Times New Roman" w:cs="Times New Roman"/>
            <w:sz w:val="24"/>
            <w:szCs w:val="24"/>
          </w:rPr>
          <w:t>10% decline in November</w:t>
        </w:r>
      </w:ins>
      <w:ins w:id="46" w:author="Devraj Basu" w:date="2019-04-23T14:15:00Z">
        <w:r w:rsidR="00D6605F">
          <w:rPr>
            <w:rFonts w:ascii="Times New Roman" w:hAnsi="Times New Roman" w:cs="Times New Roman"/>
            <w:sz w:val="24"/>
            <w:szCs w:val="24"/>
          </w:rPr>
          <w:t>, and there are two potential false positives at the end of November. In contrast the non TDA based indicator’s peak is much lower at ar</w:t>
        </w:r>
      </w:ins>
      <w:ins w:id="47" w:author="Devraj Basu" w:date="2019-04-23T14:16:00Z">
        <w:r w:rsidR="00D6605F">
          <w:rPr>
            <w:rFonts w:ascii="Times New Roman" w:hAnsi="Times New Roman" w:cs="Times New Roman"/>
            <w:sz w:val="24"/>
            <w:szCs w:val="24"/>
          </w:rPr>
          <w:t xml:space="preserve">ound 0.6 and is at the end of the first major decline in </w:t>
        </w:r>
      </w:ins>
      <w:ins w:id="48" w:author="Devraj Basu" w:date="2019-04-23T14:17:00Z">
        <w:r w:rsidR="00D6605F">
          <w:rPr>
            <w:rFonts w:ascii="Times New Roman" w:hAnsi="Times New Roman" w:cs="Times New Roman"/>
            <w:sz w:val="24"/>
            <w:szCs w:val="24"/>
          </w:rPr>
          <w:t>the second week of October and before the second shallowe</w:t>
        </w:r>
      </w:ins>
      <w:ins w:id="49" w:author="Devraj Basu" w:date="2019-04-23T14:18:00Z">
        <w:r w:rsidR="00D6605F">
          <w:rPr>
            <w:rFonts w:ascii="Times New Roman" w:hAnsi="Times New Roman" w:cs="Times New Roman"/>
            <w:sz w:val="24"/>
            <w:szCs w:val="24"/>
          </w:rPr>
          <w:t>r decline.</w:t>
        </w:r>
      </w:ins>
      <w:ins w:id="50" w:author="Devraj Basu" w:date="2019-04-23T13:29:00Z">
        <w:r w:rsidR="0050776B">
          <w:rPr>
            <w:rFonts w:ascii="Times New Roman" w:hAnsi="Times New Roman" w:cs="Times New Roman"/>
            <w:sz w:val="24"/>
            <w:szCs w:val="24"/>
          </w:rPr>
          <w:t xml:space="preserve"> </w:t>
        </w:r>
      </w:ins>
      <w:ins w:id="51" w:author="Devraj Basu" w:date="2019-04-23T14:18:00Z">
        <w:r w:rsidR="00EF3914">
          <w:rPr>
            <w:rFonts w:ascii="Times New Roman" w:hAnsi="Times New Roman" w:cs="Times New Roman"/>
            <w:sz w:val="24"/>
            <w:szCs w:val="24"/>
          </w:rPr>
          <w:t xml:space="preserve">There is </w:t>
        </w:r>
      </w:ins>
      <w:ins w:id="52" w:author="Devraj Basu" w:date="2019-04-23T14:19:00Z">
        <w:r w:rsidR="00EF3914">
          <w:rPr>
            <w:rFonts w:ascii="Times New Roman" w:hAnsi="Times New Roman" w:cs="Times New Roman"/>
            <w:sz w:val="24"/>
            <w:szCs w:val="24"/>
          </w:rPr>
          <w:t>a thus a consistent pattern of both performance of the TDA based indicator in signalling a decline as well in the difference</w:t>
        </w:r>
      </w:ins>
      <w:ins w:id="53" w:author="Devraj Basu" w:date="2019-04-23T14:20:00Z">
        <w:r w:rsidR="00EF3914">
          <w:rPr>
            <w:rFonts w:ascii="Times New Roman" w:hAnsi="Times New Roman" w:cs="Times New Roman"/>
            <w:sz w:val="24"/>
            <w:szCs w:val="24"/>
          </w:rPr>
          <w:t>s between the performance of the TDA and non TDA based indicators.</w:t>
        </w:r>
      </w:ins>
    </w:p>
    <w:p w:rsidR="007309BC" w:rsidRDefault="007309BC">
      <w:pPr>
        <w:rPr>
          <w:rFonts w:ascii="Times New Roman" w:hAnsi="Times New Roman" w:cs="Times New Roman"/>
          <w:sz w:val="24"/>
          <w:szCs w:val="24"/>
        </w:rPr>
      </w:pPr>
      <w:ins w:id="54" w:author="Tan Li" w:date="2019-04-23T17:44:00Z">
        <w:r>
          <w:rPr>
            <w:rFonts w:ascii="Times New Roman" w:hAnsi="Times New Roman" w:cs="Times New Roman"/>
            <w:sz w:val="24"/>
            <w:szCs w:val="24"/>
          </w:rPr>
          <w:t xml:space="preserve">[more paragraphs </w:t>
        </w:r>
      </w:ins>
      <w:ins w:id="55" w:author="Tan Li" w:date="2019-04-23T17:45:00Z">
        <w:r>
          <w:rPr>
            <w:rFonts w:ascii="Times New Roman" w:hAnsi="Times New Roman" w:cs="Times New Roman"/>
            <w:sz w:val="24"/>
            <w:szCs w:val="24"/>
          </w:rPr>
          <w:t xml:space="preserve">for HSI and FTSE </w:t>
        </w:r>
      </w:ins>
      <w:ins w:id="56" w:author="Tan Li" w:date="2019-04-23T17:44:00Z">
        <w:r>
          <w:rPr>
            <w:rFonts w:ascii="Times New Roman" w:hAnsi="Times New Roman" w:cs="Times New Roman"/>
            <w:sz w:val="24"/>
            <w:szCs w:val="24"/>
          </w:rPr>
          <w:t xml:space="preserve">here preceding the </w:t>
        </w:r>
      </w:ins>
      <w:ins w:id="5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2F62401" wp14:editId="17D02178">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BA5B482" wp14:editId="5F0AA189">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FD13B0" w:rsidRDefault="00FD13B0">
      <w:pPr>
        <w:rPr>
          <w:ins w:id="58" w:author="Tan Li" w:date="2019-04-24T09:09:00Z"/>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118DA56" wp14:editId="217CD947">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921C89"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82CBB85" wp14:editId="6722D174">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w:t>
      </w:r>
      <w:r w:rsidR="00FD13B0">
        <w:rPr>
          <w:rFonts w:ascii="Times New Roman" w:hAnsi="Times New Roman" w:cs="Times New Roman"/>
          <w:sz w:val="24"/>
          <w:szCs w:val="24"/>
        </w:rPr>
        <w:t xml:space="preserve"> </w:t>
      </w:r>
      <w:ins w:id="59" w:author="Tan Li" w:date="2019-04-24T09:11:00Z">
        <w:r w:rsidR="00FD13B0">
          <w:rPr>
            <w:rFonts w:ascii="Times New Roman" w:hAnsi="Times New Roman" w:cs="Times New Roman"/>
            <w:sz w:val="24"/>
            <w:szCs w:val="24"/>
          </w:rPr>
          <w:t>and better coordinate</w:t>
        </w:r>
      </w:ins>
      <w:r>
        <w:rPr>
          <w:rFonts w:ascii="Times New Roman" w:hAnsi="Times New Roman" w:cs="Times New Roman"/>
          <w:sz w:val="24"/>
          <w:szCs w:val="24"/>
        </w:rPr>
        <w:t xml:space="preserve"> extra features based on TDA and so has access to a larger set of features. The feature weightings during September to November 2008 for both indicators are shown in Figure </w:t>
      </w:r>
      <w:del w:id="60" w:author="Devraj Basu" w:date="2019-04-23T13:20:00Z">
        <w:r w:rsidDel="00B34970">
          <w:rPr>
            <w:rFonts w:ascii="Times New Roman" w:hAnsi="Times New Roman" w:cs="Times New Roman"/>
            <w:sz w:val="24"/>
            <w:szCs w:val="24"/>
          </w:rPr>
          <w:delText xml:space="preserve">2 </w:delText>
        </w:r>
      </w:del>
      <w:ins w:id="61" w:author="Devraj Basu" w:date="2019-04-23T13:20:00Z">
        <w:r w:rsidR="00B34970">
          <w:rPr>
            <w:rFonts w:ascii="Times New Roman" w:hAnsi="Times New Roman" w:cs="Times New Roman"/>
            <w:sz w:val="24"/>
            <w:szCs w:val="24"/>
          </w:rPr>
          <w:t xml:space="preserve">3 </w:t>
        </w:r>
      </w:ins>
      <w:r>
        <w:rPr>
          <w:rFonts w:ascii="Times New Roman" w:hAnsi="Times New Roman" w:cs="Times New Roman"/>
          <w:sz w:val="24"/>
          <w:szCs w:val="24"/>
        </w:rPr>
        <w:t xml:space="preserve">and for the non TDA based indicator we see the </w:t>
      </w:r>
      <w:r>
        <w:rPr>
          <w:rFonts w:ascii="Times New Roman" w:hAnsi="Times New Roman" w:cs="Times New Roman"/>
          <w:sz w:val="24"/>
          <w:szCs w:val="24"/>
        </w:rPr>
        <w:lastRenderedPageBreak/>
        <w:t>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62" w:author="Tan Li" w:date="2019-04-23T17:05:00Z">
        <w:r w:rsidR="00320271">
          <w:rPr>
            <w:rFonts w:ascii="Times New Roman" w:hAnsi="Times New Roman" w:cs="Times New Roman"/>
            <w:sz w:val="24"/>
            <w:szCs w:val="24"/>
          </w:rPr>
          <w:t xml:space="preserve"> </w:t>
        </w:r>
      </w:ins>
      <w:ins w:id="63" w:author="Tan Li" w:date="2019-04-23T17:06:00Z">
        <w:r w:rsidR="00187900">
          <w:rPr>
            <w:rFonts w:ascii="Times New Roman" w:hAnsi="Times New Roman" w:cs="Times New Roman"/>
            <w:sz w:val="24"/>
            <w:szCs w:val="24"/>
          </w:rPr>
          <w:t xml:space="preserve">on </w:t>
        </w:r>
      </w:ins>
      <w:ins w:id="64" w:author="Tan Li" w:date="2019-04-23T17:05:00Z">
        <w:r w:rsidR="00320271">
          <w:rPr>
            <w:rFonts w:ascii="Times New Roman" w:hAnsi="Times New Roman" w:cs="Times New Roman"/>
            <w:sz w:val="24"/>
            <w:szCs w:val="24"/>
          </w:rPr>
          <w:t>training</w:t>
        </w:r>
      </w:ins>
      <w:ins w:id="65"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66"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67" w:author="Tan Li" w:date="2019-04-23T17:08:00Z">
        <w:r w:rsidR="0008362A" w:rsidDel="00187900">
          <w:rPr>
            <w:rFonts w:ascii="Times New Roman" w:hAnsi="Times New Roman" w:cs="Times New Roman"/>
            <w:sz w:val="24"/>
            <w:szCs w:val="24"/>
          </w:rPr>
          <w:delText xml:space="preserve">seems to </w:delText>
        </w:r>
      </w:del>
      <w:ins w:id="68" w:author="Tan Li" w:date="2019-04-23T17:08:00Z">
        <w:r w:rsidR="00187900">
          <w:rPr>
            <w:rFonts w:ascii="Times New Roman" w:hAnsi="Times New Roman" w:cs="Times New Roman"/>
            <w:sz w:val="24"/>
            <w:szCs w:val="24"/>
          </w:rPr>
          <w:t>allows the model training to pick up</w:t>
        </w:r>
      </w:ins>
      <w:del w:id="69"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t>
      </w:r>
      <w:del w:id="70" w:author="Tan Li" w:date="2019-04-23T17:11:00Z">
        <w:r w:rsidR="001A1AE5" w:rsidDel="00187900">
          <w:rPr>
            <w:rFonts w:ascii="Times New Roman" w:hAnsi="Times New Roman" w:cs="Times New Roman"/>
            <w:sz w:val="24"/>
            <w:szCs w:val="24"/>
          </w:rPr>
          <w:delText xml:space="preserve">which </w:delText>
        </w:r>
      </w:del>
      <w:ins w:id="71" w:author="Tan Li" w:date="2019-04-23T17:11:00Z">
        <w:r w:rsidR="00187900">
          <w:rPr>
            <w:rFonts w:ascii="Times New Roman" w:hAnsi="Times New Roman" w:cs="Times New Roman"/>
            <w:sz w:val="24"/>
            <w:szCs w:val="24"/>
          </w:rPr>
          <w:t xml:space="preserve">and therefore </w:t>
        </w:r>
      </w:ins>
      <w:del w:id="72"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73"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74"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 xml:space="preserve">Thus while both indicators give high weighting to short and medium term momentum type indicators the TDA indicator also weights other potentially weaker signals which seem to help with crash prediction. </w:t>
      </w:r>
    </w:p>
    <w:p w:rsidR="00166A03" w:rsidRDefault="00166A03">
      <w:pPr>
        <w:rPr>
          <w:rFonts w:ascii="Times New Roman" w:hAnsi="Times New Roman" w:cs="Times New Roman"/>
          <w:sz w:val="24"/>
          <w:szCs w:val="24"/>
        </w:rPr>
      </w:pPr>
      <w:r>
        <w:rPr>
          <w:rFonts w:ascii="Times New Roman" w:hAnsi="Times New Roman" w:cs="Times New Roman"/>
          <w:sz w:val="24"/>
          <w:szCs w:val="24"/>
        </w:rPr>
        <w:t>For the FTSE over the 2008 crisis, the non TDA indicator weights a larger number of features than for the S&amp;P with six features receiving weights of around 10%. The TDA based indicator weights four features around 10% with the S&amp;P volatility receiving a weighting close to 20%. The pattern of weightings is somewhat different between the two indicators</w:t>
      </w:r>
      <w:r w:rsidR="008B6377">
        <w:rPr>
          <w:rFonts w:ascii="Times New Roman" w:hAnsi="Times New Roman" w:cs="Times New Roman"/>
          <w:sz w:val="24"/>
          <w:szCs w:val="24"/>
        </w:rPr>
        <w:t>, with the gold return highly weighted for the non TDA indicator and not at all for the TDA indicator and six month returns more highly weighted for the TDA indicator, for example,</w:t>
      </w:r>
      <w:r>
        <w:rPr>
          <w:rFonts w:ascii="Times New Roman" w:hAnsi="Times New Roman" w:cs="Times New Roman"/>
          <w:sz w:val="24"/>
          <w:szCs w:val="24"/>
        </w:rPr>
        <w:t xml:space="preserve"> suggesting that </w:t>
      </w:r>
      <w:r w:rsidR="008B6377">
        <w:rPr>
          <w:rFonts w:ascii="Times New Roman" w:hAnsi="Times New Roman" w:cs="Times New Roman"/>
          <w:sz w:val="24"/>
          <w:szCs w:val="24"/>
        </w:rPr>
        <w:t xml:space="preserve">the TDA indicator tends to focus more on the longer term signals. </w:t>
      </w:r>
      <w:r w:rsidR="001E00A5">
        <w:rPr>
          <w:rFonts w:ascii="Times New Roman" w:hAnsi="Times New Roman" w:cs="Times New Roman"/>
          <w:sz w:val="24"/>
          <w:szCs w:val="24"/>
        </w:rPr>
        <w:t xml:space="preserve">The pattern for the Hang Seng is more similar to that for the S&amp;P with the non TDA indicator weighting S&amp;P volatility at around 40% </w:t>
      </w:r>
      <w:r w:rsidR="00CE18FD">
        <w:rPr>
          <w:rFonts w:ascii="Times New Roman" w:hAnsi="Times New Roman" w:cs="Times New Roman"/>
          <w:sz w:val="24"/>
          <w:szCs w:val="24"/>
        </w:rPr>
        <w:t xml:space="preserve">and also weighting the lagged one week return on the S&amp;P over 10%. </w:t>
      </w:r>
      <w:r w:rsidR="001E00A5">
        <w:rPr>
          <w:rFonts w:ascii="Times New Roman" w:hAnsi="Times New Roman" w:cs="Times New Roman"/>
          <w:sz w:val="24"/>
          <w:szCs w:val="24"/>
        </w:rPr>
        <w:t xml:space="preserve"> The TDA based indicator also weights S&amp;P volatility highest, but around 2</w:t>
      </w:r>
      <w:r w:rsidR="00CE18FD">
        <w:rPr>
          <w:rFonts w:ascii="Times New Roman" w:hAnsi="Times New Roman" w:cs="Times New Roman"/>
          <w:sz w:val="24"/>
          <w:szCs w:val="24"/>
        </w:rPr>
        <w:t>5</w:t>
      </w:r>
      <w:r w:rsidR="001E00A5">
        <w:rPr>
          <w:rFonts w:ascii="Times New Roman" w:hAnsi="Times New Roman" w:cs="Times New Roman"/>
          <w:sz w:val="24"/>
          <w:szCs w:val="24"/>
        </w:rPr>
        <w:t xml:space="preserve">% </w:t>
      </w:r>
      <w:r w:rsidR="00CE18FD">
        <w:rPr>
          <w:rFonts w:ascii="Times New Roman" w:hAnsi="Times New Roman" w:cs="Times New Roman"/>
          <w:sz w:val="24"/>
          <w:szCs w:val="24"/>
        </w:rPr>
        <w:t>and weights the other features more uniformly with longer term returns receiving much higher weights than for the non TDA based indicator. At least one TDA feature receives a weighting of around 10% for both the FTSE and the Hang Seng. Thus the pattern of differences in feature weighting with the non TDA indicator weighting short term momentum signals and the TDA indicator weighting longer term, potentially weaker, signals is also visible for these indices.</w:t>
      </w:r>
    </w:p>
    <w:p w:rsidR="008222B1" w:rsidRPr="00CA6953" w:rsidRDefault="008222B1">
      <w:pPr>
        <w:rPr>
          <w:rFonts w:ascii="Times New Roman" w:hAnsi="Times New Roman" w:cs="Times New Roman"/>
          <w:sz w:val="24"/>
          <w:szCs w:val="24"/>
        </w:rPr>
      </w:pPr>
      <w:ins w:id="75" w:author="Tan Li" w:date="2019-04-23T17:35:00Z">
        <w:r>
          <w:rPr>
            <w:rFonts w:ascii="Times New Roman" w:hAnsi="Times New Roman" w:cs="Times New Roman"/>
            <w:sz w:val="24"/>
            <w:szCs w:val="24"/>
          </w:rPr>
          <w:lastRenderedPageBreak/>
          <w:t>[more paragraph</w:t>
        </w:r>
      </w:ins>
      <w:ins w:id="76" w:author="Tan Li" w:date="2019-04-23T17:36:00Z">
        <w:r>
          <w:rPr>
            <w:rFonts w:ascii="Times New Roman" w:hAnsi="Times New Roman" w:cs="Times New Roman"/>
            <w:sz w:val="24"/>
            <w:szCs w:val="24"/>
          </w:rPr>
          <w:t>s for in-depth crisis-period-focused presentation</w:t>
        </w:r>
      </w:ins>
      <w:ins w:id="77" w:author="Tan Li" w:date="2019-04-23T17:35:00Z">
        <w:r>
          <w:rPr>
            <w:rFonts w:ascii="Times New Roman" w:hAnsi="Times New Roman" w:cs="Times New Roman"/>
            <w:sz w:val="24"/>
            <w:szCs w:val="24"/>
          </w:rPr>
          <w:t>…]</w:t>
        </w:r>
      </w:ins>
    </w:p>
    <w:p w:rsidR="00CA6953" w:rsidRDefault="00AA3EB2">
      <w:pPr>
        <w:rPr>
          <w:rFonts w:ascii="Times New Roman" w:hAnsi="Times New Roman" w:cs="Times New Roman"/>
          <w:sz w:val="24"/>
          <w:szCs w:val="24"/>
        </w:rPr>
      </w:pPr>
      <w:ins w:id="78" w:author="Tan Li" w:date="2019-04-23T17:41:00Z">
        <w:r>
          <w:rPr>
            <w:rFonts w:ascii="Times New Roman" w:hAnsi="Times New Roman" w:cs="Times New Roman"/>
            <w:sz w:val="24"/>
            <w:szCs w:val="24"/>
          </w:rPr>
          <w:t>I can then write the statistical results</w:t>
        </w:r>
      </w:ins>
      <w:ins w:id="79" w:author="Tan Li" w:date="2019-04-23T17:42:00Z">
        <w:r>
          <w:rPr>
            <w:rFonts w:ascii="Times New Roman" w:hAnsi="Times New Roman" w:cs="Times New Roman"/>
            <w:sz w:val="24"/>
            <w:szCs w:val="24"/>
          </w:rPr>
          <w:t xml:space="preserve"> supported by score charts and tables?</w:t>
        </w:r>
      </w:ins>
    </w:p>
    <w:p w:rsidR="009D0C0D" w:rsidRDefault="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The “zoom in” focus on the model performances and comparison studies during crisis periods provides us with intuitive appreciation</w:t>
      </w:r>
      <w:r>
        <w:rPr>
          <w:rFonts w:ascii="Times New Roman" w:hAnsi="Times New Roman" w:cs="Times New Roman"/>
          <w:sz w:val="24"/>
          <w:szCs w:val="24"/>
        </w:rPr>
        <w:t xml:space="preserve"> on</w:t>
      </w:r>
      <w:r>
        <w:rPr>
          <w:rFonts w:ascii="Times New Roman" w:hAnsi="Times New Roman" w:cs="Times New Roman"/>
          <w:sz w:val="24"/>
          <w:szCs w:val="24"/>
        </w:rPr>
        <w:t xml:space="preserve"> how TDA features add value. We now “zoom out” to describe the overall performances and comparison studies for models trained with and without TDA features. </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By focusing on the model performances during crisis periods, we can see the boosted accuracy of the TDA models in detecting market crashes when it really is happening, </w:t>
      </w:r>
      <w:r w:rsidR="008571ED">
        <w:rPr>
          <w:rFonts w:ascii="Times New Roman" w:hAnsi="Times New Roman" w:cs="Times New Roman"/>
          <w:sz w:val="24"/>
          <w:szCs w:val="24"/>
        </w:rPr>
        <w:t>namely</w:t>
      </w:r>
      <w:r>
        <w:rPr>
          <w:rFonts w:ascii="Times New Roman" w:hAnsi="Times New Roman" w:cs="Times New Roman"/>
          <w:sz w:val="24"/>
          <w:szCs w:val="24"/>
        </w:rPr>
        <w:t xml:space="preserve">, the improvement in reducing false negatives, especially when the bets are high. We aggregate and quantify this observation over the entire </w:t>
      </w:r>
      <w:proofErr w:type="spellStart"/>
      <w:r w:rsidR="008571ED">
        <w:rPr>
          <w:rFonts w:ascii="Times New Roman" w:hAnsi="Times New Roman" w:cs="Times New Roman"/>
          <w:sz w:val="24"/>
          <w:szCs w:val="24"/>
        </w:rPr>
        <w:t>backtesting</w:t>
      </w:r>
      <w:proofErr w:type="spellEnd"/>
      <w:r w:rsidR="008571ED">
        <w:rPr>
          <w:rFonts w:ascii="Times New Roman" w:hAnsi="Times New Roman" w:cs="Times New Roman"/>
          <w:sz w:val="24"/>
          <w:szCs w:val="24"/>
        </w:rPr>
        <w:t xml:space="preserve"> </w:t>
      </w:r>
      <w:bookmarkStart w:id="80" w:name="_GoBack"/>
      <w:bookmarkEnd w:id="80"/>
      <w:r>
        <w:rPr>
          <w:rFonts w:ascii="Times New Roman" w:hAnsi="Times New Roman" w:cs="Times New Roman"/>
          <w:sz w:val="24"/>
          <w:szCs w:val="24"/>
        </w:rPr>
        <w:t xml:space="preserve">period by the classic F1 score in machine learning. The below chart over the valid range of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(probability of crashes outputted from the models) summarises the TDA advantage visually for all three major market indices we have tested:</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9B461" wp14:editId="6A39DB3B">
            <wp:extent cx="5463766" cy="406952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527" cy="4075302"/>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Hang Seng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9C5926" wp14:editId="3114E42B">
            <wp:extent cx="5346071" cy="39818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221" cy="3986440"/>
                    </a:xfrm>
                    <a:prstGeom prst="rect">
                      <a:avLst/>
                    </a:prstGeom>
                    <a:noFill/>
                    <a:ln>
                      <a:noFill/>
                    </a:ln>
                  </pic:spPr>
                </pic:pic>
              </a:graphicData>
            </a:graphic>
          </wp:inline>
        </w:drawing>
      </w:r>
      <w:r>
        <w:rPr>
          <w:rFonts w:ascii="Times New Roman" w:hAnsi="Times New Roman" w:cs="Times New Roman"/>
          <w:sz w:val="24"/>
          <w:szCs w:val="24"/>
        </w:rPr>
        <w:t xml:space="preserve">   </w:t>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FTSE 100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82058A" wp14:editId="5C1B3049">
            <wp:extent cx="5115208" cy="38099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355" cy="3818211"/>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lastRenderedPageBreak/>
        <w:t xml:space="preserve">As we can see from above charts, all models trained without TDA perform poorly when the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i.e. the convictions or probabilities of coming market crashes, are beyond the 50% mark, with the F1 scores unforgivingly dropping to near 0%; on the other hand, the models trained with TDA features sustain a better prediction at high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with F1 score stabilised at 10%. Admittedly, there is still huge room to improve, but consider the noisiness of financial market data, these results of 10%’s and above are the fair reflection and summary of TDA models’ performance during the time when markets are really in crisis mode, as well as, in the same window, the increased model sensitivity when markets are not, i.e. punished by higher crash scores or probability during calm periods.</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In the case of S&amp;P 500, with the visual display below by comparing models with and without TDA features, one can see the red bars that indicates the level of crash probability are in general higher for TDA model than for non-TDA model, regardless of market regimes: </w:t>
      </w:r>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rPr>
        <w:drawing>
          <wp:inline distT="0" distB="0" distL="0" distR="0" wp14:anchorId="1A18405B" wp14:editId="2F69A2C0">
            <wp:extent cx="5731510" cy="2032635"/>
            <wp:effectExtent l="0" t="0" r="2540" b="5715"/>
            <wp:docPr id="16" name="Picture 4">
              <a:extLst xmlns:a="http://schemas.openxmlformats.org/drawingml/2006/main">
                <a:ext uri="{FF2B5EF4-FFF2-40B4-BE49-F238E27FC236}">
                  <a16:creationId xmlns:a16="http://schemas.microsoft.com/office/drawing/2014/main" id="{65C710F9-0A66-4F03-B60A-22B7C99C9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C710F9-0A66-4F03-B60A-22B7C99C92DF}"/>
                        </a:ext>
                      </a:extLst>
                    </pic:cNvPr>
                    <pic:cNvPicPr>
                      <a:picLocks noChangeAspect="1"/>
                    </pic:cNvPicPr>
                  </pic:nvPicPr>
                  <pic:blipFill>
                    <a:blip r:embed="rId15"/>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rPr>
        <w:drawing>
          <wp:inline distT="0" distB="0" distL="0" distR="0" wp14:anchorId="0295625E" wp14:editId="37EB4F9F">
            <wp:extent cx="5731510" cy="2032635"/>
            <wp:effectExtent l="0" t="0" r="2540" b="5715"/>
            <wp:docPr id="15" name="Picture 5">
              <a:extLst xmlns:a="http://schemas.openxmlformats.org/drawingml/2006/main">
                <a:ext uri="{FF2B5EF4-FFF2-40B4-BE49-F238E27FC236}">
                  <a16:creationId xmlns:a16="http://schemas.microsoft.com/office/drawing/2014/main" id="{11C2EC3E-271D-4BF4-9F2E-123E8B5BC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C2EC3E-271D-4BF4-9F2E-123E8B5BC389}"/>
                        </a:ext>
                      </a:extLst>
                    </pic:cNvPr>
                    <pic:cNvPicPr>
                      <a:picLocks noChangeAspect="1"/>
                    </pic:cNvPicPr>
                  </pic:nvPicPr>
                  <pic:blipFill>
                    <a:blip r:embed="rId16"/>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As a result, the over performance measured by Area Under Curve for TDA models are slightly lower, which </w:t>
      </w:r>
      <w:proofErr w:type="gramStart"/>
      <w:r>
        <w:rPr>
          <w:rFonts w:ascii="Times New Roman" w:hAnsi="Times New Roman" w:cs="Times New Roman"/>
          <w:sz w:val="24"/>
          <w:szCs w:val="24"/>
        </w:rPr>
        <w:t>can be seen as</w:t>
      </w:r>
      <w:proofErr w:type="gramEnd"/>
      <w:r>
        <w:rPr>
          <w:rFonts w:ascii="Times New Roman" w:hAnsi="Times New Roman" w:cs="Times New Roman"/>
          <w:sz w:val="24"/>
          <w:szCs w:val="24"/>
        </w:rPr>
        <w:t xml:space="preserve"> a “cost” in order to provide more robust crash signals during crisis periods:</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5A4554" wp14:editId="77228BB1">
            <wp:extent cx="5730875" cy="4268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268470"/>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Same pictures will be seen for the other indices which we leave to the appendix.</w:t>
      </w:r>
    </w:p>
    <w:p w:rsidR="009D0C0D" w:rsidRPr="00CA6953" w:rsidRDefault="009D0C0D" w:rsidP="009D0C0D">
      <w:pPr>
        <w:rPr>
          <w:rFonts w:ascii="Times New Roman" w:hAnsi="Times New Roman" w:cs="Times New Roman"/>
          <w:sz w:val="24"/>
          <w:szCs w:val="24"/>
        </w:rPr>
      </w:pPr>
    </w:p>
    <w:p w:rsidR="009D0C0D" w:rsidRPr="00CA6953" w:rsidRDefault="009D0C0D">
      <w:pPr>
        <w:rPr>
          <w:rFonts w:ascii="Times New Roman" w:hAnsi="Times New Roman" w:cs="Times New Roman"/>
          <w:sz w:val="24"/>
          <w:szCs w:val="24"/>
        </w:rPr>
      </w:pPr>
    </w:p>
    <w:sectPr w:rsidR="009D0C0D"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166A03"/>
    <w:rsid w:val="00187900"/>
    <w:rsid w:val="001A1AE5"/>
    <w:rsid w:val="001E00A5"/>
    <w:rsid w:val="001E6936"/>
    <w:rsid w:val="00234EAE"/>
    <w:rsid w:val="0024006E"/>
    <w:rsid w:val="00275148"/>
    <w:rsid w:val="002C08D3"/>
    <w:rsid w:val="00320271"/>
    <w:rsid w:val="003E4738"/>
    <w:rsid w:val="0050776B"/>
    <w:rsid w:val="005C7E9F"/>
    <w:rsid w:val="005D5D59"/>
    <w:rsid w:val="00642EEE"/>
    <w:rsid w:val="007309BC"/>
    <w:rsid w:val="00794B32"/>
    <w:rsid w:val="007B53D3"/>
    <w:rsid w:val="00814670"/>
    <w:rsid w:val="008222B1"/>
    <w:rsid w:val="008571ED"/>
    <w:rsid w:val="008B6377"/>
    <w:rsid w:val="00921C89"/>
    <w:rsid w:val="00937A3A"/>
    <w:rsid w:val="009A0D8C"/>
    <w:rsid w:val="009C2025"/>
    <w:rsid w:val="009D0C0D"/>
    <w:rsid w:val="009D2C7B"/>
    <w:rsid w:val="00A779E1"/>
    <w:rsid w:val="00A85EAC"/>
    <w:rsid w:val="00AA3EB2"/>
    <w:rsid w:val="00B34970"/>
    <w:rsid w:val="00B66A9F"/>
    <w:rsid w:val="00C16231"/>
    <w:rsid w:val="00C53781"/>
    <w:rsid w:val="00CA6953"/>
    <w:rsid w:val="00CE18FD"/>
    <w:rsid w:val="00D6605F"/>
    <w:rsid w:val="00ED0F39"/>
    <w:rsid w:val="00ED6C65"/>
    <w:rsid w:val="00EF3914"/>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FFE3"/>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7</cp:revision>
  <dcterms:created xsi:type="dcterms:W3CDTF">2019-04-24T01:09:00Z</dcterms:created>
  <dcterms:modified xsi:type="dcterms:W3CDTF">2019-05-06T03:39:00Z</dcterms:modified>
</cp:coreProperties>
</file>