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4"/>
          <w:szCs w:val="24"/>
        </w:rPr>
        <w:t xml:space="preserve">Todd DeMelle</w:t>
      </w:r>
    </w:p>
    <w:p>
      <w:pPr>
        <w:spacing w:after="0"/>
      </w:pPr>
      <w:r>
        <w:rPr>
          <w:sz w:val="24"/>
          <w:szCs w:val="24"/>
        </w:rPr>
        <w:t xml:space="preserve">1355 High Street</w:t>
      </w:r>
    </w:p>
    <w:p>
      <w:pPr>
        <w:spacing w:after="0"/>
      </w:pPr>
      <w:r>
        <w:rPr>
          <w:sz w:val="24"/>
          <w:szCs w:val="24"/>
        </w:rPr>
        <w:t xml:space="preserve">Westwood, MA 02090</w:t>
      </w:r>
    </w:p>
    <w:p>
      <w:pPr>
        <w:spacing w:after="0"/>
      </w:pPr>
      <w:r>
        <w:rPr>
          <w:sz w:val="24"/>
          <w:szCs w:val="24"/>
        </w:rPr>
        <w:t xml:space="preserve">tdemelle@gmail.com</w:t>
      </w:r>
    </w:p>
    <w:p>
      <w:pPr>
        <w:spacing w:after="0"/>
      </w:pPr>
    </w:p>
    <w:p>
      <w:pPr>
        <w:spacing w:after="200"/>
      </w:pPr>
      <w:r>
        <w:rPr>
          <w:sz w:val="24"/>
          <w:szCs w:val="24"/>
        </w:rPr>
        <w:t xml:space="preserve">March 27, 2026</w:t>
      </w:r>
    </w:p>
    <w:p>
      <w:pPr>
        <w:spacing w:after="0"/>
      </w:pPr>
    </w:p>
    <w:p>
      <w:pPr>
        <w:spacing w:after="0"/>
      </w:pPr>
      <w:r>
        <w:rPr>
          <w:sz w:val="24"/>
          <w:szCs w:val="24"/>
        </w:rPr>
        <w:t xml:space="preserve">Westwood Conservation Commission</w:t>
      </w:r>
    </w:p>
    <w:p>
      <w:pPr>
        <w:spacing w:after="0"/>
      </w:pPr>
      <w:r>
        <w:rPr>
          <w:sz w:val="24"/>
          <w:szCs w:val="24"/>
        </w:rPr>
        <w:t xml:space="preserve">50 Carby Street</w:t>
      </w:r>
    </w:p>
    <w:p>
      <w:pPr>
        <w:spacing w:after="0"/>
      </w:pPr>
      <w:r>
        <w:rPr>
          <w:sz w:val="24"/>
          <w:szCs w:val="24"/>
        </w:rPr>
        <w:t xml:space="preserve">Westwood, MA 02090</w:t>
      </w:r>
    </w:p>
    <w:p>
      <w:pPr>
        <w:spacing w:after="0"/>
      </w:pPr>
    </w:p>
    <w:p>
      <w:pPr>
        <w:spacing w:after="200"/>
      </w:pPr>
      <w:r>
        <w:rPr>
          <w:b/>
          <w:bCs/>
          <w:sz w:val="24"/>
          <w:szCs w:val="24"/>
        </w:rPr>
        <w:t xml:space="preserve">Re: 42 Mill Street (0 Mill Street) — DEP Files #338-0594, #338-0706, #338-0756</w:t>
      </w:r>
    </w:p>
    <w:p>
      <w:pPr>
        <w:spacing w:after="200"/>
      </w:pPr>
      <w:r>
        <w:rPr>
          <w:b/>
          <w:bCs/>
          <w:sz w:val="24"/>
          <w:szCs w:val="24"/>
        </w:rPr>
        <w:t xml:space="preserve">Property sale and implications for the Commission</w:t>
      </w:r>
    </w:p>
    <w:p>
      <w:pPr>
        <w:spacing w:after="0"/>
      </w:pPr>
    </w:p>
    <w:p>
      <w:pPr>
        <w:spacing w:after="200"/>
      </w:pPr>
      <w:r>
        <w:rPr>
          <w:sz w:val="24"/>
          <w:szCs w:val="24"/>
        </w:rPr>
        <w:t xml:space="preserve">Dear Members of the Commission:</w:t>
      </w:r>
    </w:p>
    <w:p>
      <w:pPr>
        <w:spacing w:after="0"/>
      </w:pPr>
    </w:p>
    <w:p>
      <w:pPr>
        <w:spacing w:after="200"/>
      </w:pPr>
      <w:r>
        <w:rPr>
          <w:sz w:val="24"/>
          <w:szCs w:val="24"/>
        </w:rPr>
        <w:t xml:space="preserve">At the March 25 hearing on the dam repair NOI for 42 Mill Street (DEP #338-0756), the applicant’s representative announced that the property is being sold. I am writing to make sure the Commission is aware of what this sale does to the settlement agreement and to the Commission’s position, and to outline the steps I believe the Commission can take to protect itself and the resource areas at this site.</w:t>
      </w:r>
    </w:p>
    <w:p>
      <w:pPr>
        <w:spacing w:after="200"/>
      </w:pPr>
      <w:r>
        <w:rPr>
          <w:b/>
          <w:bCs/>
          <w:sz w:val="24"/>
          <w:szCs w:val="24"/>
        </w:rPr>
        <w:t xml:space="preserve">What the sale does to the settlement agreement</w:t>
      </w:r>
    </w:p>
    <w:p>
      <w:pPr>
        <w:spacing w:after="200"/>
      </w:pPr>
      <w:r>
        <w:rPr>
          <w:sz w:val="24"/>
          <w:szCs w:val="24"/>
        </w:rPr>
        <w:t xml:space="preserve">The Commission was a party to the 2022 settlement agreement that resolved the litigation over 42 Mill Street. Under that agreement, the Commission accepted DEP’s Superseding Order of Conditions (#338-0706) as its own decision — a decision the Commission had denied. In exchange, the applicant was required to repair the dam, including the obligation to file a complete new NOI for that work. That NOI was the one mechanism in the settlement that returned the project to the Commission for public review under current conditions.</w:t>
      </w:r>
    </w:p>
    <w:p>
      <w:pPr>
        <w:spacing w:after="200"/>
      </w:pPr>
      <w:r>
        <w:rPr>
          <w:sz w:val="24"/>
          <w:szCs w:val="24"/>
        </w:rPr>
        <w:t xml:space="preserve">The Commission denied the dam repair NOI. The dam repair has not been performed. And now the property is being sold.</w:t>
      </w:r>
    </w:p>
    <w:p>
      <w:pPr>
        <w:spacing w:after="200"/>
      </w:pPr>
      <w:r>
        <w:rPr>
          <w:sz w:val="24"/>
          <w:szCs w:val="24"/>
        </w:rPr>
        <w:t xml:space="preserve">The SOC runs with the land. The settlement agreement does not. The new owner will inherit the DEP-issued approval to build on this site, free of every obligation the Commission negotiated in exchange for accepting that approval. The Commission gave up its denial for conditions that will now never be fulfilled.</w:t>
      </w:r>
    </w:p>
    <w:p>
      <w:pPr>
        <w:spacing w:after="200"/>
      </w:pPr>
      <w:r>
        <w:rPr>
          <w:b/>
          <w:bCs/>
          <w:sz w:val="24"/>
          <w:szCs w:val="24"/>
        </w:rPr>
        <w:t xml:space="preserve">What the Commission should know about the current regulatory status</w:t>
      </w:r>
    </w:p>
    <w:p>
      <w:pPr>
        <w:spacing w:after="200"/>
      </w:pPr>
      <w:r>
        <w:rPr>
          <w:sz w:val="24"/>
          <w:szCs w:val="24"/>
        </w:rPr>
        <w:t xml:space="preserve">DEP’s Northeast Regional Office has confirmed in writing that the 2016 Final Order of Resource Area Delineation (FORAD) for this property has expired and that any new determination of wetland resource areas would require de novo review. This was confirmed by Section Chief Jill Provencal on March 10, 2026, and separately by Environmental Analyst Tyler Ferrick in September 2025.</w:t>
      </w:r>
    </w:p>
    <w:p>
      <w:pPr>
        <w:spacing w:after="200"/>
      </w:pPr>
      <w:r>
        <w:rPr>
          <w:sz w:val="24"/>
          <w:szCs w:val="24"/>
        </w:rPr>
        <w:t xml:space="preserve">The resource area delineations shown on the applicant’s plans — including the plans underlying the SOC for house construction — are derived from that expired FORAD. No applicant has demonstrated that those delineations reflect current field conditions. As the Commission is aware from its own appointed consultants’ reports, site conditions have changed significantly since 2016: a beaver dam has blocked the main outlet and raised water levels, a secondary spillway now carries the majority of base flow, and stream channels have shifted closer to the proposed build site.</w:t>
      </w:r>
    </w:p>
    <w:p>
      <w:pPr>
        <w:spacing w:after="200"/>
      </w:pPr>
      <w:r>
        <w:rPr>
          <w:sz w:val="24"/>
          <w:szCs w:val="24"/>
        </w:rPr>
        <w:t xml:space="preserve">In addition, the only documented technical analysis of the impoundment’s hydrological character — the August 2016 SORAD by Rachel Freed, then DEP Deputy Regional Director — concluded that the impoundment is run-of-river and subject to riverfront regulations under 310 CMR 10.58. That classification was not reflected in the FORAD that followed, and no documented explanation for the change has ever been produced. If the run-of-river classification applies, 200-foot riverfront setbacks extend through the entire impoundment, placing virtually the entire proposed build site within regulated zones.</w:t>
      </w:r>
    </w:p>
    <w:p>
      <w:pPr>
        <w:spacing w:after="200"/>
      </w:pPr>
      <w:r>
        <w:rPr>
          <w:b/>
          <w:bCs/>
          <w:sz w:val="24"/>
          <w:szCs w:val="24"/>
        </w:rPr>
        <w:t xml:space="preserve">What the Commission can do</w:t>
      </w:r>
    </w:p>
    <w:p>
      <w:pPr>
        <w:spacing w:after="200"/>
      </w:pPr>
      <w:r>
        <w:rPr>
          <w:sz w:val="24"/>
          <w:szCs w:val="24"/>
        </w:rPr>
        <w:t xml:space="preserve">The Commission has both the authority and the practical tools to ensure that this site is evaluated based on actual current conditions before any development proceeds. Specifically:</w:t>
      </w:r>
    </w:p>
    <w:p>
      <w:pPr>
        <w:spacing w:after="200"/>
      </w:pPr>
      <w:r>
        <w:rPr>
          <w:sz w:val="24"/>
          <w:szCs w:val="24"/>
        </w:rPr>
        <w:t xml:space="preserve">If the new owner seeks to act under the existing SOC, the Commission can decline to accept delineations derived from an expired FORAD and can require current delineation through a new filing before treating the site as cleared for further action.</w:t>
      </w:r>
    </w:p>
    <w:p>
      <w:pPr>
        <w:spacing w:after="200"/>
      </w:pPr>
      <w:r>
        <w:rPr>
          <w:sz w:val="24"/>
          <w:szCs w:val="24"/>
        </w:rPr>
        <w:t xml:space="preserve">If the new owner files a new NOI, the Commission can require that the plans reflect current field conditions, including the documented changes in hydrology, the altered stream channels, and the unresolved run-of-river classification.</w:t>
      </w:r>
    </w:p>
    <w:p>
      <w:pPr>
        <w:spacing w:after="200"/>
      </w:pPr>
      <w:r>
        <w:rPr>
          <w:sz w:val="24"/>
          <w:szCs w:val="24"/>
        </w:rPr>
        <w:t xml:space="preserve">If work begins without current review, the Commission can issue an enforcement order under 310 CMR 10.08. Under </w:t>
      </w:r>
      <w:r>
        <w:rPr>
          <w:i/>
          <w:iCs/>
          <w:sz w:val="24"/>
          <w:szCs w:val="24"/>
        </w:rPr>
        <w:t xml:space="preserve">Conservation Commission of Norton v. Pesa</w:t>
      </w:r>
      <w:r>
        <w:rPr>
          <w:sz w:val="24"/>
          <w:szCs w:val="24"/>
        </w:rPr>
        <w:t xml:space="preserve"> (2021), the three-year enforcement window under M.G.L. c. 131, §40 resets with each transfer of property ownership. When the deed to the new owner records, the Commission will have a fresh three-year window in which to enforce.</w:t>
      </w:r>
    </w:p>
    <w:p>
      <w:pPr>
        <w:spacing w:after="200"/>
      </w:pPr>
      <w:r>
        <w:rPr>
          <w:sz w:val="24"/>
          <w:szCs w:val="24"/>
        </w:rPr>
        <w:t xml:space="preserve">The Commission can also communicate to the Planning Board and Building Department that the resource area boundaries underlying the SOC have not been verified against current conditions and that the FORAD on which they are based has expired. This does not require a formal order — it requires only that the Commission share what it knows.</w:t>
      </w:r>
    </w:p>
    <w:p>
      <w:pPr>
        <w:spacing w:after="200"/>
      </w:pPr>
      <w:r>
        <w:rPr>
          <w:b/>
          <w:bCs/>
          <w:sz w:val="24"/>
          <w:szCs w:val="24"/>
        </w:rPr>
        <w:t xml:space="preserve">Parallel correspondence with DEP</w:t>
      </w:r>
    </w:p>
    <w:p>
      <w:pPr>
        <w:spacing w:after="200"/>
      </w:pPr>
      <w:r>
        <w:rPr>
          <w:sz w:val="24"/>
          <w:szCs w:val="24"/>
        </w:rPr>
        <w:t xml:space="preserve">I have separately written to DEP’s Northeast Regional Office asking two questions: whether any record exists explaining the removal of the run-of-river classification from the 2016 FORAD, and whether DEP will allow the SOC to be relied upon by a new owner without current review of the resource area boundaries. DEP’s response — or failure to respond — will be shared with the Commission when received.</w:t>
      </w:r>
    </w:p>
    <w:p>
      <w:pPr>
        <w:spacing w:after="200"/>
      </w:pPr>
      <w:r>
        <w:rPr>
          <w:sz w:val="24"/>
          <w:szCs w:val="24"/>
        </w:rPr>
        <w:t xml:space="preserve">I had prepared a presentation for the March 25 hearing documenting the full regulatory history of this site, including the expired FORAD, the run-of-river classification, the documented changes in site conditions, and the lot line discrepancy. I was not able to present it. I would like to request time at a future hearing to present this material for the record, or alternatively to submit it in writing. The Commission should have this information in its files before the new owner appears.</w:t>
      </w:r>
    </w:p>
    <w:p>
      <w:pPr>
        <w:spacing w:after="200"/>
      </w:pPr>
      <w:r>
        <w:rPr>
          <w:sz w:val="24"/>
          <w:szCs w:val="24"/>
        </w:rPr>
        <w:t xml:space="preserve">The Commission denied the ANRAD. The Commission denied the Order of Conditions. The Commission denied the dam repair NOI. At every stage where the Commission was given the authority to act, it acted to protect the resource areas at this site. The settlement took that authority away, and now the sale is erasing the conditions the Commission negotiated in return.</w:t>
      </w:r>
    </w:p>
    <w:p>
      <w:pPr>
        <w:spacing w:after="200"/>
      </w:pPr>
      <w:r>
        <w:rPr>
          <w:sz w:val="24"/>
          <w:szCs w:val="24"/>
        </w:rPr>
        <w:t xml:space="preserve">This letter is meant to ensure that the Commission is fully aware of what is happening and has the information it needs to act when the new owner comes forward. I am available to discuss any of this at the Commission’s convenience.</w:t>
      </w:r>
    </w:p>
    <w:p>
      <w:pPr>
        <w:spacing w:after="0"/>
      </w:pPr>
    </w:p>
    <w:p>
      <w:pPr>
        <w:spacing w:after="200"/>
      </w:pPr>
      <w:r>
        <w:rPr>
          <w:sz w:val="24"/>
          <w:szCs w:val="24"/>
        </w:rPr>
        <w:t xml:space="preserve">Respectfully,</w:t>
      </w:r>
    </w:p>
    <w:p>
      <w:pPr>
        <w:spacing w:after="0"/>
      </w:pPr>
    </w:p>
    <w:p>
      <w:pPr>
        <w:spacing w:after="0"/>
      </w:pPr>
    </w:p>
    <w:p>
      <w:pPr>
        <w:spacing w:after="200"/>
      </w:pPr>
      <w:r>
        <w:rPr>
          <w:sz w:val="24"/>
          <w:szCs w:val="24"/>
        </w:rPr>
        <w:t xml:space="preserve">Todd DeMelle</w:t>
      </w:r>
    </w:p>
    <w:p>
      <w:pPr>
        <w:spacing w:after="200"/>
      </w:pPr>
      <w:r>
        <w:rPr>
          <w:sz w:val="24"/>
          <w:szCs w:val="24"/>
        </w:rPr>
        <w:t xml:space="preserve">Abutter, 1355 High Street, Westwood, MA 02090</w:t>
      </w:r>
    </w:p>
    <w:p>
      <w:pPr>
        <w:spacing w:after="0"/>
      </w:pPr>
    </w:p>
    <w:p>
      <w:pPr>
        <w:spacing w:after="200"/>
      </w:pPr>
      <w:r>
        <w:rPr>
          <w:sz w:val="24"/>
          <w:szCs w:val="24"/>
        </w:rPr>
        <w:t xml:space="preserve">cc: Karon Skinner-Catrone, Conservation Agent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2026-03-27T13:24:25.365Z</dcterms:created>
  <dcterms:modified xsi:type="dcterms:W3CDTF">2026-03-27T13:24:25.366Z</dcterms:modified>
</cp:coreProperties>
</file>

<file path=docProps/custom.xml><?xml version="1.0" encoding="utf-8"?>
<Properties xmlns="http://schemas.openxmlformats.org/officeDocument/2006/custom-properties" xmlns:vt="http://schemas.openxmlformats.org/officeDocument/2006/docPropsVTypes"/>
</file>