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4"/>
          <w:szCs w:val="24"/>
        </w:rPr>
        <w:t xml:space="preserve">Todd DeMelle</w:t>
      </w:r>
    </w:p>
    <w:p>
      <w:pPr>
        <w:spacing w:after="0"/>
      </w:pPr>
      <w:r>
        <w:rPr>
          <w:sz w:val="24"/>
          <w:szCs w:val="24"/>
        </w:rPr>
        <w:t xml:space="preserve">1355 High Street</w:t>
      </w:r>
    </w:p>
    <w:p>
      <w:pPr>
        <w:spacing w:after="0"/>
      </w:pPr>
      <w:r>
        <w:rPr>
          <w:sz w:val="24"/>
          <w:szCs w:val="24"/>
        </w:rPr>
        <w:t xml:space="preserve">Westwood, MA 02090</w:t>
      </w:r>
    </w:p>
    <w:p>
      <w:pPr>
        <w:spacing w:after="0"/>
      </w:pPr>
      <w:r>
        <w:rPr>
          <w:sz w:val="24"/>
          <w:szCs w:val="24"/>
        </w:rPr>
        <w:t xml:space="preserve">tdemelle@gmail.com</w:t>
      </w:r>
    </w:p>
    <w:p>
      <w:pPr>
        <w:spacing w:after="0"/>
      </w:pPr>
    </w:p>
    <w:p>
      <w:pPr>
        <w:spacing w:after="200"/>
      </w:pPr>
      <w:r>
        <w:rPr>
          <w:sz w:val="24"/>
          <w:szCs w:val="24"/>
        </w:rPr>
        <w:t xml:space="preserve">March 27, 2026</w:t>
      </w:r>
    </w:p>
    <w:p>
      <w:pPr>
        <w:spacing w:after="0"/>
      </w:pPr>
    </w:p>
    <w:p>
      <w:pPr>
        <w:spacing w:after="0"/>
      </w:pPr>
      <w:r>
        <w:rPr>
          <w:sz w:val="24"/>
          <w:szCs w:val="24"/>
        </w:rPr>
        <w:t xml:space="preserve">Massachusetts Department of Environmental Protection</w:t>
      </w:r>
    </w:p>
    <w:p>
      <w:pPr>
        <w:spacing w:after="0"/>
      </w:pPr>
      <w:r>
        <w:rPr>
          <w:sz w:val="24"/>
          <w:szCs w:val="24"/>
        </w:rPr>
        <w:t xml:space="preserve">Northeast Regional Office</w:t>
      </w:r>
    </w:p>
    <w:p>
      <w:pPr>
        <w:spacing w:after="0"/>
      </w:pPr>
      <w:r>
        <w:rPr>
          <w:sz w:val="24"/>
          <w:szCs w:val="24"/>
        </w:rPr>
        <w:t xml:space="preserve">150 Presidential Way</w:t>
      </w:r>
    </w:p>
    <w:p>
      <w:pPr>
        <w:spacing w:after="0"/>
      </w:pPr>
      <w:r>
        <w:rPr>
          <w:sz w:val="24"/>
          <w:szCs w:val="24"/>
        </w:rPr>
        <w:t xml:space="preserve">Woburn, MA 01801</w:t>
      </w:r>
    </w:p>
    <w:p>
      <w:pPr>
        <w:spacing w:after="0"/>
      </w:pPr>
    </w:p>
    <w:p>
      <w:pPr>
        <w:spacing w:after="200"/>
      </w:pPr>
      <w:r>
        <w:rPr>
          <w:b/>
          <w:bCs/>
          <w:sz w:val="24"/>
          <w:szCs w:val="24"/>
        </w:rPr>
        <w:t xml:space="preserve">Re: 42 Mill Street, Westwood, MA — DEP Files #338-0594, #338-0706, #338-0756</w:t>
      </w:r>
    </w:p>
    <w:p>
      <w:pPr>
        <w:spacing w:after="200"/>
      </w:pPr>
      <w:r>
        <w:rPr>
          <w:b/>
          <w:bCs/>
          <w:sz w:val="24"/>
          <w:szCs w:val="24"/>
        </w:rPr>
        <w:t xml:space="preserve">Request for written response and action prior to property transfer</w:t>
      </w:r>
    </w:p>
    <w:p>
      <w:pPr>
        <w:spacing w:after="0"/>
      </w:pPr>
    </w:p>
    <w:p>
      <w:pPr>
        <w:spacing w:after="200"/>
      </w:pPr>
      <w:r>
        <w:rPr>
          <w:sz w:val="24"/>
          <w:szCs w:val="24"/>
        </w:rPr>
        <w:t xml:space="preserve">Dear Regional Director:</w:t>
      </w:r>
    </w:p>
    <w:p>
      <w:pPr>
        <w:spacing w:after="0"/>
      </w:pPr>
    </w:p>
    <w:p>
      <w:pPr>
        <w:spacing w:after="200"/>
      </w:pPr>
      <w:r>
        <w:rPr>
          <w:sz w:val="24"/>
          <w:szCs w:val="24"/>
        </w:rPr>
        <w:t xml:space="preserve">On March 25, 2026 — two days ago — I attended a Westwood Conservation Commission hearing as an abutter on the Notice of Intent for dam repair at 42 Mill Street (DEP #338-0756). I had prepared a presentation documenting ten years of regulatory history at this site. For the first time in nearly a decade, the expired status of the 2016 FORAD meant the Commission could finally require that the applicant’s plans reflect actual wetland conditions rather than relying on outdated and unexplained delineations. This was supposed to be the hearing where accountability was imposed.</w:t>
      </w:r>
    </w:p>
    <w:p>
      <w:pPr>
        <w:spacing w:after="200"/>
      </w:pPr>
      <w:r>
        <w:rPr>
          <w:sz w:val="24"/>
          <w:szCs w:val="24"/>
        </w:rPr>
        <w:t xml:space="preserve">Instead, the applicant’s representative announced that the property is being sold.</w:t>
      </w:r>
    </w:p>
    <w:p>
      <w:pPr>
        <w:spacing w:after="200"/>
      </w:pPr>
      <w:r>
        <w:rPr>
          <w:sz w:val="24"/>
          <w:szCs w:val="24"/>
        </w:rPr>
        <w:t xml:space="preserve">I initially understood the sale announcement as a resolution. It now appears to be a tactic to vacate the stipulations of the settlement agreement that required the dam repair and pass the unencumbered SOC to a new owner without the attendant accountability the settlement required. And with this, the last opportunity to hold the development plans accountable — the dam repair NOI — is taken off the table.</w:t>
      </w:r>
    </w:p>
    <w:p>
      <w:pPr>
        <w:spacing w:after="200"/>
      </w:pPr>
      <w:r>
        <w:rPr>
          <w:sz w:val="24"/>
          <w:szCs w:val="24"/>
        </w:rPr>
        <w:t xml:space="preserve">I have been actively engaged with the regulatory proceedings at this site for ten years, though the developer’s efforts to build on this property go back more than two decades. In recent correspondence, DEP’s Northeast Regional Office confirmed in writing that the 2016 FORAD has expired and that any new determination of wetland resource areas would require de novo review. That confirmation was the basis of the case I was prepared to present. The sale announcement effectively bypasses it.</w:t>
      </w:r>
    </w:p>
    <w:p>
      <w:pPr>
        <w:spacing w:after="200"/>
      </w:pPr>
      <w:r>
        <w:rPr>
          <w:sz w:val="24"/>
          <w:szCs w:val="24"/>
        </w:rPr>
        <w:t xml:space="preserve">Attached are three exhibits, each produced by DEP’s own staff or by the Town of Westwood’s counsel. A comprehensive presentation documenting the full regulatory history from Conservation Commission, MassDEP, and Superior Court records has also been prepared and will be provided upon request or in connection with any proceeding.</w:t>
      </w:r>
    </w:p>
    <w:p>
      <w:pPr>
        <w:spacing w:after="200"/>
      </w:pPr>
      <w:r>
        <w:rPr>
          <w:b/>
          <w:bCs/>
          <w:sz w:val="24"/>
          <w:szCs w:val="24"/>
        </w:rPr>
        <w:t xml:space="preserve">Exhibit A: The unexplained reversal</w:t>
      </w:r>
    </w:p>
    <w:p>
      <w:pPr>
        <w:spacing w:after="200"/>
      </w:pPr>
      <w:r>
        <w:rPr>
          <w:sz w:val="24"/>
          <w:szCs w:val="24"/>
        </w:rPr>
        <w:t xml:space="preserve">On August 25, 2016, Rachel Freed, then Deputy Regional Director of the Bureau of Water Resources at this office, issued a Superseding Order of Resource Area Delineation for DEP #338-0594. Her analysis concluded that the impoundment at 42 Mill Street is run-of-river and subject to riverfront regulations under 310 CMR 10.58, based on measurable physical characteristics: approximately 2-foot average depth, impoundment area 341 times smaller than its watershed, approximately 400-foot inlet-to-outlet distance that “effectively short-circuits the impoundment,” and 1941 USGS mapping showing a channel with no impoundment.</w:t>
      </w:r>
    </w:p>
    <w:p>
      <w:pPr>
        <w:spacing w:after="200"/>
      </w:pPr>
      <w:r>
        <w:rPr>
          <w:sz w:val="24"/>
          <w:szCs w:val="24"/>
        </w:rPr>
        <w:t xml:space="preserve">Sixteen weeks later, on December 19, 2016, DEP issued a Final Order of Resource Area Delineation. The run-of-river classification was absent. No technical memorandum, analysis, or correspondence in the record explains the change. When I asked, DEP’s response was that “there may have been a plan change.” No further explanation has been provided.</w:t>
      </w:r>
    </w:p>
    <w:p>
      <w:pPr>
        <w:spacing w:after="200"/>
      </w:pPr>
      <w:r>
        <w:rPr>
          <w:sz w:val="24"/>
          <w:szCs w:val="24"/>
        </w:rPr>
        <w:t xml:space="preserve">This matters because the run-of-river classification determines whether 200-foot riverfront setbacks extend through the impoundment under 310 CMR 10.58. If they do, virtually the entire proposed build site falls within regulated zones. The removal of this classification from the FORAD is the single decision that made development of this site appear permissible. Every subsequent approval rests on it. And no one at DEP has explained how or why the classification was removed from the FORAD that was issued.</w:t>
      </w:r>
    </w:p>
    <w:p>
      <w:pPr>
        <w:spacing w:after="200"/>
      </w:pPr>
      <w:r>
        <w:rPr>
          <w:b/>
          <w:bCs/>
          <w:sz w:val="24"/>
          <w:szCs w:val="24"/>
        </w:rPr>
        <w:t xml:space="preserve">Exhibit B: The foundation that no longer exists</w:t>
      </w:r>
    </w:p>
    <w:p>
      <w:pPr>
        <w:spacing w:after="200"/>
      </w:pPr>
      <w:r>
        <w:rPr>
          <w:sz w:val="24"/>
          <w:szCs w:val="24"/>
        </w:rPr>
        <w:t xml:space="preserve">The Department has now confirmed in writing that the 2016 FORAD has expired and that de novo review is required. The attached correspondence establishes this. It is not a disputed point.</w:t>
      </w:r>
    </w:p>
    <w:p>
      <w:pPr>
        <w:spacing w:after="200"/>
      </w:pPr>
      <w:r>
        <w:rPr>
          <w:sz w:val="24"/>
          <w:szCs w:val="24"/>
        </w:rPr>
        <w:t xml:space="preserve">During the six years the FORAD was in effect, both the town’s appointed wetland consultant and the applicant’s own consultant documented significant changes in site conditions: a beaver dam blocking the main outlet and raising water levels, a new secondary spillway that now carries the majority of base flow, and altered stream channels approaching the proposed build site. Each time these changes were raised, the applicant’s consultant invoked the FORAD as a legal shield, stating that “the wetland line onsite is legally bound by a FORAD.” The plans were never updated.</w:t>
      </w:r>
    </w:p>
    <w:p>
      <w:pPr>
        <w:spacing w:after="200"/>
      </w:pPr>
      <w:r>
        <w:rPr>
          <w:sz w:val="24"/>
          <w:szCs w:val="24"/>
        </w:rPr>
        <w:t xml:space="preserve">The FORAD expired in December 2022. Five months later, the applicant submitted a dam repair NOI using the same expired delineations. The Superseding Order of Conditions authorizing house construction also relies on those same delineations.</w:t>
      </w:r>
    </w:p>
    <w:p>
      <w:pPr>
        <w:spacing w:after="200"/>
      </w:pPr>
      <w:r>
        <w:rPr>
          <w:b/>
          <w:bCs/>
          <w:sz w:val="24"/>
          <w:szCs w:val="24"/>
        </w:rPr>
        <w:t xml:space="preserve">Exhibit C: The questions no one has answered</w:t>
      </w:r>
    </w:p>
    <w:p>
      <w:pPr>
        <w:spacing w:after="200"/>
      </w:pPr>
      <w:r>
        <w:rPr>
          <w:sz w:val="24"/>
          <w:szCs w:val="24"/>
        </w:rPr>
        <w:t xml:space="preserve">A letter from Westwood Town Counsel to DEP’s Office of General Counsel, dated April 1, 2022, exists in the Conservation Commission’s files. In it, Town Counsel notes that DEP’s SOC reversed the Commission’s finding that the impoundment is not a pond for purposes of riverfront regulation, and requests proof of all correspondence between DEP and the applicant from 2016 to 2022.</w:t>
      </w:r>
    </w:p>
    <w:p>
      <w:pPr>
        <w:spacing w:after="200"/>
      </w:pPr>
      <w:r>
        <w:rPr>
          <w:sz w:val="24"/>
          <w:szCs w:val="24"/>
        </w:rPr>
        <w:t xml:space="preserve">When I followed up with Environmental Analyst Tyler Ferrick at this office, he confirmed on September 5, 2025 that the letter was not sent to him, that he was not copied on it, and that he was not aware of it or any correspondence associated with it. The questions it raised have never been answered.</w:t>
      </w:r>
    </w:p>
    <w:p>
      <w:pPr>
        <w:spacing w:after="200"/>
      </w:pPr>
      <w:r>
        <w:rPr>
          <w:b/>
          <w:bCs/>
          <w:sz w:val="24"/>
          <w:szCs w:val="24"/>
        </w:rPr>
        <w:t xml:space="preserve">What the sale does</w:t>
      </w:r>
    </w:p>
    <w:p>
      <w:pPr>
        <w:spacing w:after="200"/>
      </w:pPr>
      <w:r>
        <w:rPr>
          <w:sz w:val="24"/>
          <w:szCs w:val="24"/>
        </w:rPr>
        <w:t xml:space="preserve">The Westwood Conservation Commission denied the applicant’s NOI for residential development on November 18, 2021. The applicant appealed to DEP and simultaneously filed suit against the Commission. DEP issued Superseding Order of Conditions #338-0706 on May 6, 2022. A settlement agreement resolved the litigation. Under its terms, the Commission was required to accept DEP’s SOC as the Commission’s own decision. The Commission — which had denied the project — was compelled to put its name on an approval it rejected.</w:t>
      </w:r>
    </w:p>
    <w:p>
      <w:pPr>
        <w:spacing w:after="200"/>
      </w:pPr>
      <w:r>
        <w:rPr>
          <w:sz w:val="24"/>
          <w:szCs w:val="24"/>
        </w:rPr>
        <w:t xml:space="preserve">In exchange, the settlement imposed obligations on the applicant. Chief among them was a requirement to repair the existing dam, including the obligation to prepare and submit a complete new Notice of Intent for that work. That NOI requirement is significant: it was the one point in the settlement that returned the project to the Commission for public review. It was the Commission’s only remaining opportunity to evaluate the site under current conditions. The applicant filed that NOI under DEP #338-0756. The Conservation Commission denied it. The dam repair that was the central condition of the settlement has not been performed.</w:t>
      </w:r>
    </w:p>
    <w:p>
      <w:pPr>
        <w:spacing w:after="200"/>
      </w:pPr>
      <w:r>
        <w:rPr>
          <w:sz w:val="24"/>
          <w:szCs w:val="24"/>
        </w:rPr>
        <w:t xml:space="preserve">Now the property is being sold. The SOC runs with the land. The settlement agreement does not. The new owner will inherit DEP-issued approval to build a house on this site, free of every obligation the Commission negotiated in exchange for accepting that approval. The dam repair obligation is gone. The requirement to file a new NOI — the one mechanism that would have brought the project back before the Commission for review under current conditions — is gone. The Commission was compelled to accept an approval it rejected, in exchange for conditions that will now never be fulfilled.</w:t>
      </w:r>
    </w:p>
    <w:p>
      <w:pPr>
        <w:spacing w:after="200"/>
      </w:pPr>
      <w:r>
        <w:rPr>
          <w:sz w:val="24"/>
          <w:szCs w:val="24"/>
        </w:rPr>
        <w:t xml:space="preserve">The sale preserves the SOC while stripping away the settlement’s obligations.</w:t>
      </w:r>
    </w:p>
    <w:p>
      <w:pPr>
        <w:spacing w:after="200"/>
      </w:pPr>
      <w:r>
        <w:rPr>
          <w:b/>
          <w:bCs/>
          <w:sz w:val="24"/>
          <w:szCs w:val="24"/>
        </w:rPr>
        <w:t xml:space="preserve">The window that is about to open</w:t>
      </w:r>
    </w:p>
    <w:p>
      <w:pPr>
        <w:spacing w:after="200"/>
      </w:pPr>
      <w:r>
        <w:rPr>
          <w:sz w:val="24"/>
          <w:szCs w:val="24"/>
        </w:rPr>
        <w:t xml:space="preserve">In </w:t>
      </w:r>
      <w:r>
        <w:rPr>
          <w:i/>
          <w:iCs/>
          <w:sz w:val="24"/>
          <w:szCs w:val="24"/>
        </w:rPr>
        <w:t xml:space="preserve">Conservation Commission of Norton v. Pesa</w:t>
      </w:r>
      <w:r>
        <w:rPr>
          <w:sz w:val="24"/>
          <w:szCs w:val="24"/>
        </w:rPr>
        <w:t xml:space="preserve"> (2021), the Massachusetts Supreme Judicial Court held that the three-year enforcement window under M.G.L. c. 131, §40 resets with each transfer of property ownership. When the deed to the new owner records, DEP and the Conservation Commission will have a renewed three-year window in which to act.</w:t>
      </w:r>
    </w:p>
    <w:p>
      <w:pPr>
        <w:spacing w:after="200"/>
      </w:pPr>
      <w:r>
        <w:rPr>
          <w:sz w:val="24"/>
          <w:szCs w:val="24"/>
        </w:rPr>
        <w:t xml:space="preserve">That window is the opportunity to require what should have been required years ago: a current, de novo determination of resource area boundaries that reflects actual field conditions and addresses the run-of-river classification that DEP’s own expert documented and that was removed from the record without explanation.</w:t>
      </w:r>
    </w:p>
    <w:p>
      <w:pPr>
        <w:spacing w:after="200"/>
      </w:pPr>
      <w:r>
        <w:rPr>
          <w:sz w:val="24"/>
          <w:szCs w:val="24"/>
        </w:rPr>
        <w:t xml:space="preserve">If DEP does not act within that window, the outcome is final. A house will be built on wetlands that DEP’s own Deputy Regional Director concluded should carry 200-foot riverfront setbacks. It will be built under the authority of a FORAD that DEP’s own Section Chief has confirmed is expired. And the conditions that were imposed to offset the Commission’s overridden denial will have been erased by a sale.</w:t>
      </w:r>
    </w:p>
    <w:p>
      <w:pPr>
        <w:spacing w:after="200"/>
      </w:pPr>
      <w:r>
        <w:rPr>
          <w:b/>
          <w:bCs/>
          <w:sz w:val="24"/>
          <w:szCs w:val="24"/>
        </w:rPr>
        <w:t xml:space="preserve">What I am asking</w:t>
      </w:r>
    </w:p>
    <w:p>
      <w:pPr>
        <w:spacing w:after="200"/>
      </w:pPr>
      <w:r>
        <w:rPr>
          <w:sz w:val="24"/>
          <w:szCs w:val="24"/>
        </w:rPr>
        <w:t xml:space="preserve">I am asking DEP to answer two questions in writing:</w:t>
      </w:r>
    </w:p>
    <w:p>
      <w:pPr>
        <w:spacing w:after="200"/>
      </w:pPr>
      <w:r>
        <w:rPr>
          <w:sz w:val="24"/>
          <w:szCs w:val="24"/>
        </w:rPr>
        <w:t xml:space="preserve">1. Does any record exist — any technical memorandum, analysis, correspondence, or other documentation — explaining the removal of the run-of-river classification between the August 25, 2016 SORAD and the December 19, 2016 FORAD? If no such record exists, I ask DEP to say so.</w:t>
      </w:r>
    </w:p>
    <w:p>
      <w:pPr>
        <w:spacing w:after="200"/>
      </w:pPr>
      <w:r>
        <w:rPr>
          <w:sz w:val="24"/>
          <w:szCs w:val="24"/>
        </w:rPr>
        <w:t xml:space="preserve">2. Will DEP allow the Superseding Order of Conditions (#338-0706) to be relied upon by a new owner to proceed with development without current review of the resource area boundaries, given that the underlying FORAD has expired and DEP’s own staff has confirmed that de novo review is required?</w:t>
      </w:r>
    </w:p>
    <w:p>
      <w:pPr>
        <w:spacing w:after="200"/>
      </w:pPr>
      <w:r>
        <w:rPr>
          <w:sz w:val="24"/>
          <w:szCs w:val="24"/>
        </w:rPr>
        <w:t xml:space="preserve">The property transfer and the Pesa decision ensure that the Commission and DEP will have authority and time to act. DEP should answer these questions on the record.</w:t>
      </w:r>
    </w:p>
    <w:p>
      <w:pPr>
        <w:spacing w:after="200"/>
      </w:pPr>
      <w:r>
        <w:rPr>
          <w:sz w:val="24"/>
          <w:szCs w:val="24"/>
        </w:rPr>
        <w:t xml:space="preserve">I have pursued this through proper channels for ten years. I have documented the full history of this site and I am prepared to make that record available to anyone who asks for it. I am giving DEP a fair opportunity to address this directly and in writing. If I do not receive a substantive response, I will pursue every other avenue available to me.</w:t>
      </w:r>
    </w:p>
    <w:p>
      <w:pPr>
        <w:spacing w:after="0"/>
      </w:pPr>
    </w:p>
    <w:p>
      <w:pPr>
        <w:spacing w:after="200"/>
      </w:pPr>
      <w:r>
        <w:rPr>
          <w:sz w:val="24"/>
          <w:szCs w:val="24"/>
        </w:rPr>
        <w:t xml:space="preserve">Respectfully,</w:t>
      </w:r>
    </w:p>
    <w:p>
      <w:pPr>
        <w:spacing w:after="0"/>
      </w:pPr>
    </w:p>
    <w:p>
      <w:pPr>
        <w:spacing w:after="0"/>
      </w:pPr>
    </w:p>
    <w:p>
      <w:pPr>
        <w:spacing w:after="200"/>
      </w:pPr>
      <w:r>
        <w:rPr>
          <w:sz w:val="24"/>
          <w:szCs w:val="24"/>
        </w:rPr>
        <w:t xml:space="preserve">Todd DeMelle</w:t>
      </w:r>
    </w:p>
    <w:p>
      <w:pPr>
        <w:spacing w:after="200"/>
      </w:pPr>
      <w:r>
        <w:rPr>
          <w:sz w:val="24"/>
          <w:szCs w:val="24"/>
        </w:rPr>
        <w:t xml:space="preserve">Abutter, 1355 High Street, Westwood, MA 02090</w:t>
      </w:r>
    </w:p>
    <w:p>
      <w:pPr>
        <w:spacing w:after="0"/>
      </w:pPr>
    </w:p>
    <w:p>
      <w:pPr>
        <w:spacing w:after="200"/>
      </w:pPr>
      <w:r>
        <w:rPr>
          <w:sz w:val="24"/>
          <w:szCs w:val="24"/>
        </w:rPr>
        <w:t xml:space="preserve">Enclosures:</w:t>
      </w:r>
    </w:p>
    <w:p>
      <w:pPr>
        <w:spacing w:after="200"/>
      </w:pPr>
      <w:r>
        <w:rPr>
          <w:sz w:val="24"/>
          <w:szCs w:val="24"/>
        </w:rPr>
        <w:t xml:space="preserve">Exhibit A: Excerpt from SORAD, DEP #338-0594, August 25, 2016 (Rachel Freed analysis)</w:t>
      </w:r>
    </w:p>
    <w:p>
      <w:pPr>
        <w:spacing w:after="200"/>
      </w:pPr>
      <w:r>
        <w:rPr>
          <w:sz w:val="24"/>
          <w:szCs w:val="24"/>
        </w:rPr>
        <w:t xml:space="preserve">Exhibit B: Written correspondence from MassDEP NERO confirming FORAD expiration, March 10, 2026</w:t>
      </w:r>
    </w:p>
    <w:p>
      <w:pPr>
        <w:spacing w:after="200"/>
      </w:pPr>
      <w:r>
        <w:rPr>
          <w:sz w:val="24"/>
          <w:szCs w:val="24"/>
        </w:rPr>
        <w:t xml:space="preserve">Exhibit C: Letter from Westwood Town Counsel to MassDEP Office of General Counsel, April 1, 2022; and correspondence from Tyler Ferrick, Environmental Analyst, MassDEP, September 5, 2025, confirming non-receipt</w:t>
      </w:r>
    </w:p>
    <w:p>
      <w:pPr>
        <w:spacing w:after="0"/>
      </w:pPr>
    </w:p>
    <w:p>
      <w:pPr>
        <w:spacing w:after="200"/>
      </w:pPr>
      <w:r>
        <w:rPr>
          <w:sz w:val="24"/>
          <w:szCs w:val="24"/>
        </w:rPr>
        <w:t xml:space="preserve">cc: Westwood Conservation Commission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2026-03-27T06:14:21.446Z</dcterms:created>
  <dcterms:modified xsi:type="dcterms:W3CDTF">2026-03-27T06:14:21.447Z</dcterms:modified>
</cp:coreProperties>
</file>

<file path=docProps/custom.xml><?xml version="1.0" encoding="utf-8"?>
<Properties xmlns="http://schemas.openxmlformats.org/officeDocument/2006/custom-properties" xmlns:vt="http://schemas.openxmlformats.org/officeDocument/2006/docPropsVTypes"/>
</file>