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F4E79"/>
          <w:sz w:val="48"/>
          <w:szCs w:val="48"/>
        </w:rPr>
        <w:t xml:space="preserve">Carte Topo-Bathymétrique 3D</w:t>
      </w:r>
    </w:p>
    <w:p>
      <w:pPr>
        <w:spacing w:before="0" w:after="60"/>
        <w:jc w:val="center"/>
      </w:pPr>
      <w:r>
        <w:rPr>
          <w:b/>
          <w:bCs/>
          <w:color w:val="2E75B6"/>
          <w:sz w:val="30"/>
          <w:szCs w:val="30"/>
        </w:rPr>
        <w:t xml:space="preserve">Port-Blanc — Penvénan (Côtes-d'Armor)</w:t>
      </w:r>
    </w:p>
    <w:p>
      <w:pPr>
        <w:spacing w:before="0" w:after="300"/>
        <w:jc w:val="center"/>
      </w:pPr>
      <w:r>
        <w:rPr>
          <w:color w:val="666666"/>
          <w:sz w:val="22"/>
          <w:szCs w:val="22"/>
        </w:rPr>
        <w:t xml:space="preserve">Document de référence — Session Claude Code</w:t>
      </w:r>
    </w:p>
    <w:p>
      <w:pPr>
        <w:pStyle w:val="Heading1"/>
        <w:spacing w:before="300" w:after="120"/>
      </w:pPr>
      <w:r>
        <w:rPr>
          <w:b/>
          <w:bCs/>
          <w:color w:val="1F4E79"/>
          <w:sz w:val="32"/>
          <w:szCs w:val="32"/>
        </w:rPr>
        <w:t xml:space="preserve">1. Objectif du projet</w:t>
      </w:r>
    </w:p>
    <w:p>
      <w:pPr>
        <w:spacing w:before="60" w:after="120"/>
      </w:pPr>
      <w:r>
        <w:rPr>
          <w:b w:val="false"/>
          <w:bCs w:val="false"/>
          <w:color w:val="000000"/>
          <w:sz w:val="22"/>
          <w:szCs w:val="22"/>
        </w:rPr>
        <w:t xml:space="preserve">Fabriquer une carte topographique et bathymétrique en relief, en couches empilées, représentant la zone côtière de Port-Blanc (Penvénan, 22) avec son archipel d'îles. La carte combine données terrestres IGN et données marines SHOM pour offrir une représentation continue terre-mer.</w:t>
      </w:r>
    </w:p>
    <w:p>
      <w:pPr>
        <w:spacing w:before="0" w:after="60"/>
      </w:pPr>
      <w:r>
        <w:rPr>
          <w:b w:val="false"/>
          <w:bCs w:val="false"/>
          <w:color w:val="000000"/>
          <w:sz w:val="22"/>
          <w:szCs w:val="22"/>
        </w:rPr>
        <w:t xml:space="preserve">La découpe des couches est réalisée avec une Shaper Origin (défonceuse CNC guidée). Un script Python paramétrable génère les fichiers SVG à partir des coordonnées GPS de la zone.</w:t>
      </w:r>
    </w:p>
    <w:p>
      <w:pPr>
        <w:spacing w:before="80" w:after="80"/>
      </w:pPr>
      <w:r>
        <w:t xml:space="preserve"/>
      </w:r>
    </w:p>
    <w:p>
      <w:pPr>
        <w:pStyle w:val="Heading1"/>
        <w:spacing w:before="300" w:after="120"/>
      </w:pPr>
      <w:r>
        <w:rPr>
          <w:b/>
          <w:bCs/>
          <w:color w:val="1F4E79"/>
          <w:sz w:val="32"/>
          <w:szCs w:val="32"/>
        </w:rPr>
        <w:t xml:space="preserve">2. Zone géographique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Format carte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43 × 38 cm (paysage) — compatible BenchPilot sans Workstation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Zone couverte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4,3 km × 3,8 km centrés sur Port-Blanc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Échelle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 10 000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Centre GPS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48.835°N, 3.310°W — Port-Blanc, Penvénan (22)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Emprise 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Jusqu'à ~2,1 km (direction Buguélès)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Emprise Ouest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Jusqu'à ~2,2 km (direction pointe de Berjul)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Emprise Nord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~2,2 km en mer (englobe St-Gildas, Illiec, Bruck...)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Emprise Sud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~1,6 km dans les terres</w:t>
            </w:r>
          </w:p>
        </w:tc>
      </w:tr>
    </w:tbl>
    <w:p>
      <w:pPr>
        <w:spacing w:before="80" w:after="80"/>
      </w:pPr>
      <w:r>
        <w:t xml:space="preserve"/>
      </w:r>
    </w:p>
    <w:p>
      <w:pPr>
        <w:spacing w:before="60" w:after="60"/>
      </w:pPr>
      <w:r>
        <w:rPr>
          <w:b w:val="false"/>
          <w:bCs w:val="false"/>
          <w:color w:val="000000"/>
          <w:sz w:val="22"/>
          <w:szCs w:val="22"/>
        </w:rPr>
        <w:t xml:space="preserve">L'archipel comprend notamment : île Saint-Gildas (28 ha), île du Château-Neuf, île des Femmes, Illiec, Bruck, Levren, Creiz, Bihan, Baelaneg, île aux Marsouins, Marquer, Ozac'h, Balanec, île du Milieu, Guiben, île des Levrettes. L'estran de Buguélès représente plus de 2 000 ha découverts à marée basse.</w:t>
      </w:r>
    </w:p>
    <w:p>
      <w:pPr>
        <w:spacing w:before="80" w:after="80"/>
      </w:pPr>
      <w:r>
        <w:t xml:space="preserve"/>
      </w:r>
    </w:p>
    <w:p>
      <w:pPr>
        <w:pStyle w:val="Heading1"/>
        <w:spacing w:before="300" w:after="120"/>
      </w:pPr>
      <w:r>
        <w:rPr>
          <w:b/>
          <w:bCs/>
          <w:color w:val="1F4E79"/>
          <w:sz w:val="32"/>
          <w:szCs w:val="32"/>
        </w:rPr>
        <w:t xml:space="preserve">3. Sources de données</w:t>
      </w:r>
    </w:p>
    <w:p>
      <w:pPr>
        <w:pStyle w:val="Heading2"/>
        <w:spacing w:before="240" w:after="80"/>
      </w:pPr>
      <w:r>
        <w:rPr>
          <w:b/>
          <w:bCs/>
          <w:color w:val="2E75B6"/>
          <w:sz w:val="26"/>
          <w:szCs w:val="26"/>
        </w:rPr>
        <w:t xml:space="preserve">3.1 Source recommandée — Litto3D Bretagne 2018-2021 (SHOM + IGN)</w:t>
      </w:r>
    </w:p>
    <w:p>
      <w:pPr>
        <w:spacing w:before="60" w:after="60"/>
      </w:pPr>
      <w:r>
        <w:rPr>
          <w:b w:val="false"/>
          <w:bCs w:val="false"/>
          <w:color w:val="000000"/>
          <w:sz w:val="22"/>
          <w:szCs w:val="22"/>
        </w:rPr>
        <w:t xml:space="preserve">Produit idéal car il fusionne données terrestres et bathymétriques en un seul MNT continu. Résolution 1 m, précision ±20 cm (zone littorale LiDAR). Licence ouverte Open Data — citation requise : "Shom - IGN, 2024. Litto3D® – Bretagne 2018-2021".</w:t>
      </w:r>
    </w:p>
    <w:p>
      <w:pPr>
        <w:spacing w:before="60" w:after="60"/>
      </w:pPr>
      <w:r>
        <w:rPr>
          <w:b/>
          <w:bCs/>
          <w:color w:val="000000"/>
          <w:sz w:val="22"/>
          <w:szCs w:val="22"/>
        </w:rPr>
        <w:t xml:space="preserve">Téléchargement : diffusion.shom.fr → Altimétrie littorale → Litto3D Bretagne 2018-2021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23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Résolution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Précision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Accès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IGN RGE ALTI 1m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m/pixel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±20 cm (zone littorale)</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Gratuit — data.gouv.fr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Terrestre</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bCs/>
                <w:color w:val="000000"/>
                <w:sz w:val="20"/>
                <w:szCs w:val="20"/>
              </w:rPr>
              <w:t xml:space="preserve">SHOM Litto3D Bretagne 2018–2021</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1 m/pixel</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±20 cm</w:t>
            </w:r>
          </w:p>
        </w:tc>
        <w:tc>
          <w:tcPr>
            <w:tcW w:type="dxa" w:w="2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Gratuit — diffusion.shom.fr</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Terre + Mer fusionnés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SHOM MNT Atlantique (HOMONIM)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~111 m/pixel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m</w:t>
            </w:r>
          </w:p>
        </w:tc>
        <w:tc>
          <w:tcPr>
            <w:tcW w:type="dxa" w:w="2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Gratuit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Mer (large)</w:t>
            </w:r>
          </w:p>
        </w:tc>
      </w:tr>
    </w:tbl>
    <w:p>
      <w:pPr>
        <w:spacing w:before="80" w:after="80"/>
      </w:pPr>
      <w:r>
        <w:t xml:space="preserve"/>
      </w:r>
    </w:p>
    <w:p>
      <w:pPr>
        <w:pStyle w:val="Heading2"/>
        <w:spacing w:before="240" w:after="80"/>
      </w:pPr>
      <w:r>
        <w:rPr>
          <w:b/>
          <w:bCs/>
          <w:color w:val="2E75B6"/>
          <w:sz w:val="26"/>
          <w:szCs w:val="26"/>
        </w:rPr>
        <w:t xml:space="preserve">3.2 Point d'attention : référentiels altimétriques</w:t>
      </w:r>
    </w:p>
    <w:p>
      <w:pPr>
        <w:spacing w:before="60" w:after="60"/>
      </w:pPr>
      <w:r>
        <w:rPr>
          <w:b w:val="false"/>
          <w:bCs w:val="false"/>
          <w:color w:val="000000"/>
          <w:sz w:val="22"/>
          <w:szCs w:val="22"/>
        </w:rPr>
        <w:t xml:space="preserve">Le Litto3D Bretagne 2018-2021 utilise le système IGN69 (NGF) — cohérent avec le RGE ALTI. Le zéro hydrographique SHOM (basses mers) diffère du zéro NGF. Pour cette carte le zéro retenu est le NGF (niveau moyen de la mer), plus intuitif visuellement.</w:t>
      </w:r>
    </w:p>
    <w:p>
      <w:pPr>
        <w:spacing w:before="80" w:after="80"/>
      </w:pPr>
      <w:r>
        <w:t xml:space="preserve"/>
      </w:r>
    </w:p>
    <w:p>
      <w:pPr>
        <w:pStyle w:val="Heading1"/>
        <w:spacing w:before="300" w:after="120"/>
      </w:pPr>
      <w:r>
        <w:rPr>
          <w:b/>
          <w:bCs/>
          <w:color w:val="1F4E79"/>
          <w:sz w:val="32"/>
          <w:szCs w:val="32"/>
        </w:rPr>
        <w:t xml:space="preserve">4. Matériaux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30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Matériau</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Usage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Outil</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MDF 3 mm standard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Toutes couches (terre + mer)</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Découpe Shaper Origin</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Homogène, teinte uniforme</w:t>
            </w:r>
          </w:p>
        </w:tc>
      </w:tr>
      <w:tr>
        <w:tc>
          <w:tcPr>
            <w:tcW w:type="dxa" w:w="22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bCs/>
                <w:color w:val="000000"/>
                <w:sz w:val="20"/>
                <w:szCs w:val="20"/>
              </w:rPr>
              <w:t xml:space="preserve">Plexiglass transparent 4 mm</w:t>
            </w:r>
          </w:p>
        </w:tc>
        <w:tc>
          <w:tcPr>
            <w:tcW w:type="dxa" w:w="22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Niveau zéro (mer)</w:t>
            </w:r>
          </w:p>
        </w:tc>
        <w:tc>
          <w:tcPr>
            <w:tcW w:type="dxa" w:w="19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Découpe / perçage</w:t>
            </w:r>
          </w:p>
        </w:tc>
        <w:tc>
          <w:tcPr>
            <w:tcW w:type="dxa" w:w="306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Effet miroir, gravure laser possible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Goupilles acier ⌀6 mm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Alignement couches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 trous par couche, aux coins</w:t>
            </w:r>
          </w:p>
        </w:tc>
      </w:tr>
    </w:tbl>
    <w:p>
      <w:pPr>
        <w:spacing w:before="80" w:after="80"/>
      </w:pPr>
      <w:r>
        <w:t xml:space="preserve"/>
      </w:r>
    </w:p>
    <w:p>
      <w:pPr>
        <w:pStyle w:val="Heading2"/>
        <w:spacing w:before="240" w:after="80"/>
      </w:pPr>
      <w:r>
        <w:rPr>
          <w:b/>
          <w:bCs/>
          <w:color w:val="2E75B6"/>
          <w:sz w:val="26"/>
          <w:szCs w:val="26"/>
        </w:rPr>
        <w:t xml:space="preserve">Justification du choix MDF</w:t>
      </w:r>
    </w:p>
    <w:p>
      <w:pPr>
        <w:pStyle w:val="ListParagraph"/>
        <w:numPr>
          <w:ilvl w:val="0"/>
          <w:numId w:val="2"/>
        </w:numPr>
        <w:spacing w:before="40" w:after="40"/>
      </w:pPr>
      <w:r>
        <w:rPr>
          <w:sz w:val="22"/>
          <w:szCs w:val="22"/>
        </w:rPr>
        <w:t xml:space="preserve">Découpe nette dans tous les sens — pas de fil du bois, pas d'éclat</w:t>
      </w:r>
    </w:p>
    <w:p>
      <w:pPr>
        <w:pStyle w:val="ListParagraph"/>
        <w:numPr>
          <w:ilvl w:val="0"/>
          <w:numId w:val="2"/>
        </w:numPr>
        <w:spacing w:before="40" w:after="40"/>
      </w:pPr>
      <w:r>
        <w:rPr>
          <w:sz w:val="22"/>
          <w:szCs w:val="22"/>
        </w:rPr>
        <w:t xml:space="preserve">Homogénéité parfaite — idéal pour les petites pièces (îlots, rochers)</w:t>
      </w:r>
    </w:p>
    <w:p>
      <w:pPr>
        <w:pStyle w:val="ListParagraph"/>
        <w:numPr>
          <w:ilvl w:val="0"/>
          <w:numId w:val="2"/>
        </w:numPr>
        <w:spacing w:before="40" w:after="40"/>
      </w:pPr>
      <w:r>
        <w:rPr>
          <w:sz w:val="22"/>
          <w:szCs w:val="22"/>
        </w:rPr>
        <w:t xml:space="preserve">Absorption uniforme de la peinture et des teintes</w:t>
      </w:r>
    </w:p>
    <w:p>
      <w:pPr>
        <w:pStyle w:val="ListParagraph"/>
        <w:numPr>
          <w:ilvl w:val="0"/>
          <w:numId w:val="2"/>
        </w:numPr>
        <w:spacing w:before="40" w:after="40"/>
      </w:pPr>
      <w:r>
        <w:rPr>
          <w:sz w:val="22"/>
          <w:szCs w:val="22"/>
        </w:rPr>
        <w:t xml:space="preserve">Stabilité dimensionnelle — pas de gauchissement avec l'humidité</w:t>
      </w:r>
    </w:p>
    <w:p>
      <w:pPr>
        <w:pStyle w:val="ListParagraph"/>
        <w:numPr>
          <w:ilvl w:val="0"/>
          <w:numId w:val="2"/>
        </w:numPr>
        <w:spacing w:before="40" w:after="40"/>
      </w:pPr>
      <w:r>
        <w:rPr>
          <w:sz w:val="22"/>
          <w:szCs w:val="22"/>
        </w:rPr>
        <w:t xml:space="preserve">Disponible facilement en panneaux 120×60 cm — économique</w:t>
      </w:r>
    </w:p>
    <w:p>
      <w:pPr>
        <w:spacing w:before="60" w:after="60"/>
      </w:pPr>
      <w:r>
        <w:rPr>
          <w:b w:val="false"/>
          <w:bCs w:val="false"/>
          <w:color w:val="000000"/>
          <w:sz w:val="22"/>
          <w:szCs w:val="22"/>
        </w:rPr>
        <w:t xml:space="preserve">Attention : les tranches de pièces très fines (&lt;5 mm de largeur) peuvent être fragiles. Le script devra filtrer les pièces trop petites.</w:t>
      </w:r>
    </w:p>
    <w:p>
      <w:pPr>
        <w:spacing w:before="80" w:after="80"/>
      </w:pPr>
      <w:r>
        <w:t xml:space="preserve"/>
      </w:r>
    </w:p>
    <w:p>
      <w:pPr>
        <w:pStyle w:val="Heading1"/>
        <w:spacing w:before="300" w:after="120"/>
      </w:pPr>
      <w:r>
        <w:rPr>
          <w:b/>
          <w:bCs/>
          <w:color w:val="1F4E79"/>
          <w:sz w:val="32"/>
          <w:szCs w:val="32"/>
        </w:rPr>
        <w:t xml:space="preserve">5. Structure des couches</w:t>
      </w:r>
    </w:p>
    <w:p>
      <w:pPr>
        <w:pStyle w:val="Heading2"/>
        <w:spacing w:before="240" w:after="80"/>
      </w:pPr>
      <w:r>
        <w:rPr>
          <w:b/>
          <w:bCs/>
          <w:color w:val="2E75B6"/>
          <w:sz w:val="26"/>
          <w:szCs w:val="26"/>
        </w:rPr>
        <w:t xml:space="preserve">5.1 Paramètres généraux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Épaisseur couche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3 mm (MDF standard)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Équidistance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5 m par couche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Exagération verticale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×6 environ (3 mm / 0,5 mm théorique à 1/10 000)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bCs/>
                <w:color w:val="000000"/>
                <w:sz w:val="20"/>
                <w:szCs w:val="20"/>
              </w:rPr>
              <w:t xml:space="preserve">Hauteur totale empilée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~37 mm (3×3 mm mer + 4 mm plexi + 8×3 mm terre)</w:t>
            </w:r>
          </w:p>
        </w:tc>
      </w:tr>
    </w:tbl>
    <w:p>
      <w:pPr>
        <w:spacing w:before="80" w:after="80"/>
      </w:pPr>
      <w:r>
        <w:t xml:space="preserve"/>
      </w:r>
    </w:p>
    <w:p>
      <w:pPr>
        <w:pStyle w:val="Heading2"/>
        <w:spacing w:before="240" w:after="80"/>
      </w:pPr>
      <w:r>
        <w:rPr>
          <w:b/>
          <w:bCs/>
          <w:color w:val="2E75B6"/>
          <w:sz w:val="26"/>
          <w:szCs w:val="26"/>
        </w:rPr>
        <w:t xml:space="preserve">5.2 Détail des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3000"/>
        <w:gridCol w:w="1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Couche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Altitude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Matériau</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Finition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Pièces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val="false"/>
                <w:bCs w:val="false"/>
                <w:color w:val="000000"/>
                <w:sz w:val="20"/>
                <w:szCs w:val="20"/>
              </w:rPr>
              <w:t xml:space="preserve">Marine -3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-15 → -10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Peinture bleu nuit mat</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~6</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val="false"/>
                <w:bCs w:val="false"/>
                <w:color w:val="000000"/>
                <w:sz w:val="20"/>
                <w:szCs w:val="20"/>
              </w:rPr>
              <w:t xml:space="preserve">Marine -2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-10 → -5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Peinture bleu moyen mat</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~9</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b w:val="false"/>
                <w:bCs w:val="false"/>
                <w:color w:val="000000"/>
                <w:sz w:val="20"/>
                <w:szCs w:val="20"/>
              </w:rPr>
              <w:t xml:space="preserve">Marine -1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-5 → 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Peinture bleu clair mat</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~16</w:t>
            </w:r>
          </w:p>
        </w:tc>
      </w:tr>
      <w:tr>
        <w:tc>
          <w:tcPr>
            <w:tcW w:type="dxa" w:w="16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bCs/>
                <w:color w:val="000000"/>
                <w:sz w:val="20"/>
                <w:szCs w:val="20"/>
              </w:rPr>
              <w:t xml:space="preserve">Niveau mer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0 m</w:t>
            </w:r>
          </w:p>
        </w:tc>
        <w:tc>
          <w:tcPr>
            <w:tcW w:type="dxa" w:w="18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bCs/>
                <w:color w:val="000000"/>
                <w:sz w:val="20"/>
                <w:szCs w:val="20"/>
              </w:rPr>
              <w:t xml:space="preserve">Plexiglass 4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Bords poncés — gravure laser possible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1</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Terre +1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0 → +10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verte claire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~8</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Terre +2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+10 → +20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verte moyenne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~6</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Terre +3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+20 → +30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verte foncée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~3</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Terre +4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+30 → +40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MDF 3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naturelle foncée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~2</w:t>
            </w:r>
          </w:p>
        </w:tc>
      </w:tr>
    </w:tbl>
    <w:p>
      <w:pPr>
        <w:spacing w:before="80" w:after="80"/>
      </w:pPr>
      <w:r>
        <w:t xml:space="preserve"/>
      </w:r>
    </w:p>
    <w:p>
      <w:pPr>
        <w:spacing w:before="60" w:after="60"/>
      </w:pPr>
      <w:r>
        <w:rPr>
          <w:b w:val="false"/>
          <w:bCs w:val="false"/>
          <w:color w:val="000000"/>
          <w:sz w:val="22"/>
          <w:szCs w:val="22"/>
        </w:rPr>
        <w:t xml:space="preserve">Total estimé : ~51 pièces réparties sur 12 niveaux. La couche estran (-1) sera la plus complexe avec les nombreux îlots et rochers émergents.</w:t>
      </w:r>
    </w:p>
    <w:p>
      <w:pPr>
        <w:spacing w:before="80" w:after="80"/>
      </w:pPr>
      <w:r>
        <w:t xml:space="preserve"/>
      </w:r>
    </w:p>
    <w:p>
      <w:pPr>
        <w:pStyle w:val="Heading1"/>
        <w:spacing w:before="300" w:after="120"/>
      </w:pPr>
      <w:r>
        <w:rPr>
          <w:b/>
          <w:bCs/>
          <w:color w:val="1F4E79"/>
          <w:sz w:val="32"/>
          <w:szCs w:val="32"/>
        </w:rPr>
        <w:t xml:space="preserve">6. Système de goupilles d'alignement</w:t>
      </w:r>
    </w:p>
    <w:p>
      <w:pPr>
        <w:pStyle w:val="ListParagraph"/>
        <w:numPr>
          <w:ilvl w:val="0"/>
          <w:numId w:val="2"/>
        </w:numPr>
        <w:spacing w:before="40" w:after="40"/>
      </w:pPr>
      <w:r>
        <w:rPr>
          <w:sz w:val="22"/>
          <w:szCs w:val="22"/>
        </w:rPr>
        <w:t xml:space="preserve">4 trous ⌀6 mm positionnés aux 4 coins de chaque couche, hors zone carte (marge de 15 mm)</w:t>
      </w:r>
    </w:p>
    <w:p>
      <w:pPr>
        <w:pStyle w:val="ListParagraph"/>
        <w:numPr>
          <w:ilvl w:val="0"/>
          <w:numId w:val="2"/>
        </w:numPr>
        <w:spacing w:before="40" w:after="40"/>
      </w:pPr>
      <w:r>
        <w:rPr>
          <w:sz w:val="22"/>
          <w:szCs w:val="22"/>
        </w:rPr>
        <w:t xml:space="preserve">Même position absolue sur toutes les couches — inclus dans chaque fichier SVG</w:t>
      </w:r>
    </w:p>
    <w:p>
      <w:pPr>
        <w:pStyle w:val="ListParagraph"/>
        <w:numPr>
          <w:ilvl w:val="0"/>
          <w:numId w:val="2"/>
        </w:numPr>
        <w:spacing w:before="40" w:after="40"/>
      </w:pPr>
      <w:r>
        <w:rPr>
          <w:sz w:val="22"/>
          <w:szCs w:val="22"/>
        </w:rPr>
        <w:t xml:space="preserve">Tiges filetées M6 ou chevilles bois ⌀6 mm pendant l'assemblage</w:t>
      </w:r>
    </w:p>
    <w:p>
      <w:pPr>
        <w:pStyle w:val="ListParagraph"/>
        <w:numPr>
          <w:ilvl w:val="0"/>
          <w:numId w:val="2"/>
        </w:numPr>
        <w:spacing w:before="40" w:after="40"/>
      </w:pPr>
      <w:r>
        <w:rPr>
          <w:sz w:val="22"/>
          <w:szCs w:val="22"/>
        </w:rPr>
        <w:t xml:space="preserve">Retrait des tiges après collage et séchage complet — bouchage optionnel</w:t>
      </w:r>
    </w:p>
    <w:p>
      <w:pPr>
        <w:spacing w:before="60" w:after="60"/>
      </w:pPr>
      <w:r>
        <w:rPr>
          <w:b w:val="false"/>
          <w:bCs w:val="false"/>
          <w:color w:val="000000"/>
          <w:sz w:val="22"/>
          <w:szCs w:val="22"/>
        </w:rPr>
        <w:t xml:space="preserve">Les trous de goupilles seront les premiers éléments définis dans le script, servant d'origine commune à tous les SVG.</w:t>
      </w:r>
    </w:p>
    <w:p>
      <w:pPr>
        <w:spacing w:before="80" w:after="80"/>
      </w:pPr>
      <w:r>
        <w:t xml:space="preserve"/>
      </w:r>
    </w:p>
    <w:p>
      <w:pPr>
        <w:pStyle w:val="Heading1"/>
        <w:spacing w:before="300" w:after="120"/>
      </w:pPr>
      <w:r>
        <w:rPr>
          <w:b/>
          <w:bCs/>
          <w:color w:val="1F4E79"/>
          <w:sz w:val="32"/>
          <w:szCs w:val="32"/>
        </w:rPr>
        <w:t xml:space="preserve">7. Pipeline Python — Architecture du script</w:t>
      </w:r>
    </w:p>
    <w:p>
      <w:pPr>
        <w:pStyle w:val="Heading2"/>
        <w:spacing w:before="240" w:after="80"/>
      </w:pPr>
      <w:r>
        <w:rPr>
          <w:b/>
          <w:bCs/>
          <w:color w:val="2E75B6"/>
          <w:sz w:val="26"/>
          <w:szCs w:val="26"/>
        </w:rPr>
        <w:t xml:space="preserve">7.1 Paramètres d'entrée du script</w:t>
      </w:r>
    </w:p>
    <w:p>
      <w:pPr>
        <w:pStyle w:val="ListParagraph"/>
        <w:numPr>
          <w:ilvl w:val="0"/>
          <w:numId w:val="2"/>
        </w:numPr>
        <w:spacing w:before="40" w:after="40"/>
      </w:pPr>
      <w:r>
        <w:rPr>
          <w:sz w:val="22"/>
          <w:szCs w:val="22"/>
        </w:rPr>
        <w:t xml:space="preserve">lat_centre, lon_centre — coordonnées GPS du centre (ex: 48.835, -3.310)</w:t>
      </w:r>
    </w:p>
    <w:p>
      <w:pPr>
        <w:pStyle w:val="ListParagraph"/>
        <w:numPr>
          <w:ilvl w:val="0"/>
          <w:numId w:val="2"/>
        </w:numPr>
        <w:spacing w:before="40" w:after="40"/>
      </w:pPr>
      <w:r>
        <w:rPr>
          <w:sz w:val="22"/>
          <w:szCs w:val="22"/>
        </w:rPr>
        <w:t xml:space="preserve">largeur_km, hauteur_km — dimensions de la zone (ex: 6.0, 4.0)</w:t>
      </w:r>
    </w:p>
    <w:p>
      <w:pPr>
        <w:pStyle w:val="ListParagraph"/>
        <w:numPr>
          <w:ilvl w:val="0"/>
          <w:numId w:val="2"/>
        </w:numPr>
        <w:spacing w:before="40" w:after="40"/>
      </w:pPr>
      <w:r>
        <w:rPr>
          <w:sz w:val="22"/>
          <w:szCs w:val="22"/>
        </w:rPr>
        <w:t xml:space="preserve">equidistance_m — pas entre courbes de niveau (ex: 5)</w:t>
      </w:r>
    </w:p>
    <w:p>
      <w:pPr>
        <w:pStyle w:val="ListParagraph"/>
        <w:numPr>
          <w:ilvl w:val="0"/>
          <w:numId w:val="2"/>
        </w:numPr>
        <w:spacing w:before="40" w:after="40"/>
      </w:pPr>
      <w:r>
        <w:rPr>
          <w:sz w:val="22"/>
          <w:szCs w:val="22"/>
        </w:rPr>
        <w:t xml:space="preserve">echelle — rapport carte/réalité (ex: 10000 pour 1/10 000)</w:t>
      </w:r>
    </w:p>
    <w:p>
      <w:pPr>
        <w:pStyle w:val="ListParagraph"/>
        <w:numPr>
          <w:ilvl w:val="0"/>
          <w:numId w:val="2"/>
        </w:numPr>
        <w:spacing w:before="40" w:after="40"/>
      </w:pPr>
      <w:r>
        <w:rPr>
          <w:sz w:val="22"/>
          <w:szCs w:val="22"/>
        </w:rPr>
        <w:t xml:space="preserve">epaisseur_mm — épaisseur du matériau (ex: 3)</w:t>
      </w:r>
    </w:p>
    <w:p>
      <w:pPr>
        <w:pStyle w:val="ListParagraph"/>
        <w:numPr>
          <w:ilvl w:val="0"/>
          <w:numId w:val="2"/>
        </w:numPr>
        <w:spacing w:before="40" w:after="40"/>
      </w:pPr>
      <w:r>
        <w:rPr>
          <w:sz w:val="22"/>
          <w:szCs w:val="22"/>
        </w:rPr>
        <w:t xml:space="preserve">seuil_surface_m2 — surface minimale d'une pièce (ex: 10000)</w:t>
      </w:r>
    </w:p>
    <w:p>
      <w:pPr>
        <w:pStyle w:val="ListParagraph"/>
        <w:numPr>
          <w:ilvl w:val="0"/>
          <w:numId w:val="2"/>
        </w:numPr>
        <w:spacing w:before="40" w:after="40"/>
      </w:pPr>
      <w:r>
        <w:rPr>
          <w:sz w:val="22"/>
          <w:szCs w:val="22"/>
        </w:rPr>
        <w:t xml:space="preserve">dossier_sortie — chemin vers les SVG générés</w:t>
      </w:r>
    </w:p>
    <w:p>
      <w:pPr>
        <w:spacing w:before="80" w:after="80"/>
      </w:pPr>
      <w:r>
        <w:t xml:space="preserve"/>
      </w:r>
    </w:p>
    <w:p>
      <w:pPr>
        <w:pStyle w:val="Heading2"/>
        <w:spacing w:before="240" w:after="80"/>
      </w:pPr>
      <w:r>
        <w:rPr>
          <w:b/>
          <w:bCs/>
          <w:color w:val="2E75B6"/>
          <w:sz w:val="26"/>
          <w:szCs w:val="26"/>
        </w:rPr>
        <w:t xml:space="preserve">7.2 Étapes du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Étape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Outil Python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Détail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Téléchargement données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Python (requests)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Litto3D SHOM via API ou fichier dalle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Lecture MNT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rasterio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Format ASC (ASCII Grid) — reprojection Lambert93 → WGS84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Recadrage zone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rasterio / numpy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Bounding box GPS en paramètre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Génération courbes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matplotlib / skimage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Isolignes par tranche d'altitude (équidistance 5 m)</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Simplification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shapely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Seuil min surface : 1 cm² sur la carte (~10 000 m² réels)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Export SVG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svgwrite / shapely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fichier SVG par couche — unités mm pour Shaper Origin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Trous goupilles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svgwrite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 cercles ⌀6 mm aux coins — identiques sur toutes couches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Découpe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Shaper Origin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Import SVG — CP ou MDF 3 mm</w:t>
            </w:r>
          </w:p>
        </w:tc>
      </w:tr>
    </w:tbl>
    <w:p>
      <w:pPr>
        <w:spacing w:before="80" w:after="80"/>
      </w:pPr>
      <w:r>
        <w:t xml:space="preserve"/>
      </w:r>
    </w:p>
    <w:p>
      <w:pPr>
        <w:pStyle w:val="Heading2"/>
        <w:spacing w:before="240" w:after="80"/>
      </w:pPr>
      <w:r>
        <w:rPr>
          <w:b/>
          <w:bCs/>
          <w:color w:val="2E75B6"/>
          <w:sz w:val="26"/>
          <w:szCs w:val="26"/>
        </w:rPr>
        <w:t xml:space="preserve">7.3 Bibliothèques Python requises</w:t>
      </w:r>
    </w:p>
    <w:p>
      <w:pPr>
        <w:pStyle w:val="ListParagraph"/>
        <w:numPr>
          <w:ilvl w:val="0"/>
          <w:numId w:val="2"/>
        </w:numPr>
        <w:spacing w:before="40" w:after="40"/>
      </w:pPr>
      <w:r>
        <w:rPr>
          <w:sz w:val="22"/>
          <w:szCs w:val="22"/>
        </w:rPr>
        <w:t xml:space="preserve">rasterio — lecture des fichiers MNT (format ASC/GeoTIFF)</w:t>
      </w:r>
    </w:p>
    <w:p>
      <w:pPr>
        <w:pStyle w:val="ListParagraph"/>
        <w:numPr>
          <w:ilvl w:val="0"/>
          <w:numId w:val="2"/>
        </w:numPr>
        <w:spacing w:before="40" w:after="40"/>
      </w:pPr>
      <w:r>
        <w:rPr>
          <w:sz w:val="22"/>
          <w:szCs w:val="22"/>
        </w:rPr>
        <w:t xml:space="preserve">numpy — manipulation des grilles d'altitude</w:t>
      </w:r>
    </w:p>
    <w:p>
      <w:pPr>
        <w:pStyle w:val="ListParagraph"/>
        <w:numPr>
          <w:ilvl w:val="0"/>
          <w:numId w:val="2"/>
        </w:numPr>
        <w:spacing w:before="40" w:after="40"/>
      </w:pPr>
      <w:r>
        <w:rPr>
          <w:sz w:val="22"/>
          <w:szCs w:val="22"/>
        </w:rPr>
        <w:t xml:space="preserve">matplotlib / skimage.measure — génération des isolignes (contour)</w:t>
      </w:r>
    </w:p>
    <w:p>
      <w:pPr>
        <w:pStyle w:val="ListParagraph"/>
        <w:numPr>
          <w:ilvl w:val="0"/>
          <w:numId w:val="2"/>
        </w:numPr>
        <w:spacing w:before="40" w:after="40"/>
      </w:pPr>
      <w:r>
        <w:rPr>
          <w:sz w:val="22"/>
          <w:szCs w:val="22"/>
        </w:rPr>
        <w:t xml:space="preserve">shapely — manipulation des polygones, simplification, filtrage</w:t>
      </w:r>
    </w:p>
    <w:p>
      <w:pPr>
        <w:pStyle w:val="ListParagraph"/>
        <w:numPr>
          <w:ilvl w:val="0"/>
          <w:numId w:val="2"/>
        </w:numPr>
        <w:spacing w:before="40" w:after="40"/>
      </w:pPr>
      <w:r>
        <w:rPr>
          <w:sz w:val="22"/>
          <w:szCs w:val="22"/>
        </w:rPr>
        <w:t xml:space="preserve">pyproj — conversion de projections (Lambert93 ↔ WGS84)</w:t>
      </w:r>
    </w:p>
    <w:p>
      <w:pPr>
        <w:pStyle w:val="ListParagraph"/>
        <w:numPr>
          <w:ilvl w:val="0"/>
          <w:numId w:val="2"/>
        </w:numPr>
        <w:spacing w:before="40" w:after="40"/>
      </w:pPr>
      <w:r>
        <w:rPr>
          <w:sz w:val="22"/>
          <w:szCs w:val="22"/>
        </w:rPr>
        <w:t xml:space="preserve">svgwrite — export SVG prêt pour Shaper Origin</w:t>
      </w:r>
    </w:p>
    <w:p>
      <w:pPr>
        <w:spacing w:before="80" w:after="80"/>
      </w:pPr>
      <w:r>
        <w:t xml:space="preserve"/>
      </w:r>
    </w:p>
    <w:p>
      <w:pPr>
        <w:pStyle w:val="Heading2"/>
        <w:spacing w:before="240" w:after="80"/>
      </w:pPr>
      <w:r>
        <w:rPr>
          <w:b/>
          <w:bCs/>
          <w:color w:val="2E75B6"/>
          <w:sz w:val="26"/>
          <w:szCs w:val="26"/>
        </w:rPr>
        <w:t xml:space="preserve">7.4 Format de sortie SVG</w:t>
      </w:r>
    </w:p>
    <w:p>
      <w:pPr>
        <w:pStyle w:val="ListParagraph"/>
        <w:numPr>
          <w:ilvl w:val="0"/>
          <w:numId w:val="2"/>
        </w:numPr>
        <w:spacing w:before="40" w:after="40"/>
      </w:pPr>
      <w:r>
        <w:rPr>
          <w:sz w:val="22"/>
          <w:szCs w:val="22"/>
        </w:rPr>
        <w:t xml:space="preserve">Unités : millimètres (mm) — natif pour la Shaper Origin</w:t>
      </w:r>
    </w:p>
    <w:p>
      <w:pPr>
        <w:pStyle w:val="ListParagraph"/>
        <w:numPr>
          <w:ilvl w:val="0"/>
          <w:numId w:val="2"/>
        </w:numPr>
        <w:spacing w:before="40" w:after="40"/>
      </w:pPr>
      <w:r>
        <w:rPr>
          <w:sz w:val="22"/>
          <w:szCs w:val="22"/>
        </w:rPr>
        <w:t xml:space="preserve">Un fichier par couche : couche_-3.svg, couche_-2.svg, ... couche_+8.svg, plexi_0.svg</w:t>
      </w:r>
    </w:p>
    <w:p>
      <w:pPr>
        <w:pStyle w:val="ListParagraph"/>
        <w:numPr>
          <w:ilvl w:val="0"/>
          <w:numId w:val="2"/>
        </w:numPr>
        <w:spacing w:before="40" w:after="40"/>
      </w:pPr>
      <w:r>
        <w:rPr>
          <w:sz w:val="22"/>
          <w:szCs w:val="22"/>
        </w:rPr>
        <w:t xml:space="preserve">Chaque SVG contient : contours de la couche + 4 cercles de goupilles</w:t>
      </w:r>
    </w:p>
    <w:p>
      <w:pPr>
        <w:pStyle w:val="ListParagraph"/>
        <w:numPr>
          <w:ilvl w:val="0"/>
          <w:numId w:val="2"/>
        </w:numPr>
        <w:spacing w:before="40" w:after="40"/>
      </w:pPr>
      <w:r>
        <w:rPr>
          <w:sz w:val="22"/>
          <w:szCs w:val="22"/>
        </w:rPr>
        <w:t xml:space="preserve">Viewbox : 0 0 430 380 (correspondant aux 43×38 cm du format carte compatible BenchPilot)</w:t>
      </w:r>
    </w:p>
    <w:p>
      <w:pPr>
        <w:spacing w:before="80" w:after="80"/>
      </w:pPr>
      <w:r>
        <w:t xml:space="preserve"/>
      </w:r>
    </w:p>
    <w:p>
      <w:pPr>
        <w:pStyle w:val="Heading1"/>
        <w:spacing w:before="300" w:after="120"/>
      </w:pPr>
      <w:r>
        <w:rPr>
          <w:b/>
          <w:bCs/>
          <w:color w:val="1F4E79"/>
          <w:sz w:val="32"/>
          <w:szCs w:val="32"/>
        </w:rPr>
        <w:t xml:space="preserve">8. Palette de finition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Couche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Couleur</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Produit suggéré</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Application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Fonds marins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Bleu nuit #1A3A5C</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Peinture acrylique mat</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Avant découpe — face visible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Petits fonds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Bleu #2E6DA4</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Peinture acrylique mat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Avant découpe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Estran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Sable #C8A96E</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Peinture acrylique + vernis satiné</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Avant découpe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Plexiglass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Transparent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Ponçage bords 400→800→1200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Bords seuls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Terre basse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Vert #5D8A3C</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Teinte + huile dure</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Avant ou après découpe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Terre haute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Vert foncé #3B5E2B</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 huile dure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Avant ou après découpe</w:t>
            </w:r>
          </w:p>
        </w:tc>
      </w:tr>
    </w:tbl>
    <w:p>
      <w:pPr>
        <w:spacing w:before="80" w:after="80"/>
      </w:pPr>
      <w:r>
        <w:t xml:space="preserve"/>
      </w:r>
    </w:p>
    <w:p>
      <w:pPr>
        <w:pStyle w:val="Heading1"/>
        <w:spacing w:before="300" w:after="120"/>
      </w:pPr>
      <w:r>
        <w:rPr>
          <w:b/>
          <w:bCs/>
          <w:color w:val="1F4E79"/>
          <w:sz w:val="32"/>
          <w:szCs w:val="32"/>
        </w:rPr>
        <w:t xml:space="preserve">9. Ordre d'assemblage recommandé</w:t>
      </w:r>
    </w:p>
    <w:p>
      <w:pPr>
        <w:pStyle w:val="ListParagraph"/>
        <w:numPr>
          <w:ilvl w:val="0"/>
          <w:numId w:val="2"/>
        </w:numPr>
        <w:spacing w:before="40" w:after="40"/>
      </w:pPr>
      <w:r>
        <w:rPr>
          <w:sz w:val="22"/>
          <w:szCs w:val="22"/>
        </w:rPr>
        <w:t xml:space="preserve">1. Peindre / teinter toutes les pièces avant assemblage (plus facile)</w:t>
      </w:r>
    </w:p>
    <w:p>
      <w:pPr>
        <w:pStyle w:val="ListParagraph"/>
        <w:numPr>
          <w:ilvl w:val="0"/>
          <w:numId w:val="2"/>
        </w:numPr>
        <w:spacing w:before="40" w:after="40"/>
      </w:pPr>
      <w:r>
        <w:rPr>
          <w:sz w:val="22"/>
          <w:szCs w:val="22"/>
        </w:rPr>
        <w:t xml:space="preserve">2. Commencer par les couches marines — assembler de bas en haut</w:t>
      </w:r>
    </w:p>
    <w:p>
      <w:pPr>
        <w:pStyle w:val="ListParagraph"/>
        <w:numPr>
          <w:ilvl w:val="0"/>
          <w:numId w:val="2"/>
        </w:numPr>
        <w:spacing w:before="40" w:after="40"/>
      </w:pPr>
      <w:r>
        <w:rPr>
          <w:sz w:val="22"/>
          <w:szCs w:val="22"/>
        </w:rPr>
        <w:t xml:space="preserve">3. Insérer les tiges de goupilles pour aligner</w:t>
      </w:r>
    </w:p>
    <w:p>
      <w:pPr>
        <w:pStyle w:val="ListParagraph"/>
        <w:numPr>
          <w:ilvl w:val="0"/>
          <w:numId w:val="2"/>
        </w:numPr>
        <w:spacing w:before="40" w:after="40"/>
      </w:pPr>
      <w:r>
        <w:rPr>
          <w:sz w:val="22"/>
          <w:szCs w:val="22"/>
        </w:rPr>
        <w:t xml:space="preserve">4. Colle PVA (bois) entre couches MDF — temps de serrage 30 min</w:t>
      </w:r>
    </w:p>
    <w:p>
      <w:pPr>
        <w:pStyle w:val="ListParagraph"/>
        <w:numPr>
          <w:ilvl w:val="0"/>
          <w:numId w:val="2"/>
        </w:numPr>
        <w:spacing w:before="40" w:after="40"/>
      </w:pPr>
      <w:r>
        <w:rPr>
          <w:sz w:val="22"/>
          <w:szCs w:val="22"/>
        </w:rPr>
        <w:t xml:space="preserve">5. Poser le plexiglass — pas de colle, maintenu par les goupilles ou vissé sur le côté</w:t>
      </w:r>
    </w:p>
    <w:p>
      <w:pPr>
        <w:pStyle w:val="ListParagraph"/>
        <w:numPr>
          <w:ilvl w:val="0"/>
          <w:numId w:val="2"/>
        </w:numPr>
        <w:spacing w:before="40" w:after="40"/>
      </w:pPr>
      <w:r>
        <w:rPr>
          <w:sz w:val="22"/>
          <w:szCs w:val="22"/>
        </w:rPr>
        <w:t xml:space="preserve">6. Continuer avec les couches terrestres</w:t>
      </w:r>
    </w:p>
    <w:p>
      <w:pPr>
        <w:pStyle w:val="ListParagraph"/>
        <w:numPr>
          <w:ilvl w:val="0"/>
          <w:numId w:val="2"/>
        </w:numPr>
        <w:spacing w:before="40" w:after="40"/>
      </w:pPr>
      <w:r>
        <w:rPr>
          <w:sz w:val="22"/>
          <w:szCs w:val="22"/>
        </w:rPr>
        <w:t xml:space="preserve">7. Serrage global à plat pendant 12h minimum</w:t>
      </w:r>
    </w:p>
    <w:p>
      <w:pPr>
        <w:pStyle w:val="ListParagraph"/>
        <w:numPr>
          <w:ilvl w:val="0"/>
          <w:numId w:val="2"/>
        </w:numPr>
        <w:spacing w:before="40" w:after="40"/>
      </w:pPr>
      <w:r>
        <w:rPr>
          <w:sz w:val="22"/>
          <w:szCs w:val="22"/>
        </w:rPr>
        <w:t xml:space="preserve">8. Retrait des goupilles, ponçage des bords si nécessaire</w:t>
      </w:r>
    </w:p>
    <w:p>
      <w:pPr>
        <w:spacing w:before="80" w:after="80"/>
      </w:pPr>
      <w:r>
        <w:t xml:space="preserve"/>
      </w:r>
    </w:p>
    <w:p>
      <w:pPr>
        <w:pStyle w:val="Heading1"/>
        <w:spacing w:before="300" w:after="120"/>
      </w:pPr>
      <w:r>
        <w:rPr>
          <w:b/>
          <w:bCs/>
          <w:color w:val="1F4E79"/>
          <w:sz w:val="32"/>
          <w:szCs w:val="32"/>
        </w:rPr>
        <w:t xml:space="preserve">10. Sélecteur de zone interactif</w:t>
      </w:r>
    </w:p>
    <w:p>
      <w:pPr>
        <w:spacing w:before="60" w:after="60"/>
      </w:pPr>
      <w:r>
        <w:rPr>
          <w:b w:val="false"/>
          <w:bCs w:val="false"/>
          <w:color w:val="000000"/>
          <w:sz w:val="22"/>
          <w:szCs w:val="22"/>
        </w:rPr>
        <w:t xml:space="preserve">Avant de lancer le script Python, il est nécessaire de définir précisément la zone à couvrir. Un outil visuel est prévu : une application web locale (fichier HTML autonome, zéro installation) ouverte dans Safari ou Chrome.</w:t>
      </w:r>
    </w:p>
    <w:p>
      <w:pPr>
        <w:spacing w:before="80" w:after="80"/>
      </w:pPr>
      <w:r>
        <w:t xml:space="preserve"/>
      </w:r>
    </w:p>
    <w:p>
      <w:pPr>
        <w:pStyle w:val="Heading2"/>
        <w:spacing w:before="240" w:after="80"/>
      </w:pPr>
      <w:r>
        <w:rPr>
          <w:b/>
          <w:bCs/>
          <w:color w:val="2E75B6"/>
          <w:sz w:val="26"/>
          <w:szCs w:val="26"/>
        </w:rPr>
        <w:t xml:space="preserve">10.1 Principe</w:t>
      </w:r>
    </w:p>
    <w:p>
      <w:pPr>
        <w:pStyle w:val="ListParagraph"/>
        <w:numPr>
          <w:ilvl w:val="0"/>
          <w:numId w:val="2"/>
        </w:numPr>
        <w:spacing w:before="40" w:after="40"/>
      </w:pPr>
      <w:r>
        <w:rPr>
          <w:sz w:val="22"/>
          <w:szCs w:val="22"/>
        </w:rPr>
        <w:t xml:space="preserve">Carte interactive Leaflet.js avec fonds de carte IGN Géoportail et OpenStreetMap (bascule)</w:t>
      </w:r>
    </w:p>
    <w:p>
      <w:pPr>
        <w:pStyle w:val="ListParagraph"/>
        <w:numPr>
          <w:ilvl w:val="0"/>
          <w:numId w:val="2"/>
        </w:numPr>
        <w:spacing w:before="40" w:after="40"/>
      </w:pPr>
      <w:r>
        <w:rPr>
          <w:sz w:val="22"/>
          <w:szCs w:val="22"/>
        </w:rPr>
        <w:t xml:space="preserve">Rectangle draggable représentant la zone de découpe — déplaçable et redimensionnable</w:t>
      </w:r>
    </w:p>
    <w:p>
      <w:pPr>
        <w:pStyle w:val="ListParagraph"/>
        <w:numPr>
          <w:ilvl w:val="0"/>
          <w:numId w:val="2"/>
        </w:numPr>
        <w:spacing w:before="40" w:after="40"/>
      </w:pPr>
      <w:r>
        <w:rPr>
          <w:sz w:val="22"/>
          <w:szCs w:val="22"/>
        </w:rPr>
        <w:t xml:space="preserve">Panneau de paramètres latéral avec sliders et menus déroulants</w:t>
      </w:r>
    </w:p>
    <w:p>
      <w:pPr>
        <w:pStyle w:val="ListParagraph"/>
        <w:numPr>
          <w:ilvl w:val="0"/>
          <w:numId w:val="2"/>
        </w:numPr>
        <w:spacing w:before="40" w:after="40"/>
      </w:pPr>
      <w:r>
        <w:rPr>
          <w:sz w:val="22"/>
          <w:szCs w:val="22"/>
        </w:rPr>
        <w:t xml:space="preserve">Calculs mis à jour en temps réel (dimensions carte, nb couches, nb pièces estimé)</w:t>
      </w:r>
    </w:p>
    <w:p>
      <w:pPr>
        <w:pStyle w:val="ListParagraph"/>
        <w:numPr>
          <w:ilvl w:val="0"/>
          <w:numId w:val="2"/>
        </w:numPr>
        <w:spacing w:before="40" w:after="40"/>
      </w:pPr>
      <w:r>
        <w:rPr>
          <w:sz w:val="22"/>
          <w:szCs w:val="22"/>
        </w:rPr>
        <w:t xml:space="preserve">Bouton export → génère la commande Python prête à copier-coller</w:t>
      </w:r>
    </w:p>
    <w:p>
      <w:pPr>
        <w:spacing w:before="80" w:after="80"/>
      </w:pPr>
      <w:r>
        <w:t xml:space="preserve"/>
      </w:r>
    </w:p>
    <w:p>
      <w:pPr>
        <w:pStyle w:val="Heading2"/>
        <w:spacing w:before="240" w:after="80"/>
      </w:pPr>
      <w:r>
        <w:rPr>
          <w:b/>
          <w:bCs/>
          <w:color w:val="2E75B6"/>
          <w:sz w:val="26"/>
          <w:szCs w:val="26"/>
        </w:rPr>
        <w:t xml:space="preserve">10.2 Interface (maquette)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[IGN]  [OSM]    Carte 3D  │  PARAMÈTRES               │</w:t>
            </w:r>
          </w:p>
          <w:p>
            <w:r>
              <w:rPr>
                <w:rFonts w:ascii="Courier New" w:cs="Courier New" w:eastAsia="Courier New" w:hAnsi="Courier New"/>
                <w:color w:val="D4D4D4"/>
                <w:sz w:val="18"/>
                <w:szCs w:val="18"/>
              </w:rPr>
              <w:t xml:space="preserve">│                             │  Largeur : ──●──  6.0 km  │</w:t>
            </w:r>
          </w:p>
          <w:p>
            <w:r>
              <w:rPr>
                <w:rFonts w:ascii="Courier New" w:cs="Courier New" w:eastAsia="Courier New" w:hAnsi="Courier New"/>
                <w:color w:val="D4D4D4"/>
                <w:sz w:val="18"/>
                <w:szCs w:val="18"/>
              </w:rPr>
              <w:t xml:space="preserve">│    ┌ ─ ─ ─ ─ ─ ─ ─ ┐      │  Hauteur : ───●─  4.0 km  │</w:t>
            </w:r>
          </w:p>
          <w:p>
            <w:r>
              <w:rPr>
                <w:rFonts w:ascii="Courier New" w:cs="Courier New" w:eastAsia="Courier New" w:hAnsi="Courier New"/>
                <w:color w:val="D4D4D4"/>
                <w:sz w:val="18"/>
                <w:szCs w:val="18"/>
              </w:rPr>
              <w:t xml:space="preserve">│    │   ZONE          │      │  Échelle : 1/10 000  ▼    │</w:t>
            </w:r>
          </w:p>
          <w:p>
            <w:r>
              <w:rPr>
                <w:rFonts w:ascii="Courier New" w:cs="Courier New" w:eastAsia="Courier New" w:hAnsi="Courier New"/>
                <w:color w:val="D4D4D4"/>
                <w:sz w:val="18"/>
                <w:szCs w:val="18"/>
              </w:rPr>
              <w:t xml:space="preserve">│    │   ← drag →      │      │  Équidist.: 5 m      ▼    │</w:t>
            </w:r>
          </w:p>
          <w:p>
            <w:r>
              <w:rPr>
                <w:rFonts w:ascii="Courier New" w:cs="Courier New" w:eastAsia="Courier New" w:hAnsi="Courier New"/>
                <w:color w:val="D4D4D4"/>
                <w:sz w:val="18"/>
                <w:szCs w:val="18"/>
              </w:rPr>
              <w:t xml:space="preserve">│    └ ─ ─ ─ ─ ─ ─ ─ ┘      ├───────────────────────────┤</w:t>
            </w:r>
          </w:p>
          <w:p>
            <w:r>
              <w:rPr>
                <w:rFonts w:ascii="Courier New" w:cs="Courier New" w:eastAsia="Courier New" w:hAnsi="Courier New"/>
                <w:color w:val="D4D4D4"/>
                <w:sz w:val="18"/>
                <w:szCs w:val="18"/>
              </w:rPr>
              <w:t xml:space="preserve">│                             │  RÉSULTAT                 │</w:t>
            </w:r>
          </w:p>
          <w:p>
            <w:r>
              <w:rPr>
                <w:rFonts w:ascii="Courier New" w:cs="Courier New" w:eastAsia="Courier New" w:hAnsi="Courier New"/>
                <w:color w:val="D4D4D4"/>
                <w:sz w:val="18"/>
                <w:szCs w:val="18"/>
              </w:rPr>
              <w:t xml:space="preserve">│                             │  Format  : 43 × 38 cm     │</w:t>
            </w:r>
          </w:p>
          <w:p>
            <w:r>
              <w:rPr>
                <w:rFonts w:ascii="Courier New" w:cs="Courier New" w:eastAsia="Courier New" w:hAnsi="Courier New"/>
                <w:color w:val="D4D4D4"/>
                <w:sz w:val="18"/>
                <w:szCs w:val="18"/>
              </w:rPr>
              <w:t xml:space="preserve">│                             │  Couches : 12             │</w:t>
            </w:r>
          </w:p>
          <w:p>
            <w:r>
              <w:rPr>
                <w:rFonts w:ascii="Courier New" w:cs="Courier New" w:eastAsia="Courier New" w:hAnsi="Courier New"/>
                <w:color w:val="D4D4D4"/>
                <w:sz w:val="18"/>
                <w:szCs w:val="18"/>
              </w:rPr>
              <w:t xml:space="preserve">│                             │  Pièces ≈: 60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N:48.857  S:48.813       │</w:t>
            </w:r>
          </w:p>
          <w:p>
            <w:r>
              <w:rPr>
                <w:rFonts w:ascii="Courier New" w:cs="Courier New" w:eastAsia="Courier New" w:hAnsi="Courier New"/>
                <w:color w:val="D4D4D4"/>
                <w:sz w:val="18"/>
                <w:szCs w:val="18"/>
              </w:rPr>
              <w:t xml:space="preserve">│                             │  E:-3.280  W:-3.340       │</w:t>
            </w:r>
          </w:p>
          <w:p>
            <w:r>
              <w:rPr>
                <w:rFonts w:ascii="Courier New" w:cs="Courier New" w:eastAsia="Courier New" w:hAnsi="Courier New"/>
                <w:color w:val="9CDCFE"/>
                <w:sz w:val="18"/>
                <w:szCs w:val="18"/>
              </w:rPr>
              <w:t xml:space="preserve">│                             │  [ Copier paramètres  ]   │</w:t>
            </w:r>
          </w:p>
          <w:p>
            <w:r>
              <w:rPr>
                <w:rFonts w:ascii="Courier New" w:cs="Courier New" w:eastAsia="Courier New" w:hAnsi="Courier New"/>
                <w:color w:val="D4D4D4"/>
                <w:sz w:val="18"/>
                <w:szCs w:val="18"/>
              </w:rPr>
              <w:t xml:space="preserve">└─────────────────────────────┴───────────────────────────┘</w:t>
            </w:r>
          </w:p>
        </w:tc>
      </w:tr>
    </w:tbl>
    <w:p>
      <w:pPr>
        <w:spacing w:before="80" w:after="80"/>
      </w:pPr>
      <w:r>
        <w:t xml:space="preserve"/>
      </w:r>
    </w:p>
    <w:p>
      <w:pPr>
        <w:pStyle w:val="Heading2"/>
        <w:spacing w:before="240" w:after="80"/>
      </w:pPr>
      <w:r>
        <w:rPr>
          <w:b/>
          <w:bCs/>
          <w:color w:val="2E75B6"/>
          <w:sz w:val="26"/>
          <w:szCs w:val="26"/>
        </w:rPr>
        <w:t xml:space="preserve">10.3 Paramètres ajustables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Paramètre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Type contrôle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Valeurs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Largeur zone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Slider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à 10 km, pas 0.5 km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Hauteur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Slider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à 8 km, pas 0.5 km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Échelle carte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Menu déroulant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1/5 000 · 1/10 000 · 1/15 000 · 1/20 000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Équidistance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Menu déroulant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2 m · 5 m · 10 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Épaisseur couche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Menu déroulant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3 mm (fixé — extensible)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Fond de carte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Bouton bascule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IGN Géoportail / OpenStreetMap</w:t>
            </w:r>
          </w:p>
        </w:tc>
      </w:tr>
    </w:tbl>
    <w:p>
      <w:pPr>
        <w:spacing w:before="80" w:after="80"/>
      </w:pPr>
      <w:r>
        <w:t xml:space="preserve"/>
      </w:r>
    </w:p>
    <w:p>
      <w:pPr>
        <w:pStyle w:val="Heading2"/>
        <w:spacing w:before="240" w:after="80"/>
      </w:pPr>
      <w:r>
        <w:rPr>
          <w:b/>
          <w:bCs/>
          <w:color w:val="2E75B6"/>
          <w:sz w:val="26"/>
          <w:szCs w:val="26"/>
        </w:rPr>
        <w:t xml:space="preserve">10.4 Sortie générée</w:t>
      </w:r>
    </w:p>
    <w:p>
      <w:pPr>
        <w:spacing w:before="60" w:after="60"/>
      </w:pPr>
      <w:r>
        <w:rPr>
          <w:b w:val="false"/>
          <w:bCs w:val="false"/>
          <w:color w:val="000000"/>
          <w:sz w:val="22"/>
          <w:szCs w:val="22"/>
        </w:rPr>
        <w:t xml:space="preserve">Un clic sur « Copier paramètres » place dans le presse-papier la commande Python complète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CDCFE"/>
                <w:sz w:val="20"/>
                <w:szCs w:val="20"/>
              </w:rPr>
              <w:t xml:space="preserve">python carte3d.py \</w:t>
            </w:r>
          </w:p>
          <w:p>
            <w:r>
              <w:rPr>
                <w:rFonts w:ascii="Courier New" w:cs="Courier New" w:eastAsia="Courier New" w:hAnsi="Courier New"/>
                <w:color w:val="D4D4D4"/>
                <w:sz w:val="20"/>
                <w:szCs w:val="20"/>
              </w:rPr>
              <w:t xml:space="preserve">  --lat 48.835 --lon -3.310 \</w:t>
            </w:r>
          </w:p>
          <w:p>
            <w:r>
              <w:rPr>
                <w:rFonts w:ascii="Courier New" w:cs="Courier New" w:eastAsia="Courier New" w:hAnsi="Courier New"/>
                <w:color w:val="D4D4D4"/>
                <w:sz w:val="20"/>
                <w:szCs w:val="20"/>
              </w:rPr>
              <w:t xml:space="preserve">  --largeur 6.0 --hauteur 4.0 \</w:t>
            </w:r>
          </w:p>
          <w:p>
            <w:r>
              <w:rPr>
                <w:rFonts w:ascii="Courier New" w:cs="Courier New" w:eastAsia="Courier New" w:hAnsi="Courier New"/>
                <w:color w:val="D4D4D4"/>
                <w:sz w:val="20"/>
                <w:szCs w:val="20"/>
              </w:rPr>
              <w:t xml:space="preserve">  --echelle 10000 --equidistance 5 --epaisseur 3</w:t>
            </w:r>
          </w:p>
        </w:tc>
      </w:tr>
    </w:tbl>
    <w:p>
      <w:pPr>
        <w:spacing w:before="80" w:after="80"/>
      </w:pPr>
      <w:r>
        <w:t xml:space="preserve"/>
      </w:r>
    </w:p>
    <w:p>
      <w:pPr>
        <w:pStyle w:val="Heading2"/>
        <w:spacing w:before="240" w:after="80"/>
      </w:pPr>
      <w:r>
        <w:rPr>
          <w:b/>
          <w:bCs/>
          <w:color w:val="2E75B6"/>
          <w:sz w:val="26"/>
          <w:szCs w:val="26"/>
        </w:rPr>
        <w:t xml:space="preserve">10.5 Implémentation</w:t>
      </w:r>
    </w:p>
    <w:p>
      <w:pPr>
        <w:pStyle w:val="ListParagraph"/>
        <w:numPr>
          <w:ilvl w:val="0"/>
          <w:numId w:val="2"/>
        </w:numPr>
        <w:spacing w:before="40" w:after="40"/>
      </w:pPr>
      <w:r>
        <w:rPr>
          <w:sz w:val="22"/>
          <w:szCs w:val="22"/>
        </w:rPr>
        <w:t xml:space="preserve">Fichier unique : selecteur_zone.html (~300 lignes) — ouvrir dans Safari ou Chrome</w:t>
      </w:r>
    </w:p>
    <w:p>
      <w:pPr>
        <w:pStyle w:val="ListParagraph"/>
        <w:numPr>
          <w:ilvl w:val="0"/>
          <w:numId w:val="2"/>
        </w:numPr>
        <w:spacing w:before="40" w:after="40"/>
      </w:pPr>
      <w:r>
        <w:rPr>
          <w:sz w:val="22"/>
          <w:szCs w:val="22"/>
        </w:rPr>
        <w:t xml:space="preserve">Bibliothèques CDN : Leaflet.js + Leaflet.draw (rectangle draggable)</w:t>
      </w:r>
    </w:p>
    <w:p>
      <w:pPr>
        <w:pStyle w:val="ListParagraph"/>
        <w:numPr>
          <w:ilvl w:val="0"/>
          <w:numId w:val="2"/>
        </w:numPr>
        <w:spacing w:before="40" w:after="40"/>
      </w:pPr>
      <w:r>
        <w:rPr>
          <w:sz w:val="22"/>
          <w:szCs w:val="22"/>
        </w:rPr>
        <w:t xml:space="preserve">Tuiles IGN : flux WMTS Géoportail (clé publique, pas d'inscription requise)</w:t>
      </w:r>
    </w:p>
    <w:p>
      <w:pPr>
        <w:pStyle w:val="ListParagraph"/>
        <w:numPr>
          <w:ilvl w:val="0"/>
          <w:numId w:val="2"/>
        </w:numPr>
        <w:spacing w:before="40" w:after="40"/>
      </w:pPr>
      <w:r>
        <w:rPr>
          <w:sz w:val="22"/>
          <w:szCs w:val="22"/>
        </w:rPr>
        <w:t xml:space="preserve">Zéro installation — fonctionne hors ligne une fois les tuiles mises en cache</w:t>
      </w:r>
    </w:p>
    <w:p>
      <w:pPr>
        <w:pStyle w:val="ListParagraph"/>
        <w:numPr>
          <w:ilvl w:val="0"/>
          <w:numId w:val="2"/>
        </w:numPr>
        <w:spacing w:before="40" w:after="40"/>
      </w:pPr>
      <w:r>
        <w:rPr>
          <w:sz w:val="22"/>
          <w:szCs w:val="22"/>
        </w:rPr>
        <w:t xml:space="preserve">À coder lors d'une prochaine session Claude Code</w:t>
      </w:r>
    </w:p>
    <w:p>
      <w:pPr>
        <w:spacing w:before="80" w:after="80"/>
      </w:pPr>
      <w:r>
        <w:t xml:space="preserve"/>
      </w:r>
    </w:p>
    <w:p>
      <w:pPr>
        <w:pStyle w:val="Heading1"/>
        <w:spacing w:before="300" w:after="120"/>
      </w:pPr>
      <w:r>
        <w:rPr>
          <w:b/>
          <w:bCs/>
          <w:color w:val="1F4E79"/>
          <w:sz w:val="32"/>
          <w:szCs w:val="32"/>
        </w:rPr>
        <w:t xml:space="preserve">11. Preview 2D — Simulation de la carte avant génération des SVG</w:t>
      </w:r>
    </w:p>
    <w:p>
      <w:pPr>
        <w:spacing w:before="60" w:after="60"/>
      </w:pPr>
      <w:r>
        <w:rPr>
          <w:b w:val="false"/>
          <w:bCs w:val="false"/>
          <w:color w:val="000000"/>
          <w:sz w:val="22"/>
          <w:szCs w:val="22"/>
        </w:rPr>
        <w:t xml:space="preserve">Avant de lancer la génération complète des SVG et du calepinage, le script Python propose une étape de validation visuelle : une simulation 2D de la carte finale, générée à partir des mêmes données Litto3D et du même algorithme de courbes. Ce que l'on voit dans la preview est exactement ce qui sera découpé.</w:t>
      </w:r>
    </w:p>
    <w:p>
      <w:pPr>
        <w:spacing w:before="80" w:after="80"/>
      </w:pPr>
      <w:r>
        <w:t xml:space="preserve"/>
      </w:r>
    </w:p>
    <w:p>
      <w:pPr>
        <w:pStyle w:val="Heading2"/>
        <w:spacing w:before="240" w:after="80"/>
      </w:pPr>
      <w:r>
        <w:rPr>
          <w:b/>
          <w:bCs/>
          <w:color w:val="2E75B6"/>
          <w:sz w:val="26"/>
          <w:szCs w:val="26"/>
        </w:rPr>
        <w:t xml:space="preserve">11.1 Position dans 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CDCFE"/>
                <w:sz w:val="20"/>
                <w:szCs w:val="20"/>
              </w:rPr>
              <w:t xml:space="preserve">Sélecteur HTML  →  paramètres  →  python carte3d.py --preview</w:t>
            </w:r>
          </w:p>
          <w:p>
            <w:r>
              <w:rPr>
                <w:rFonts w:ascii="Courier New" w:cs="Courier New" w:eastAsia="Courier New" w:hAnsi="Courier New"/>
                <w:color w:val="888888"/>
                <w:sz w:val="20"/>
                <w:szCs w:val="20"/>
              </w:rPr>
              <w:t xml:space="preserve">                                         ↓</w:t>
            </w:r>
          </w:p>
          <w:p>
            <w:r>
              <w:rPr>
                <w:rFonts w:ascii="Courier New" w:cs="Courier New" w:eastAsia="Courier New" w:hAnsi="Courier New"/>
                <w:color w:val="CE9178"/>
                <w:sz w:val="20"/>
                <w:szCs w:val="20"/>
              </w:rPr>
              <w:t xml:space="preserve">                          Preview 2D matplotlib (fenêtre / PNG)</w:t>
            </w:r>
          </w:p>
          <w:p>
            <w:r>
              <w:rPr>
                <w:rFonts w:ascii="Courier New" w:cs="Courier New" w:eastAsia="Courier New" w:hAnsi="Courier New"/>
                <w:color w:val="888888"/>
                <w:sz w:val="20"/>
                <w:szCs w:val="20"/>
              </w:rPr>
              <w:t xml:space="preserve">                                         ↓  validation visuelle</w:t>
            </w:r>
          </w:p>
          <w:p>
            <w:r>
              <w:rPr>
                <w:rFonts w:ascii="Courier New" w:cs="Courier New" w:eastAsia="Courier New" w:hAnsi="Courier New"/>
                <w:color w:val="9CDCFE"/>
                <w:sz w:val="20"/>
                <w:szCs w:val="20"/>
              </w:rPr>
              <w:t xml:space="preserve">                              python carte3d.py --generate</w:t>
            </w:r>
          </w:p>
          <w:p>
            <w:r>
              <w:rPr>
                <w:rFonts w:ascii="Courier New" w:cs="Courier New" w:eastAsia="Courier New" w:hAnsi="Courier New"/>
                <w:color w:val="888888"/>
                <w:sz w:val="20"/>
                <w:szCs w:val="20"/>
              </w:rPr>
              <w:t xml:space="preserve">                                         ↓</w:t>
            </w:r>
          </w:p>
          <w:p>
            <w:r>
              <w:rPr>
                <w:rFonts w:ascii="Courier New" w:cs="Courier New" w:eastAsia="Courier New" w:hAnsi="Courier New"/>
                <w:color w:val="D4D4D4"/>
                <w:sz w:val="20"/>
                <w:szCs w:val="20"/>
              </w:rPr>
              <w:t xml:space="preserve">                         SVG couches  +  calepinage plaques</w:t>
            </w:r>
          </w:p>
        </w:tc>
      </w:tr>
    </w:tbl>
    <w:p>
      <w:pPr>
        <w:spacing w:before="80" w:after="80"/>
      </w:pPr>
      <w:r>
        <w:t xml:space="preserve"/>
      </w:r>
    </w:p>
    <w:p>
      <w:pPr>
        <w:pStyle w:val="Heading2"/>
        <w:spacing w:before="240" w:after="80"/>
      </w:pPr>
      <w:r>
        <w:rPr>
          <w:b/>
          <w:bCs/>
          <w:color w:val="2E75B6"/>
          <w:sz w:val="26"/>
          <w:szCs w:val="26"/>
        </w:rPr>
        <w:t xml:space="preserve">11.2 Contenu de la preview</w:t>
      </w:r>
    </w:p>
    <w:p>
      <w:pPr>
        <w:spacing w:before="60" w:after="60"/>
      </w:pPr>
      <w:r>
        <w:rPr>
          <w:b w:val="false"/>
          <w:bCs w:val="false"/>
          <w:color w:val="000000"/>
          <w:sz w:val="22"/>
          <w:szCs w:val="22"/>
        </w:rPr>
        <w:t xml:space="preserve">La figure matplotlib se compose d'une vue 2D principale (carte vue de dessus) et d'une légende latérale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Élément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Rendu</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Détail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Zones marines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Dégradé bleus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Bleu nuit (−15 m) → bleu clair (0 m) par tranches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Estran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Teinte sable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Zone découverte à marée basse, entre 0 et ~+2 m côté mer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Zones terrestres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Dégradé verts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Vert clair (0 m) → vert foncé (altitude max) par tranches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Courbes de niveau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Lignes fines blanches/noires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Une ligne par équidistance, altitude annotée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Îlots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Contours nets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Colorés selon leur altitude — chaque polygone distinct</w:t>
            </w:r>
          </w:p>
        </w:tc>
      </w:tr>
      <w:tr>
        <w:tc>
          <w:tcPr>
            <w:tcW w:type="dxa" w:w="24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Niveau mer (plexiglass)</w:t>
            </w:r>
          </w:p>
        </w:tc>
        <w:tc>
          <w:tcPr>
            <w:tcW w:type="dxa" w:w="24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Blanc, opacité 0.25</w:t>
            </w:r>
          </w:p>
        </w:tc>
        <w:tc>
          <w:tcPr>
            <w:tcW w:type="dxa" w:w="456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Semi-transparent — simule le plexiglass réel, laisse voir les couches marines dessous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Cadre carte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Rectangle rouge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Limite réelle de la zone découpée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Trous goupilles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4 croix grises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Position des ⌀6 mm aux coins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Légende latérale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Colorbar + tableau</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Altitude/profondeur continue + couleurs finales prévues</w:t>
            </w:r>
          </w:p>
        </w:tc>
      </w:tr>
    </w:tbl>
    <w:p>
      <w:pPr>
        <w:spacing w:before="80" w:after="80"/>
      </w:pPr>
      <w:r>
        <w:t xml:space="preserve"/>
      </w:r>
    </w:p>
    <w:p>
      <w:pPr>
        <w:pStyle w:val="Heading2"/>
        <w:spacing w:before="240" w:after="80"/>
      </w:pPr>
      <w:r>
        <w:rPr>
          <w:b/>
          <w:bCs/>
          <w:color w:val="2E75B6"/>
          <w:sz w:val="26"/>
          <w:szCs w:val="26"/>
        </w:rPr>
        <w:t xml:space="preserve">11.3 Bouton de contrôle du niveau mer</w:t>
      </w:r>
    </w:p>
    <w:p>
      <w:pPr>
        <w:spacing w:before="60" w:after="60"/>
      </w:pPr>
      <w:r>
        <w:rPr>
          <w:b w:val="false"/>
          <w:bCs w:val="false"/>
          <w:color w:val="000000"/>
          <w:sz w:val="22"/>
          <w:szCs w:val="22"/>
        </w:rPr>
        <w:t xml:space="preserve">La couche plexiglass (niveau 0 m) est interactive : un bouton matplotlib permet de l'afficher ou de la masquer à la volée, sans relancer la preview. Cela permet d'examiner librement les couches sous-marines en dessous.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Implémentation matplotlib (extrait)</w:t>
            </w:r>
          </w:p>
          <w:p>
            <w:r>
              <w:rPr>
                <w:rFonts w:ascii="Courier New" w:cs="Courier New" w:eastAsia="Courier New" w:hAnsi="Courier New"/>
                <w:color w:val="9CDCFE"/>
                <w:sz w:val="20"/>
                <w:szCs w:val="20"/>
              </w:rPr>
              <w:t xml:space="preserve">from matplotlib.widgets import Button</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Dessin de la couche plexiglass semi-transparente</w:t>
            </w:r>
          </w:p>
          <w:p>
            <w:r>
              <w:rPr>
                <w:rFonts w:ascii="Courier New" w:cs="Courier New" w:eastAsia="Courier New" w:hAnsi="Courier New"/>
                <w:color w:val="D4D4D4"/>
                <w:sz w:val="20"/>
                <w:szCs w:val="20"/>
              </w:rPr>
              <w:t xml:space="preserve">plexi = ax.fill(x, y, color='white', alpha=0.25, zorder=10)</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Bouton bascule — positionné sous la carte</w:t>
            </w:r>
          </w:p>
          <w:p>
            <w:r>
              <w:rPr>
                <w:rFonts w:ascii="Courier New" w:cs="Courier New" w:eastAsia="Courier New" w:hAnsi="Courier New"/>
                <w:color w:val="D4D4D4"/>
                <w:sz w:val="20"/>
                <w:szCs w:val="20"/>
              </w:rPr>
              <w:t xml:space="preserve">ax_btn = fig.add_axes([0.35, 0.02, 0.30, 0.04])</w:t>
            </w:r>
          </w:p>
          <w:p>
            <w:r>
              <w:rPr>
                <w:rFonts w:ascii="Courier New" w:cs="Courier New" w:eastAsia="Courier New" w:hAnsi="Courier New"/>
                <w:color w:val="D4D4D4"/>
                <w:sz w:val="20"/>
                <w:szCs w:val="20"/>
              </w:rPr>
              <w:t xml:space="preserve">btn = Button(ax_btn, '👁  Niveau mer (plexiglass)')</w:t>
            </w:r>
          </w:p>
          <w:p>
            <w:r>
              <w:rPr>
                <w:rFonts w:ascii="Courier New" w:cs="Courier New" w:eastAsia="Courier New" w:hAnsi="Courier New"/>
                <w:color w:val="D4D4D4"/>
                <w:sz w:val="20"/>
                <w:szCs w:val="20"/>
              </w:rPr>
              <w:t xml:space="preserve">btn.on_clicked(lambda e: [p.set_visible(not p.get_visible())</w:t>
            </w:r>
          </w:p>
          <w:p>
            <w:r>
              <w:rPr>
                <w:rFonts w:ascii="Courier New" w:cs="Courier New" w:eastAsia="Courier New" w:hAnsi="Courier New"/>
                <w:color w:val="D4D4D4"/>
                <w:sz w:val="20"/>
                <w:szCs w:val="20"/>
              </w:rPr>
              <w:t xml:space="preserve">                         for p in plexi] or fig.canvas.draw())</w:t>
            </w:r>
          </w:p>
        </w:tc>
      </w:tr>
    </w:tbl>
    <w:p>
      <w:pPr>
        <w:spacing w:before="60" w:after="60"/>
      </w:pPr>
      <w:r>
        <w:rPr>
          <w:b w:val="false"/>
          <w:bCs w:val="false"/>
          <w:color w:val="000000"/>
          <w:sz w:val="22"/>
          <w:szCs w:val="22"/>
        </w:rPr>
        <w:t xml:space="preserve">Deux états du bouton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État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Effet visuel</w:t>
            </w:r>
          </w:p>
        </w:tc>
      </w:tr>
      <w:tr>
        <w:tc>
          <w:tcPr>
            <w:tcW w:type="dxa" w:w="30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  Niveau mer visible (défaut)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Voile blanc semi-transparent sur toute la carte — simule l'effet plexiglass posé sur l'assemblage final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  Niveau mer masqué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Couches marines pleinement visibles — idéal pour vérifier la bathymétrie et les courbes sous-marines</w:t>
            </w:r>
          </w:p>
        </w:tc>
      </w:tr>
    </w:tbl>
    <w:p>
      <w:pPr>
        <w:spacing w:before="80" w:after="80"/>
      </w:pPr>
      <w:r>
        <w:t xml:space="preserve"/>
      </w:r>
    </w:p>
    <w:p>
      <w:pPr>
        <w:pStyle w:val="Heading2"/>
        <w:spacing w:before="240" w:after="80"/>
      </w:pPr>
      <w:r>
        <w:rPr>
          <w:b/>
          <w:bCs/>
          <w:color w:val="2E75B6"/>
          <w:sz w:val="26"/>
          <w:szCs w:val="26"/>
        </w:rPr>
        <w:t xml:space="preserve">11.4 Options de la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Affiche la fenêtre matplotlib interactive</w:t>
            </w:r>
          </w:p>
          <w:p>
            <w:r>
              <w:rPr>
                <w:rFonts w:ascii="Courier New" w:cs="Courier New" w:eastAsia="Courier New" w:hAnsi="Courier New"/>
                <w:color w:val="9CDCFE"/>
                <w:sz w:val="20"/>
                <w:szCs w:val="20"/>
              </w:rPr>
              <w:t xml:space="preserve">python carte3d.py --preview</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Exporte un fichier PNG (archivage, partage)</w:t>
            </w:r>
          </w:p>
          <w:p>
            <w:r>
              <w:rPr>
                <w:rFonts w:ascii="Courier New" w:cs="Courier New" w:eastAsia="Courier New" w:hAnsi="Courier New"/>
                <w:color w:val="9CDCFE"/>
                <w:sz w:val="20"/>
                <w:szCs w:val="20"/>
              </w:rPr>
              <w:t xml:space="preserve">python carte3d.py --preview --png</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Colorie chaque pièce individuelle (détecte les petits îlots)</w:t>
            </w:r>
          </w:p>
          <w:p>
            <w:r>
              <w:rPr>
                <w:rFonts w:ascii="Courier New" w:cs="Courier New" w:eastAsia="Courier New" w:hAnsi="Courier New"/>
                <w:color w:val="9CDCFE"/>
                <w:sz w:val="20"/>
                <w:szCs w:val="20"/>
              </w:rPr>
              <w:t xml:space="preserve">python carte3d.py --preview --show-pieces</w:t>
            </w:r>
          </w:p>
        </w:tc>
      </w:tr>
    </w:tbl>
    <w:p>
      <w:pPr>
        <w:spacing w:before="80" w:after="80"/>
      </w:pPr>
      <w:r>
        <w:t xml:space="preserve"/>
      </w:r>
    </w:p>
    <w:p>
      <w:pPr>
        <w:pStyle w:val="Heading2"/>
        <w:spacing w:before="240" w:after="80"/>
      </w:pPr>
      <w:r>
        <w:rPr>
          <w:b/>
          <w:bCs/>
          <w:color w:val="2E75B6"/>
          <w:sz w:val="26"/>
          <w:szCs w:val="26"/>
        </w:rPr>
        <w:t xml:space="preserve">11.5 Intérêt de l'option --show-pieces</w:t>
      </w:r>
    </w:p>
    <w:p>
      <w:pPr>
        <w:spacing w:before="60" w:after="60"/>
      </w:pPr>
      <w:r>
        <w:rPr>
          <w:b w:val="false"/>
          <w:bCs w:val="false"/>
          <w:color w:val="000000"/>
          <w:sz w:val="22"/>
          <w:szCs w:val="22"/>
        </w:rPr>
        <w:t xml:space="preserve">En mode --show-pieces, chaque polygone distinct est colorié aléatoirement. Cela permet de repérer visuellement :</w:t>
      </w:r>
    </w:p>
    <w:p>
      <w:pPr>
        <w:pStyle w:val="ListParagraph"/>
        <w:numPr>
          <w:ilvl w:val="0"/>
          <w:numId w:val="2"/>
        </w:numPr>
        <w:spacing w:before="40" w:after="40"/>
      </w:pPr>
      <w:r>
        <w:rPr>
          <w:sz w:val="22"/>
          <w:szCs w:val="22"/>
        </w:rPr>
        <w:t xml:space="preserve">Les petits îlots proches du seuil de surface minimum — ils apparaissent comme des points colorés isolés</w:t>
      </w:r>
    </w:p>
    <w:p>
      <w:pPr>
        <w:pStyle w:val="ListParagraph"/>
        <w:numPr>
          <w:ilvl w:val="0"/>
          <w:numId w:val="2"/>
        </w:numPr>
        <w:spacing w:before="40" w:after="40"/>
      </w:pPr>
      <w:r>
        <w:rPr>
          <w:sz w:val="22"/>
          <w:szCs w:val="22"/>
        </w:rPr>
        <w:t xml:space="preserve">Les pièces qui seront fusionnées ou filtrées par l'algorithme — on peut ajuster le seuil avant de générer les SVG</w:t>
      </w:r>
    </w:p>
    <w:p>
      <w:pPr>
        <w:pStyle w:val="ListParagraph"/>
        <w:numPr>
          <w:ilvl w:val="0"/>
          <w:numId w:val="2"/>
        </w:numPr>
        <w:spacing w:before="40" w:after="40"/>
      </w:pPr>
      <w:r>
        <w:rPr>
          <w:sz w:val="22"/>
          <w:szCs w:val="22"/>
        </w:rPr>
        <w:t xml:space="preserve">La complexité réelle de chaque couche — nombre de pièces et leur distribution spatiale</w:t>
      </w:r>
    </w:p>
    <w:p>
      <w:pPr>
        <w:spacing w:before="60" w:after="60"/>
      </w:pPr>
      <w:r>
        <w:rPr>
          <w:b w:val="false"/>
          <w:bCs w:val="false"/>
          <w:color w:val="000000"/>
          <w:sz w:val="22"/>
          <w:szCs w:val="22"/>
        </w:rPr>
        <w:t xml:space="preserve">C'est une étape de calibrage précieuse avant de lancer une découpe réelle.</w:t>
      </w:r>
    </w:p>
    <w:p>
      <w:pPr>
        <w:spacing w:before="80" w:after="80"/>
      </w:pPr>
      <w:r>
        <w:t xml:space="preserve"/>
      </w:r>
    </w:p>
    <w:p>
      <w:pPr>
        <w:pStyle w:val="Heading2"/>
        <w:spacing w:before="240" w:after="80"/>
      </w:pPr>
      <w:r>
        <w:rPr>
          <w:b/>
          <w:bCs/>
          <w:color w:val="2E75B6"/>
          <w:sz w:val="26"/>
          <w:szCs w:val="26"/>
        </w:rPr>
        <w:t xml:space="preserve">11.6 Implémentation Python</w:t>
      </w:r>
    </w:p>
    <w:p>
      <w:pPr>
        <w:pStyle w:val="ListParagraph"/>
        <w:numPr>
          <w:ilvl w:val="0"/>
          <w:numId w:val="2"/>
        </w:numPr>
        <w:spacing w:before="40" w:after="40"/>
      </w:pPr>
      <w:r>
        <w:rPr>
          <w:sz w:val="22"/>
          <w:szCs w:val="22"/>
        </w:rPr>
        <w:t xml:space="preserve">Bibliothèques : matplotlib, matplotlib.widgets (Button), scikit-image (find_contours), shapely (polygones), numpy</w:t>
      </w:r>
    </w:p>
    <w:p>
      <w:pPr>
        <w:pStyle w:val="ListParagraph"/>
        <w:numPr>
          <w:ilvl w:val="0"/>
          <w:numId w:val="2"/>
        </w:numPr>
        <w:spacing w:before="40" w:after="40"/>
      </w:pPr>
      <w:r>
        <w:rPr>
          <w:sz w:val="22"/>
          <w:szCs w:val="22"/>
        </w:rPr>
        <w:t xml:space="preserve">La fonction preview() partage le même code de génération des isolignes que generate() — zéro duplication</w:t>
      </w:r>
    </w:p>
    <w:p>
      <w:pPr>
        <w:pStyle w:val="ListParagraph"/>
        <w:numPr>
          <w:ilvl w:val="0"/>
          <w:numId w:val="2"/>
        </w:numPr>
        <w:spacing w:before="40" w:after="40"/>
      </w:pPr>
      <w:r>
        <w:rPr>
          <w:sz w:val="22"/>
          <w:szCs w:val="22"/>
        </w:rPr>
        <w:t xml:space="preserve">Résolution de la preview : identique au MNT source (1 m/pixel) — pas de dégradation</w:t>
      </w:r>
    </w:p>
    <w:p>
      <w:pPr>
        <w:pStyle w:val="ListParagraph"/>
        <w:numPr>
          <w:ilvl w:val="0"/>
          <w:numId w:val="2"/>
        </w:numPr>
        <w:spacing w:before="40" w:after="40"/>
      </w:pPr>
      <w:r>
        <w:rPr>
          <w:sz w:val="22"/>
          <w:szCs w:val="22"/>
        </w:rPr>
        <w:t xml:space="preserve">Temps de génération estimé : 5–15 secondes selon la zone et l'équidistance</w:t>
      </w:r>
    </w:p>
    <w:p>
      <w:pPr>
        <w:pStyle w:val="ListParagraph"/>
        <w:numPr>
          <w:ilvl w:val="0"/>
          <w:numId w:val="2"/>
        </w:numPr>
        <w:spacing w:before="40" w:after="40"/>
      </w:pPr>
      <w:r>
        <w:rPr>
          <w:sz w:val="22"/>
          <w:szCs w:val="22"/>
        </w:rPr>
        <w:t xml:space="preserve">Le bouton plexiglass fonctionne uniquement en mode fenêtre interactive — sans effet en mode --png</w:t>
      </w:r>
    </w:p>
    <w:p>
      <w:pPr>
        <w:spacing w:before="80" w:after="80"/>
      </w:pPr>
      <w:r>
        <w:t xml:space="preserve"/>
      </w:r>
    </w:p>
    <w:p>
      <w:pPr>
        <w:pStyle w:val="Heading1"/>
        <w:spacing w:before="300" w:after="120"/>
      </w:pPr>
      <w:r>
        <w:rPr>
          <w:b/>
          <w:bCs/>
          <w:color w:val="1F4E79"/>
          <w:sz w:val="32"/>
          <w:szCs w:val="32"/>
        </w:rPr>
        <w:t xml:space="preserve">12. Découpe avec fraise en V — atténuation des ruptures entre couches</w:t>
      </w:r>
    </w:p>
    <w:p>
      <w:pPr>
        <w:spacing w:before="60" w:after="60"/>
      </w:pPr>
      <w:r>
        <w:rPr>
          <w:b w:val="false"/>
          <w:bCs w:val="false"/>
          <w:color w:val="000000"/>
          <w:sz w:val="22"/>
          <w:szCs w:val="22"/>
        </w:rPr>
        <w:t xml:space="preserve">L'utilisation d'une fraise en V sur le bord supérieur de chaque couche permet de créer un biseautage qui adoucit visuellement la transition entre couches, donnant un rendu de relief sculpté plutôt qu'un empilement de marches nettes.</w:t>
      </w:r>
    </w:p>
    <w:p>
      <w:pPr>
        <w:spacing w:before="80" w:after="80"/>
      </w:pPr>
      <w:r>
        <w:t xml:space="preserve"/>
      </w:r>
    </w:p>
    <w:p>
      <w:pPr>
        <w:pStyle w:val="Heading2"/>
        <w:spacing w:before="240" w:after="80"/>
      </w:pPr>
      <w:r>
        <w:rPr>
          <w:b/>
          <w:bCs/>
          <w:color w:val="2E75B6"/>
          <w:sz w:val="26"/>
          <w:szCs w:val="26"/>
        </w:rPr>
        <w:t xml:space="preserve">12.1 Principe géométrique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Sans fraise V</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Avec fraise V (60°)</w:t>
            </w:r>
          </w:p>
        </w:tc>
      </w:tr>
      <w:tr>
        <w:tc>
          <w:tcPr>
            <w:tcW w:type="dxa" w:w="468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20"/>
                <w:szCs w:val="20"/>
              </w:rPr>
              <w:t xml:space="preserve">    ┌─────┐          </w:t>
            </w:r>
          </w:p>
          <w:p>
            <w:r>
              <w:rPr>
                <w:rFonts w:ascii="Courier New" w:cs="Courier New" w:eastAsia="Courier New" w:hAnsi="Courier New"/>
                <w:color w:val="D4D4D4"/>
                <w:sz w:val="20"/>
                <w:szCs w:val="20"/>
              </w:rPr>
              <w:t xml:space="preserve">    │     │          </w:t>
            </w:r>
          </w:p>
          <w:p>
            <w:r>
              <w:rPr>
                <w:rFonts w:ascii="Courier New" w:cs="Courier New" w:eastAsia="Courier New" w:hAnsi="Courier New"/>
                <w:color w:val="D4D4D4"/>
                <w:sz w:val="20"/>
                <w:szCs w:val="20"/>
              </w:rPr>
              <w:t xml:space="preserve">────┘     └────      </w:t>
            </w:r>
          </w:p>
          <w:p>
            <w:r>
              <w:rPr>
                <w:rFonts w:ascii="Courier New" w:cs="Courier New" w:eastAsia="Courier New" w:hAnsi="Courier New"/>
                <w:color w:val="888888"/>
                <w:sz w:val="18"/>
                <w:szCs w:val="18"/>
              </w:rPr>
              <w:t xml:space="preserve">Rupture nette visible</w:t>
            </w:r>
          </w:p>
        </w:tc>
        <w:tc>
          <w:tcPr>
            <w:tcW w:type="dxa" w:w="468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20"/>
                <w:szCs w:val="20"/>
              </w:rPr>
              <w:t xml:space="preserve">      ┌─────┐        </w:t>
            </w:r>
          </w:p>
          <w:p>
            <w:r>
              <w:rPr>
                <w:rFonts w:ascii="Courier New" w:cs="Courier New" w:eastAsia="Courier New" w:hAnsi="Courier New"/>
                <w:color w:val="9CDCFE"/>
                <w:sz w:val="20"/>
                <w:szCs w:val="20"/>
              </w:rPr>
              <w:t xml:space="preserve">     /      │        </w:t>
            </w:r>
          </w:p>
          <w:p>
            <w:r>
              <w:rPr>
                <w:rFonts w:ascii="Courier New" w:cs="Courier New" w:eastAsia="Courier New" w:hAnsi="Courier New"/>
                <w:color w:val="D4D4D4"/>
                <w:sz w:val="20"/>
                <w:szCs w:val="20"/>
              </w:rPr>
              <w:t xml:space="preserve">────ˊ       └────    </w:t>
            </w:r>
          </w:p>
          <w:p>
            <w:r>
              <w:rPr>
                <w:rFonts w:ascii="Courier New" w:cs="Courier New" w:eastAsia="Courier New" w:hAnsi="Courier New"/>
                <w:color w:val="888888"/>
                <w:sz w:val="18"/>
                <w:szCs w:val="18"/>
              </w:rPr>
              <w:t xml:space="preserve">Transition progressive</w:t>
            </w:r>
          </w:p>
        </w:tc>
      </w:tr>
    </w:tbl>
    <w:p>
      <w:pPr>
        <w:spacing w:before="80" w:after="80"/>
      </w:pPr>
      <w:r>
        <w:t xml:space="preserve"/>
      </w:r>
    </w:p>
    <w:p>
      <w:pPr>
        <w:pStyle w:val="Heading2"/>
        <w:spacing w:before="240" w:after="80"/>
      </w:pPr>
      <w:r>
        <w:rPr>
          <w:b/>
          <w:bCs/>
          <w:color w:val="2E75B6"/>
          <w:sz w:val="26"/>
          <w:szCs w:val="26"/>
        </w:rPr>
        <w:t xml:space="preserve">12.2 Calcul du retrait selon l'angle de fraise</w:t>
      </w:r>
    </w:p>
    <w:p>
      <w:pPr>
        <w:spacing w:before="60" w:after="60"/>
      </w:pPr>
      <w:r>
        <w:rPr>
          <w:b w:val="false"/>
          <w:bCs w:val="false"/>
          <w:color w:val="000000"/>
          <w:sz w:val="22"/>
          <w:szCs w:val="22"/>
        </w:rPr>
        <w:t xml:space="preserve">Le bord supérieur de chaque couche est érodé vers l'intérieur d'un retrait r = épaisseur × tan(α), où α est le demi-angle de la fraise.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Angle fraise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Demi-angle α</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Retrait (ep. 3 mm)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Recommandation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45°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3,0 mm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Trop agressif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1,7 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Bon compromis</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b/>
                <w:bCs/>
                <w:color w:val="000000"/>
                <w:sz w:val="20"/>
                <w:szCs w:val="20"/>
              </w:rPr>
              <w:t xml:space="preserve">45°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b/>
                <w:bCs/>
                <w:color w:val="000000"/>
                <w:sz w:val="20"/>
                <w:szCs w:val="20"/>
              </w:rPr>
              <w:t xml:space="preserve">22,5°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b/>
                <w:bCs/>
                <w:color w:val="000000"/>
                <w:sz w:val="20"/>
                <w:szCs w:val="20"/>
              </w:rPr>
              <w:t xml:space="preserve">1,2 mm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b/>
                <w:bCs/>
                <w:color w:val="000000"/>
                <w:sz w:val="20"/>
                <w:szCs w:val="20"/>
              </w:rPr>
              <w:t xml:space="preserve">✅ Recommandé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0,8 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Effet subtil</w:t>
            </w:r>
          </w:p>
        </w:tc>
      </w:tr>
    </w:tbl>
    <w:p>
      <w:pPr>
        <w:spacing w:before="80" w:after="80"/>
      </w:pPr>
      <w:r>
        <w:t xml:space="preserve"/>
      </w:r>
    </w:p>
    <w:p>
      <w:pPr>
        <w:pStyle w:val="Heading2"/>
        <w:spacing w:before="240" w:after="80"/>
      </w:pPr>
      <w:r>
        <w:rPr>
          <w:b/>
          <w:bCs/>
          <w:color w:val="2E75B6"/>
          <w:sz w:val="26"/>
          <w:szCs w:val="26"/>
        </w:rPr>
        <w:t xml:space="preserve">12.3 Impact sur les contours SVG</w:t>
      </w:r>
    </w:p>
    <w:p>
      <w:pPr>
        <w:spacing w:before="60" w:after="60"/>
      </w:pPr>
      <w:r>
        <w:rPr>
          <w:b w:val="false"/>
          <w:bCs w:val="false"/>
          <w:color w:val="000000"/>
          <w:sz w:val="22"/>
          <w:szCs w:val="22"/>
        </w:rPr>
        <w:t xml:space="preserve">Chaque pièce dispose désormais de deux contours distincts dans le fichier SVG :</w:t>
      </w:r>
    </w:p>
    <w:p>
      <w:pPr>
        <w:pStyle w:val="ListParagraph"/>
        <w:numPr>
          <w:ilvl w:val="0"/>
          <w:numId w:val="2"/>
        </w:numPr>
        <w:spacing w:before="40" w:after="40"/>
      </w:pPr>
      <w:r>
        <w:rPr>
          <w:sz w:val="22"/>
          <w:szCs w:val="22"/>
        </w:rPr>
        <w:t xml:space="preserve">Contour de découpe (fraise droite) — contour extérieur réel, utilisé pour séparer la pièce de la plaque</w:t>
      </w:r>
    </w:p>
    <w:p>
      <w:pPr>
        <w:pStyle w:val="ListParagraph"/>
        <w:numPr>
          <w:ilvl w:val="0"/>
          <w:numId w:val="2"/>
        </w:numPr>
        <w:spacing w:before="40" w:after="40"/>
      </w:pPr>
      <w:r>
        <w:rPr>
          <w:sz w:val="22"/>
          <w:szCs w:val="22"/>
        </w:rPr>
        <w:t xml:space="preserve">Contour de biseautage (fraise V) — contour intérieur érodé de r = épaisseur × tan(α), tracé en premier</w:t>
      </w:r>
    </w:p>
    <w:p>
      <w:pPr>
        <w:spacing w:before="60" w:after="60"/>
      </w:pPr>
      <w:r>
        <w:rPr>
          <w:b w:val="false"/>
          <w:bCs w:val="false"/>
          <w:color w:val="000000"/>
          <w:sz w:val="22"/>
          <w:szCs w:val="22"/>
        </w:rPr>
        <w:t xml:space="preserve">En pratique dans Shapely : polygon.buffer(-retrait) sur le contour supérieur. Le script génère deux chemins par pièce, avec des attributs SVG distincts (couleur, épaisseur de trait) pour que la Shaper Origin les interprète comme deux opérations successives.</w:t>
      </w:r>
    </w:p>
    <w:p>
      <w:pPr>
        <w:spacing w:before="80" w:after="80"/>
      </w:pPr>
      <w:r>
        <w:t xml:space="preserve"/>
      </w:r>
    </w:p>
    <w:p>
      <w:pPr>
        <w:pStyle w:val="Heading2"/>
        <w:spacing w:before="240" w:after="80"/>
      </w:pPr>
      <w:r>
        <w:rPr>
          <w:b/>
          <w:bCs/>
          <w:color w:val="2E75B6"/>
          <w:sz w:val="26"/>
          <w:szCs w:val="26"/>
        </w:rPr>
        <w:t xml:space="preserve">12.4 Cas particulier : petites pièces</w:t>
      </w:r>
    </w:p>
    <w:p>
      <w:pPr>
        <w:spacing w:before="60" w:after="60"/>
      </w:pPr>
      <w:r>
        <w:rPr>
          <w:b w:val="false"/>
          <w:bCs w:val="false"/>
          <w:color w:val="000000"/>
          <w:sz w:val="22"/>
          <w:szCs w:val="22"/>
        </w:rPr>
        <w:t xml:space="preserve">Si la surface d'une pièce est inférieure à 2× le retrait, le buffer négatif produit un polygone vide — la pièce disparaît après érosion. Le script doit :</w:t>
      </w:r>
    </w:p>
    <w:p>
      <w:pPr>
        <w:pStyle w:val="ListParagraph"/>
        <w:numPr>
          <w:ilvl w:val="0"/>
          <w:numId w:val="2"/>
        </w:numPr>
        <w:spacing w:before="40" w:after="40"/>
      </w:pPr>
      <w:r>
        <w:rPr>
          <w:sz w:val="22"/>
          <w:szCs w:val="22"/>
        </w:rPr>
        <w:t xml:space="preserve">Détecter les pièces dont la largeur minimale est inférieure à 2 × retrait</w:t>
      </w:r>
    </w:p>
    <w:p>
      <w:pPr>
        <w:pStyle w:val="ListParagraph"/>
        <w:numPr>
          <w:ilvl w:val="0"/>
          <w:numId w:val="2"/>
        </w:numPr>
        <w:spacing w:before="40" w:after="40"/>
      </w:pPr>
      <w:r>
        <w:rPr>
          <w:sz w:val="22"/>
          <w:szCs w:val="22"/>
        </w:rPr>
        <w:t xml:space="preserve">Option A : supprimer ces pièces (déjà filtrées par le seuil de surface)</w:t>
      </w:r>
    </w:p>
    <w:p>
      <w:pPr>
        <w:pStyle w:val="ListParagraph"/>
        <w:numPr>
          <w:ilvl w:val="0"/>
          <w:numId w:val="2"/>
        </w:numPr>
        <w:spacing w:before="40" w:after="40"/>
      </w:pPr>
      <w:r>
        <w:rPr>
          <w:sz w:val="22"/>
          <w:szCs w:val="22"/>
        </w:rPr>
        <w:t xml:space="preserve">Option B : les traiter sans biseautage (découpe droite uniquement)</w:t>
      </w:r>
    </w:p>
    <w:p>
      <w:pPr>
        <w:pStyle w:val="ListParagraph"/>
        <w:numPr>
          <w:ilvl w:val="0"/>
          <w:numId w:val="2"/>
        </w:numPr>
        <w:spacing w:before="40" w:after="40"/>
      </w:pPr>
      <w:r>
        <w:rPr>
          <w:sz w:val="22"/>
          <w:szCs w:val="22"/>
        </w:rPr>
        <w:t xml:space="preserve">Loguer les pièces concernées pour information</w:t>
      </w:r>
    </w:p>
    <w:p>
      <w:pPr>
        <w:spacing w:before="80" w:after="80"/>
      </w:pPr>
      <w:r>
        <w:t xml:space="preserve"/>
      </w:r>
    </w:p>
    <w:p>
      <w:pPr>
        <w:pStyle w:val="Heading2"/>
        <w:spacing w:before="240" w:after="80"/>
      </w:pPr>
      <w:r>
        <w:rPr>
          <w:b/>
          <w:bCs/>
          <w:color w:val="2E75B6"/>
          <w:sz w:val="26"/>
          <w:szCs w:val="26"/>
        </w:rPr>
        <w:t xml:space="preserve">12.5 Workflow de découpe sur BenchPilot</w:t>
      </w:r>
    </w:p>
    <w:p>
      <w:pPr>
        <w:spacing w:before="60" w:after="60"/>
      </w:pPr>
      <w:r>
        <w:rPr>
          <w:b w:val="false"/>
          <w:bCs w:val="false"/>
          <w:color w:val="000000"/>
          <w:sz w:val="22"/>
          <w:szCs w:val="22"/>
        </w:rPr>
        <w:t xml:space="preserve">Avec la fraise en V, chaque plaque nécessite deux passes successives sans la déplacer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960"/>
        <w:gridCol w:w="3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Passe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Fraise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Opération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Paramètres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Fraise droite ⌀3 mm</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Découpe complète de toutes les pièces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Profondeur = 3 mm, plusieurs passes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Fraise V 45°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Biseautage du bord supérieur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Profondeur = retrait (1,2 mm), 1 passe</w:t>
            </w:r>
          </w:p>
        </w:tc>
      </w:tr>
    </w:tbl>
    <w:p>
      <w:pPr>
        <w:spacing w:before="60" w:after="60"/>
      </w:pPr>
      <w:r>
        <w:rPr>
          <w:b w:val="false"/>
          <w:bCs w:val="false"/>
          <w:color w:val="000000"/>
          <w:sz w:val="22"/>
          <w:szCs w:val="22"/>
        </w:rPr>
        <w:t xml:space="preserve">La plaque reste fixée entre les deux passes — c'est un avantage majeur du BenchPilot par rapport à la Shaper Origin en mode manuel.</w:t>
      </w:r>
    </w:p>
    <w:p>
      <w:pPr>
        <w:spacing w:before="80" w:after="80"/>
      </w:pPr>
      <w:r>
        <w:t xml:space="preserve"/>
      </w:r>
    </w:p>
    <w:p>
      <w:pPr>
        <w:pStyle w:val="Heading1"/>
        <w:spacing w:before="300" w:after="120"/>
      </w:pPr>
      <w:r>
        <w:rPr>
          <w:b/>
          <w:bCs/>
          <w:color w:val="1F4E79"/>
          <w:sz w:val="32"/>
          <w:szCs w:val="32"/>
        </w:rPr>
        <w:t xml:space="preserve">13. Calepinage et optimisation des plaques</w:t>
      </w:r>
    </w:p>
    <w:p>
      <w:pPr>
        <w:spacing w:before="60" w:after="60"/>
      </w:pPr>
      <w:r>
        <w:rPr>
          <w:b w:val="false"/>
          <w:bCs w:val="false"/>
          <w:color w:val="000000"/>
          <w:sz w:val="22"/>
          <w:szCs w:val="22"/>
        </w:rPr>
        <w:t xml:space="preserve">Le calepinage (nesting) consiste à disposer toutes les pièces à découper sur le minimum de plaques possible, en minimisant les chutes. C'est un module distinct du script de génération des courbes, déclenché après que toutes les pièces sont calculées.</w:t>
      </w:r>
    </w:p>
    <w:p>
      <w:pPr>
        <w:spacing w:before="80" w:after="80"/>
      </w:pPr>
      <w:r>
        <w:t xml:space="preserve"/>
      </w:r>
    </w:p>
    <w:p>
      <w:pPr>
        <w:pStyle w:val="Heading2"/>
        <w:spacing w:before="240" w:after="80"/>
      </w:pPr>
      <w:r>
        <w:rPr>
          <w:b/>
          <w:bCs/>
          <w:color w:val="2E75B6"/>
          <w:sz w:val="26"/>
          <w:szCs w:val="26"/>
        </w:rPr>
        <w:t xml:space="preserve">13.1 Contexte BenchPilot et contrainte de taille de plaque</w:t>
      </w:r>
    </w:p>
    <w:p>
      <w:pPr>
        <w:spacing w:before="60" w:after="60"/>
      </w:pPr>
      <w:r>
        <w:rPr>
          <w:b w:val="false"/>
          <w:bCs w:val="false"/>
          <w:color w:val="000000"/>
          <w:sz w:val="22"/>
          <w:szCs w:val="22"/>
        </w:rPr>
        <w:t xml:space="preserve">Avec le BenchPilot, une plaque entière est fixée une fois et toutes les pièces qu'elle contient sont découpées automatiquement sans intervention. Le calepinage devient donc critique : une mauvaise organisation peut nécessiter des plaques supplémentaires et du temps machine inutile.</w:t>
      </w:r>
    </w:p>
    <w:p>
      <w:pPr>
        <w:spacing w:before="80" w:after="80"/>
      </w:pPr>
      <w:r>
        <w:t xml:space="preserve"/>
      </w:r>
    </w:p>
    <w:p>
      <w:pPr>
        <w:spacing w:before="60" w:after="60"/>
      </w:pPr>
      <w:r>
        <w:rPr>
          <w:b/>
          <w:bCs/>
          <w:color w:val="000000"/>
          <w:sz w:val="22"/>
          <w:szCs w:val="22"/>
        </w:rPr>
        <w:t xml:space="preserve">La zone de travail du BenchPilot définit la taille maximale des plaques qu'il peut gérer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Zone de travail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Zone utile (−marges 15 mm)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Avec Workstation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460 × 280 mm</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430 × 250 mm — trop restrictif pour ce projet</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bCs/>
                <w:color w:val="000000"/>
                <w:sz w:val="20"/>
                <w:szCs w:val="20"/>
              </w:rPr>
              <w:t xml:space="preserve">Sans Workstation (retenu ✓)</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460 × 445 mm</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b w:val="false"/>
                <w:bCs w:val="false"/>
                <w:color w:val="000000"/>
                <w:sz w:val="20"/>
                <w:szCs w:val="20"/>
              </w:rPr>
              <w:t xml:space="preserve">430 × 415 mm — format carte 43 × 38 cm possible</w:t>
            </w:r>
          </w:p>
        </w:tc>
      </w:tr>
    </w:tbl>
    <w:p>
      <w:pPr>
        <w:spacing w:before="80" w:after="80"/>
      </w:pPr>
      <w:r>
        <w:t xml:space="preserve"/>
      </w:r>
    </w:p>
    <w:p>
      <w:pPr>
        <w:spacing w:before="60" w:after="60"/>
      </w:pPr>
      <w:r>
        <w:rPr>
          <w:b w:val="false"/>
          <w:bCs w:val="false"/>
          <w:color w:val="000000"/>
          <w:sz w:val="22"/>
          <w:szCs w:val="22"/>
        </w:rPr>
        <w:t xml:space="preserve">⚠️  Note : il est possible de s'affranchir de ces limites en travaillant avec des plaques plus grandes, découpées manuellement avec la Shaper Origin en mode handheld. Cette approche reste viable et précise, mais elle perd le bénéfice de l'automatisation totale du BenchPilot : chaque pièce doit être conduite manuellement, le calepinage n'est plus optimisé en une seule session machine, et le travail est plus long et plus fatiguant. Le format 43 × 38 cm a donc été retenu comme compromis optimal entre couverture géographique et automatisation maximale.</w:t>
      </w:r>
    </w:p>
    <w:p>
      <w:pPr>
        <w:spacing w:before="80" w:after="80"/>
      </w:pPr>
      <w:r>
        <w:t xml:space="preserve"/>
      </w:r>
    </w:p>
    <w:p>
      <w:pPr>
        <w:pStyle w:val="Heading2"/>
        <w:spacing w:before="240" w:after="80"/>
      </w:pPr>
      <w:r>
        <w:rPr>
          <w:b/>
          <w:bCs/>
          <w:color w:val="2E75B6"/>
          <w:sz w:val="26"/>
          <w:szCs w:val="26"/>
        </w:rPr>
        <w:t xml:space="preserve">13.2 Contraintes du calepinage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Contrainte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Valeur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Raison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Taille plaque MDF (BenchPilot)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43 × 41 cm max</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Zone utile BenchPilot sans Workstation (460×445 mm − marges)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Taille plaque plexiglass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43 × 41 cm max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Même contrainte BenchPilot — à débiter depuis panneau standard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Marge de bord</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15 mm</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Zone de fixation sur BenchPilot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Espacement entre pièces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5 mm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Passage fraise + rigidité résiduelle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Rotation des pièces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0° et 90° autorisés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MDF isotrope — pas de sens du fil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Groupement par couleur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Obligatoire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Peinture avant découpe — même teinte par plaque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Trous de goupilles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Hors zone pièces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4 trous ⌀6 mm aux coins de chaque plaque</w:t>
            </w:r>
          </w:p>
        </w:tc>
      </w:tr>
    </w:tbl>
    <w:p>
      <w:pPr>
        <w:spacing w:before="80" w:after="80"/>
      </w:pPr>
      <w:r>
        <w:t xml:space="preserve"/>
      </w:r>
    </w:p>
    <w:p>
      <w:pPr>
        <w:pStyle w:val="Heading2"/>
        <w:spacing w:before="240" w:after="80"/>
      </w:pPr>
      <w:r>
        <w:rPr>
          <w:b/>
          <w:bCs/>
          <w:color w:val="2E75B6"/>
          <w:sz w:val="26"/>
          <w:szCs w:val="26"/>
        </w:rPr>
        <w:t xml:space="preserve">13.3 Algorithme retenu : rectangles englobants (bin packing 2D)</w:t>
      </w:r>
    </w:p>
    <w:p>
      <w:pPr>
        <w:spacing w:before="60" w:after="60"/>
      </w:pPr>
      <w:r>
        <w:rPr>
          <w:b w:val="false"/>
          <w:bCs w:val="false"/>
          <w:color w:val="000000"/>
          <w:sz w:val="22"/>
          <w:szCs w:val="22"/>
        </w:rPr>
        <w:t xml:space="preserve">Chaque pièce est inscrite dans son rectangle minimal orienté (bounding box). Les rectangles sont ensuite empilés dans les plaques par ordre décroissant de surface — heuristique First Fit Decreasing (FFD).</w:t>
      </w:r>
    </w:p>
    <w:p>
      <w:pPr>
        <w:spacing w:before="80" w:after="80"/>
      </w:pPr>
      <w:r>
        <w:t xml:space="preserve"/>
      </w:r>
    </w:p>
    <w:p>
      <w:pPr>
        <w:pStyle w:val="ListParagraph"/>
        <w:numPr>
          <w:ilvl w:val="0"/>
          <w:numId w:val="2"/>
        </w:numPr>
        <w:spacing w:before="40" w:after="40"/>
      </w:pPr>
      <w:r>
        <w:rPr>
          <w:sz w:val="22"/>
          <w:szCs w:val="22"/>
        </w:rPr>
        <w:t xml:space="preserve">Bibliothèque Python : rectpack (pip install rectpack)</w:t>
      </w:r>
    </w:p>
    <w:p>
      <w:pPr>
        <w:pStyle w:val="ListParagraph"/>
        <w:numPr>
          <w:ilvl w:val="0"/>
          <w:numId w:val="2"/>
        </w:numPr>
        <w:spacing w:before="40" w:after="40"/>
      </w:pPr>
      <w:r>
        <w:rPr>
          <w:sz w:val="22"/>
          <w:szCs w:val="22"/>
        </w:rPr>
        <w:t xml:space="preserve">Simple à implémenter, résultats suffisants pour des formes majoritairement convexes</w:t>
      </w:r>
    </w:p>
    <w:p>
      <w:pPr>
        <w:pStyle w:val="ListParagraph"/>
        <w:numPr>
          <w:ilvl w:val="0"/>
          <w:numId w:val="2"/>
        </w:numPr>
        <w:spacing w:before="40" w:after="40"/>
      </w:pPr>
      <w:r>
        <w:rPr>
          <w:sz w:val="22"/>
          <w:szCs w:val="22"/>
        </w:rPr>
        <w:t xml:space="preserve">Alternative plus optimale (nesting polygonal réel) : svgnest ou deepnest — gain estimé 15-30% mais complexité accrue</w:t>
      </w:r>
    </w:p>
    <w:p>
      <w:pPr>
        <w:pStyle w:val="ListParagraph"/>
        <w:numPr>
          <w:ilvl w:val="0"/>
          <w:numId w:val="2"/>
        </w:numPr>
        <w:spacing w:before="40" w:after="40"/>
      </w:pPr>
      <w:r>
        <w:rPr>
          <w:sz w:val="22"/>
          <w:szCs w:val="22"/>
        </w:rPr>
        <w:t xml:space="preserve">Pour ce projet, rectpack est largement suffisant</w:t>
      </w:r>
    </w:p>
    <w:p>
      <w:pPr>
        <w:spacing w:before="80" w:after="80"/>
      </w:pPr>
      <w:r>
        <w:t xml:space="preserve"/>
      </w:r>
    </w:p>
    <w:p>
      <w:pPr>
        <w:pStyle w:val="Heading2"/>
        <w:spacing w:before="240" w:after="80"/>
      </w:pPr>
      <w:r>
        <w:rPr>
          <w:b/>
          <w:bCs/>
          <w:color w:val="2E75B6"/>
          <w:sz w:val="26"/>
          <w:szCs w:val="26"/>
        </w:rPr>
        <w:t xml:space="preserve">13.4 Groupes de couleur et organisation des plaques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6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Groupe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Couches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Couleur MDF</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Pièces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Plaques estimées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Marine foncé</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-3 et -2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Bleu nuit</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plaque MDF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Marine clair / estran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Bleu clair + sable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plaque MDF</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Terre basse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et +2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Vert clair</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 plaque MDF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Terre haute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+3 à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Vert foncé</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plaque MDF (partagée)</w:t>
            </w:r>
          </w:p>
        </w:tc>
      </w:tr>
      <w:tr>
        <w:tc>
          <w:tcPr>
            <w:tcW w:type="dxa" w:w="18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Niveau mer</w:t>
            </w:r>
          </w:p>
        </w:tc>
        <w:tc>
          <w:tcPr>
            <w:tcW w:type="dxa" w:w="18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Transparent</w:t>
            </w:r>
          </w:p>
        </w:tc>
        <w:tc>
          <w:tcPr>
            <w:tcW w:type="dxa" w:w="196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AED6F1" w:val="clear"/>
            <w:tcMar>
              <w:top w:type="dxa" w:w="80"/>
              <w:left w:type="dxa" w:w="120"/>
              <w:bottom w:type="dxa" w:w="80"/>
              <w:right w:type="dxa" w:w="120"/>
            </w:tcMar>
          </w:tcPr>
          <w:p>
            <w:pPr>
              <w:jc w:val="left"/>
            </w:pPr>
            <w:r>
              <w:rPr>
                <w:b w:val="false"/>
                <w:bCs w:val="false"/>
                <w:color w:val="000000"/>
                <w:sz w:val="20"/>
                <w:szCs w:val="20"/>
              </w:rPr>
              <w:t xml:space="preserve">1 plaque plexiglass</w:t>
            </w:r>
          </w:p>
        </w:tc>
      </w:tr>
    </w:tbl>
    <w:p>
      <w:pPr>
        <w:spacing w:before="80" w:after="80"/>
      </w:pPr>
      <w:r>
        <w:t xml:space="preserve"/>
      </w:r>
    </w:p>
    <w:p>
      <w:pPr>
        <w:pStyle w:val="Heading2"/>
        <w:spacing w:before="240" w:after="80"/>
      </w:pPr>
      <w:r>
        <w:rPr>
          <w:b/>
          <w:bCs/>
          <w:color w:val="2E75B6"/>
          <w:sz w:val="26"/>
          <w:szCs w:val="26"/>
        </w:rPr>
        <w:t xml:space="preserve">13.5 Sorties du module de calepinage</w:t>
      </w:r>
    </w:p>
    <w:p>
      <w:pPr>
        <w:spacing w:before="60" w:after="60"/>
      </w:pPr>
      <w:r>
        <w:rPr>
          <w:b w:val="false"/>
          <w:bCs w:val="false"/>
          <w:color w:val="000000"/>
          <w:sz w:val="22"/>
          <w:szCs w:val="22"/>
        </w:rPr>
        <w:t xml:space="preserve">En plus des SVG individuels par couche, le module génère :</w:t>
      </w:r>
    </w:p>
    <w:p>
      <w:pPr>
        <w:pStyle w:val="ListParagraph"/>
        <w:numPr>
          <w:ilvl w:val="0"/>
          <w:numId w:val="2"/>
        </w:numPr>
        <w:spacing w:before="40" w:after="40"/>
      </w:pPr>
      <w:r>
        <w:rPr>
          <w:sz w:val="22"/>
          <w:szCs w:val="22"/>
        </w:rPr>
        <w:t xml:space="preserve">Un SVG par plaque physique à commander — prêt à charger dans le BenchPilot</w:t>
      </w:r>
    </w:p>
    <w:p>
      <w:pPr>
        <w:pStyle w:val="ListParagraph"/>
        <w:numPr>
          <w:ilvl w:val="0"/>
          <w:numId w:val="2"/>
        </w:numPr>
        <w:spacing w:before="40" w:after="40"/>
      </w:pPr>
      <w:r>
        <w:rPr>
          <w:sz w:val="22"/>
          <w:szCs w:val="22"/>
        </w:rPr>
        <w:t xml:space="preserve">Un rapport texte indiquant le taux de remplissage de chaque plaque</w:t>
      </w:r>
    </w:p>
    <w:p>
      <w:pPr>
        <w:pStyle w:val="ListParagraph"/>
        <w:numPr>
          <w:ilvl w:val="0"/>
          <w:numId w:val="2"/>
        </w:numPr>
        <w:spacing w:before="40" w:after="40"/>
      </w:pPr>
      <w:r>
        <w:rPr>
          <w:sz w:val="22"/>
          <w:szCs w:val="22"/>
        </w:rPr>
        <w:t xml:space="preserve">Une liste de courses : nombre et dimensions des plaques à acheter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CDCFE"/>
                <w:sz w:val="20"/>
                <w:szCs w:val="20"/>
              </w:rPr>
              <w:t xml:space="preserve">plaques/</w:t>
            </w:r>
          </w:p>
          <w:p>
            <w:r>
              <w:rPr>
                <w:rFonts w:ascii="Courier New" w:cs="Courier New" w:eastAsia="Courier New" w:hAnsi="Courier New"/>
                <w:color w:val="D4D4D4"/>
                <w:sz w:val="20"/>
                <w:szCs w:val="20"/>
              </w:rPr>
              <w:t xml:space="preserve">  plaque_MDF_1.svg    → couches -3 et -2  (bleu nuit)   — 78% utilisé</w:t>
            </w:r>
          </w:p>
          <w:p>
            <w:r>
              <w:rPr>
                <w:rFonts w:ascii="Courier New" w:cs="Courier New" w:eastAsia="Courier New" w:hAnsi="Courier New"/>
                <w:color w:val="D4D4D4"/>
                <w:sz w:val="20"/>
                <w:szCs w:val="20"/>
              </w:rPr>
              <w:t xml:space="preserve">  plaque_MDF_2.svg    → couche -1         (bleu+sable)  — 91% utilisé</w:t>
            </w:r>
          </w:p>
          <w:p>
            <w:r>
              <w:rPr>
                <w:rFonts w:ascii="Courier New" w:cs="Courier New" w:eastAsia="Courier New" w:hAnsi="Courier New"/>
                <w:color w:val="D4D4D4"/>
                <w:sz w:val="20"/>
                <w:szCs w:val="20"/>
              </w:rPr>
              <w:t xml:space="preserve">  plaque_MDF_3.svg    → couches +1 et +2  (vert clair)  — 83% utilisé</w:t>
            </w:r>
          </w:p>
          <w:p>
            <w:r>
              <w:rPr>
                <w:rFonts w:ascii="Courier New" w:cs="Courier New" w:eastAsia="Courier New" w:hAnsi="Courier New"/>
                <w:color w:val="D4D4D4"/>
                <w:sz w:val="20"/>
                <w:szCs w:val="20"/>
              </w:rPr>
              <w:t xml:space="preserve">  plaque_MDF_4.svg    → couches +3 à +8   (vert foncé)  — 62% utilisé</w:t>
            </w:r>
          </w:p>
          <w:p>
            <w:r>
              <w:rPr>
                <w:rFonts w:ascii="Courier New" w:cs="Courier New" w:eastAsia="Courier New" w:hAnsi="Courier New"/>
                <w:color w:val="D4D4D4"/>
                <w:sz w:val="20"/>
                <w:szCs w:val="20"/>
              </w:rPr>
              <w:t xml:space="preserve">  plaque_PLEXI_1.svg  → couche 0          (transparent) — 45% utilisé</w:t>
            </w:r>
          </w:p>
          <w:p>
            <w:r>
              <w:rPr>
                <w:rFonts w:ascii="Courier New" w:cs="Courier New" w:eastAsia="Courier New" w:hAnsi="Courier New"/>
                <w:color w:val="D4D4D4"/>
                <w:sz w:val="20"/>
                <w:szCs w:val="20"/>
              </w:rPr>
              <w:t xml:space="preserve"/>
            </w:r>
          </w:p>
          <w:p>
            <w:r>
              <w:rPr>
                <w:rFonts w:ascii="Courier New" w:cs="Courier New" w:eastAsia="Courier New" w:hAnsi="Courier New"/>
                <w:color w:val="9CDCFE"/>
                <w:sz w:val="20"/>
                <w:szCs w:val="20"/>
              </w:rPr>
              <w:t xml:space="preserve">Liste de courses :</w:t>
            </w:r>
          </w:p>
          <w:p>
            <w:r>
              <w:rPr>
                <w:rFonts w:ascii="Courier New" w:cs="Courier New" w:eastAsia="Courier New" w:hAnsi="Courier New"/>
                <w:color w:val="D4D4D4"/>
                <w:sz w:val="20"/>
                <w:szCs w:val="20"/>
              </w:rPr>
              <w:t xml:space="preserve">  4 × panneau MDF 3mm  120×60 cm  (à débiter en sous-plaques 43×41 cm)</w:t>
            </w:r>
          </w:p>
          <w:p>
            <w:r>
              <w:rPr>
                <w:rFonts w:ascii="Courier New" w:cs="Courier New" w:eastAsia="Courier New" w:hAnsi="Courier New"/>
                <w:color w:val="D4D4D4"/>
                <w:sz w:val="20"/>
                <w:szCs w:val="20"/>
              </w:rPr>
              <w:t xml:space="preserve">  1 × plaque plexi 4mm 100×60 cm  (à débiter en sous-plaque 43×41 cm)</w:t>
            </w:r>
          </w:p>
        </w:tc>
      </w:tr>
    </w:tbl>
    <w:p>
      <w:pPr>
        <w:spacing w:before="80" w:after="80"/>
      </w:pPr>
      <w:r>
        <w:t xml:space="preserve"/>
      </w:r>
    </w:p>
    <w:p>
      <w:pPr>
        <w:pStyle w:val="Heading2"/>
        <w:spacing w:before="240" w:after="80"/>
      </w:pPr>
      <w:r>
        <w:rPr>
          <w:b/>
          <w:bCs/>
          <w:color w:val="2E75B6"/>
          <w:sz w:val="26"/>
          <w:szCs w:val="26"/>
        </w:rPr>
        <w:t xml:space="preserve">13.6 Paramètre supplémentaire du script</w:t>
      </w:r>
    </w:p>
    <w:p>
      <w:pPr>
        <w:pStyle w:val="ListParagraph"/>
        <w:numPr>
          <w:ilvl w:val="0"/>
          <w:numId w:val="2"/>
        </w:numPr>
        <w:spacing w:before="40" w:after="40"/>
      </w:pPr>
      <w:r>
        <w:rPr>
          <w:sz w:val="22"/>
          <w:szCs w:val="22"/>
        </w:rPr>
        <w:t xml:space="preserve">--taille_plaque_mdf 430x410    — dimensions sous-plaque MDF en mm (défaut : 430×410, compatible BenchPilot sans Workstation)</w:t>
      </w:r>
    </w:p>
    <w:p>
      <w:pPr>
        <w:pStyle w:val="ListParagraph"/>
        <w:numPr>
          <w:ilvl w:val="0"/>
          <w:numId w:val="2"/>
        </w:numPr>
        <w:spacing w:before="40" w:after="40"/>
      </w:pPr>
      <w:r>
        <w:rPr>
          <w:sz w:val="22"/>
          <w:szCs w:val="22"/>
        </w:rPr>
        <w:t xml:space="preserve">--taille_plaque_plexi 430x410  — dimensions sous-plaque plexiglass en mm</w:t>
      </w:r>
    </w:p>
    <w:p>
      <w:pPr>
        <w:pStyle w:val="ListParagraph"/>
        <w:numPr>
          <w:ilvl w:val="0"/>
          <w:numId w:val="2"/>
        </w:numPr>
        <w:spacing w:before="40" w:after="40"/>
      </w:pPr>
      <w:r>
        <w:rPr>
          <w:sz w:val="22"/>
          <w:szCs w:val="22"/>
        </w:rPr>
        <w:t xml:space="preserve">--marge_bord 15               — marge périphérique en mm</w:t>
      </w:r>
    </w:p>
    <w:p>
      <w:pPr>
        <w:pStyle w:val="ListParagraph"/>
        <w:numPr>
          <w:ilvl w:val="0"/>
          <w:numId w:val="2"/>
        </w:numPr>
        <w:spacing w:before="40" w:after="40"/>
      </w:pPr>
      <w:r>
        <w:rPr>
          <w:sz w:val="22"/>
          <w:szCs w:val="22"/>
        </w:rPr>
        <w:t xml:space="preserve">--espacement 5                — espacement entre pièces en mm</w:t>
      </w:r>
    </w:p>
    <w:p>
      <w:pPr>
        <w:pStyle w:val="ListParagraph"/>
        <w:numPr>
          <w:ilvl w:val="0"/>
          <w:numId w:val="2"/>
        </w:numPr>
        <w:spacing w:before="40" w:after="40"/>
      </w:pPr>
      <w:r>
        <w:rPr>
          <w:sz w:val="22"/>
          <w:szCs w:val="22"/>
        </w:rPr>
        <w:t xml:space="preserve">--angle_fraise_v 45           — angle fraise en V en degrés (pour calcul retrait)</w:t>
      </w:r>
    </w:p>
    <w:p>
      <w:pPr>
        <w:spacing w:before="80" w:after="80"/>
      </w:pPr>
      <w:r>
        <w:t xml:space="preserve"/>
      </w:r>
    </w:p>
    <w:p>
      <w:pPr>
        <w:pStyle w:val="Heading1"/>
        <w:spacing w:before="300" w:after="120"/>
      </w:pPr>
      <w:r>
        <w:rPr>
          <w:b/>
          <w:bCs/>
          <w:color w:val="1F4E79"/>
          <w:sz w:val="32"/>
          <w:szCs w:val="32"/>
        </w:rPr>
        <w:t xml:space="preserve">14. Prochaines étapes pour la session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Tâche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b/>
                <w:bCs/>
                <w:color w:val="FFFFFF"/>
                <w:sz w:val="20"/>
                <w:szCs w:val="20"/>
              </w:rPr>
              <w:t xml:space="preserve">Détail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Coder le sélecteur de zone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selecteur_zone.html — Leaflet.js + rectangle draggable + export paramètres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Installer les dépendances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pip install rasterio numpy matplotlib scikit-image shapely pyproj svgwrite rectpack</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Télécharger les données Litto3D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diffusion.shom.fr — dalle(s) couvrant Port-Blanc (Côtes-d'Armor)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Explorer le MNT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Vérifier l'emprise, les valeurs min/max, la projection Lambert93</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Coder le script principal</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Génération courbes + double contour V + export SVG par couche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Coder le module calepinage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rectpack + groupement par couleur + rapport de plaques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Tester sur zone réduite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1×1 km autour du port avant le format 6×4 km final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Valider les SVG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Ouvrir dans Inkscape — vérifier unités mm, contours V, trous goupilles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b w:val="false"/>
                <w:bCs w:val="false"/>
                <w:color w:val="000000"/>
                <w:sz w:val="20"/>
                <w:szCs w:val="20"/>
              </w:rPr>
              <w:t xml:space="preserve">9</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Premier test découpe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b w:val="false"/>
                <w:bCs w:val="false"/>
                <w:color w:val="000000"/>
                <w:sz w:val="20"/>
                <w:szCs w:val="20"/>
              </w:rPr>
              <w:t xml:space="preserve">Une couche en MDF de récupération — valider les deux passes (droite + V)</w:t>
            </w:r>
          </w:p>
        </w:tc>
      </w:tr>
    </w:tbl>
    <w:p>
      <w:pPr>
        <w:spacing w:before="80" w:after="80"/>
      </w:pPr>
      <w:r>
        <w:t xml:space="preserve"/>
      </w:r>
    </w:p>
    <w:p>
      <w:pPr>
        <w:spacing w:before="80" w:after="80"/>
      </w:pPr>
      <w:r>
        <w:t xml:space="preserve"/>
      </w:r>
    </w:p>
    <w:p>
      <w:pPr>
        <w:jc w:val="center"/>
      </w:pPr>
      <w:r>
        <w:rPr>
          <w:color w:val="999999"/>
          <w:sz w:val="18"/>
          <w:szCs w:val="18"/>
        </w:rPr>
        <w:t xml:space="preserve">— Document généré avec Claude (Anthropic) — Session de conception préliminaire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2026-03-11T11:01:20.087Z</dcterms:created>
  <dcterms:modified xsi:type="dcterms:W3CDTF">2026-03-11T11:01:20.088Z</dcterms:modified>
</cp:coreProperties>
</file>

<file path=docProps/custom.xml><?xml version="1.0" encoding="utf-8"?>
<Properties xmlns="http://schemas.openxmlformats.org/officeDocument/2006/custom-properties" xmlns:vt="http://schemas.openxmlformats.org/officeDocument/2006/docPropsVTypes"/>
</file>