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tblW w:w="6490" w:type="dxa"/>
        <w:jc w:val="left"/>
        <w:tblInd w:w="4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7"/>
        <w:gridCol w:w="1882"/>
      </w:tblGrid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04/05/2015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iteração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projeto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Itens de trabalho atualizados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Lista de riscos atualizada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11/05/2015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Caso de uso cadastro de visitante e veículo 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01/06/2015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08/06/2015</w:t>
            </w:r>
          </w:p>
        </w:tc>
      </w:tr>
    </w:tbl>
    <w:p>
      <w:pPr>
        <w:pStyle w:val="Textbody"/>
        <w:ind w:left="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totalmente refinado.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implementado.</w:t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tblW w:w="9473" w:type="dxa"/>
        <w:jc w:val="left"/>
        <w:tblInd w:w="7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1090"/>
        <w:gridCol w:w="968"/>
        <w:gridCol w:w="1062"/>
        <w:gridCol w:w="1073"/>
        <w:gridCol w:w="853"/>
        <w:gridCol w:w="957"/>
        <w:gridCol w:w="1204"/>
        <w:gridCol w:w="1052"/>
      </w:tblGrid>
      <w:tr>
        <w:trPr>
          <w:trHeight w:val="728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84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Selecionar requisito para a iteração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Corrigir pendencias da iteração anterior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6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bookmarkStart w:id="1" w:name="__DdeLink__1766_876903838"/>
            <w:bookmarkEnd w:id="1"/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7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Refinar requisito selecionado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4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3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Criar novo plano de iteração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Atualizar riscos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Media 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Analise e projeto do caso de uso 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/>
              </w:rPr>
              <w:t>10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Caso de uso projetado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/>
              </w:rPr>
              <w:t>32</w:t>
            </w:r>
          </w:p>
        </w:tc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4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</w:tbl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tblW w:w="9586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452"/>
        <w:gridCol w:w="4942"/>
      </w:tblGrid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rFonts w:cs="Arial" w:ascii="Arial" w:hAnsi="Arial"/>
                <w:lang w:val="pt-BR"/>
              </w:rPr>
              <w:t>Alteração de plataforma para JSP devido a maior conhecimento da plataforma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Standard"/>
        <w:numPr>
          <w:ilvl w:val="0"/>
          <w:numId w:val="2"/>
        </w:numPr>
        <w:spacing w:before="113" w:after="0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tblW w:w="5553" w:type="dxa"/>
        <w:jc w:val="left"/>
        <w:tblInd w:w="6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3774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Italo, Jarley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Verde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hanging="0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 Black">
    <w:charset w:val="01"/>
    <w:family w:val="swiss"/>
    <w:pitch w:val="default"/>
  </w:font>
  <w:font w:name="Times New Roman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Book Antiqua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22/06/15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3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84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80"/>
      <w:gridCol w:w="3192"/>
    </w:tblGrid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pPr/>
    <w:rPr/>
  </w:style>
  <w:style w:type="paragraph" w:styleId="Bullet2" w:customStyle="1">
    <w:name w:val="Bullet2"/>
    <w:basedOn w:val="Standard"/>
    <w:qFormat/>
    <w:pPr/>
    <w:rPr>
      <w:color w:val="000080"/>
    </w:rPr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Standard"/>
    <w:qFormat/>
    <w:pPr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LibreOffice/4.4.4.2$Linux_X86_64 LibreOffice_project/40m0$Build-2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cp:lastModifiedBy>Tarcísio Silva</cp:lastModifiedBy>
  <dcterms:modified xsi:type="dcterms:W3CDTF">2015-06-22T12:45:07Z</dcterms:modified>
  <cp:revision>12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