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B0B0B"/>
          <w:sz w:val="38"/>
        </w:rPr>
        <w:t>SPX Express — Regional Speed Review</w:t>
      </w:r>
    </w:p>
    <w:p>
      <w:r>
        <w:rPr>
          <w:color w:val="52514E"/>
          <w:sz w:val="19"/>
        </w:rPr>
        <w:t>2026-01-01 to 2026-01-30  ·  30 days  ·  185,266,641 parcels  ·  4 markets, 10 carriers</w:t>
      </w:r>
    </w:p>
    <w:p>
      <w:pPr>
        <w:spacing w:before="240" w:after="60"/>
      </w:pPr>
      <w:r>
        <w:rPr>
          <w:b/>
          <w:color w:val="0B0B0B"/>
          <w:sz w:val="26"/>
        </w:rPr>
        <w:t>Where we stand</w:t>
      </w:r>
    </w:p>
    <w:p>
      <w:pPr>
        <w:spacing w:after="40"/>
      </w:pPr>
      <w:r>
        <w:rPr>
          <w:color w:val="52514E"/>
          <w:sz w:val="19"/>
        </w:rPr>
        <w:t xml:space="preserve">Buyer waiting time (avg_BWT)  </w:t>
      </w:r>
      <w:r>
        <w:rPr>
          <w:b/>
          <w:color w:val="0B0B0B"/>
          <w:sz w:val="22"/>
        </w:rPr>
        <w:t>3.33 days</w:t>
      </w:r>
    </w:p>
    <w:p>
      <w:pPr>
        <w:spacing w:after="40"/>
      </w:pPr>
      <w:r>
        <w:rPr>
          <w:color w:val="52514E"/>
          <w:sz w:val="19"/>
        </w:rPr>
        <w:t xml:space="preserve">Of which seller preparation (avg_APT)  </w:t>
      </w:r>
      <w:r>
        <w:rPr>
          <w:b/>
          <w:color w:val="0B0B0B"/>
          <w:sz w:val="22"/>
        </w:rPr>
        <w:t>0.758 days  (22.8% of total)</w:t>
      </w:r>
    </w:p>
    <w:p>
      <w:pPr>
        <w:spacing w:after="40"/>
      </w:pPr>
      <w:r>
        <w:rPr>
          <w:color w:val="52514E"/>
          <w:sz w:val="19"/>
        </w:rPr>
        <w:t xml:space="preserve">Of which network transit  </w:t>
      </w:r>
      <w:r>
        <w:rPr>
          <w:b/>
          <w:color w:val="2A78D6"/>
          <w:sz w:val="22"/>
        </w:rPr>
        <w:t>2.571 days</w:t>
      </w:r>
    </w:p>
    <w:p>
      <w:pPr>
        <w:spacing w:before="200" w:after="60"/>
      </w:pPr>
      <w:r>
        <w:rPr>
          <w:b/>
          <w:color w:val="0B0B0B"/>
          <w:sz w:val="26"/>
        </w:rPr>
        <w:t>What the month shows</w:t>
      </w:r>
    </w:p>
    <w:p>
      <w:pPr>
        <w:spacing w:after="100"/>
      </w:pPr>
      <w:r>
        <w:rPr>
          <w:b/>
          <w:sz w:val="21"/>
        </w:rPr>
        <w:t xml:space="preserve">1. Speed degrades two days AFTER every campaign, not during it.  </w:t>
      </w:r>
      <w:r>
        <w:rPr>
          <w:sz w:val="20"/>
        </w:rPr>
        <w:t>Correlation of daily volume with buyer waiting time peaks at a 2-day lag (r = 0.886, 95% CI 0.776–0.953). Campaign dates are known weeks ahead, so this is schedulable rather than merely observable.</w:t>
      </w:r>
    </w:p>
    <w:p>
      <w:pPr>
        <w:spacing w:after="100"/>
      </w:pPr>
      <w:r>
        <w:rPr>
          <w:b/>
          <w:sz w:val="21"/>
        </w:rPr>
        <w:t xml:space="preserve">2. The delay is in the network, not with sellers.  </w:t>
      </w:r>
      <w:r>
        <w:rPr>
          <w:sz w:val="20"/>
        </w:rPr>
        <w:t>Preparation time is flat at 0.758 days across every carrier, region and date. Effectively all variation buyers feel occurs after the seller hands the parcel over.</w:t>
      </w:r>
    </w:p>
    <w:p>
      <w:pPr>
        <w:spacing w:after="100"/>
      </w:pPr>
      <w:r>
        <w:rPr>
          <w:b/>
          <w:sz w:val="21"/>
        </w:rPr>
        <w:t xml:space="preserve">3. Island crossings are a step change, not a gradient.  </w:t>
      </w:r>
      <w:r>
        <w:rPr>
          <w:sz w:val="20"/>
        </w:rPr>
        <w:t>Sea and air legs into Sabah, Sulawesi and Sumatra run roughly 3.5× same-region lanes. This is where the recoverable time sits.</w:t>
      </w:r>
    </w:p>
    <w:p>
      <w:pPr>
        <w:spacing w:after="100"/>
      </w:pPr>
      <w:r>
        <w:rPr>
          <w:b/>
          <w:sz w:val="21"/>
        </w:rPr>
        <w:t xml:space="preserve">4. The obvious carrier ranking is misleading.  </w:t>
      </w:r>
      <w:r>
        <w:rPr>
          <w:sz w:val="20"/>
        </w:rPr>
        <w:t>Comparing carriers only on lanes they both serve moves Pos Indonesia from 9th to 5th — it is being penalised for its geography. The same correction confirms SiCepat's gap is real.</w:t>
      </w:r>
    </w:p>
    <w:p>
      <w:pPr>
        <w:spacing w:after="100"/>
      </w:pPr>
      <w:r>
        <w:rPr>
          <w:b/>
          <w:sz w:val="21"/>
        </w:rPr>
        <w:t xml:space="preserve">5. Two carriers are failing in opposite ways.  </w:t>
      </w:r>
      <w:r>
        <w:rPr>
          <w:sz w:val="20"/>
        </w:rPr>
        <w:t>SiCepat is consistently slow and deteriorating. Ninja Van is average on speed but generates about half of all severe incidents. These need different interventions.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4989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ampaign_backlo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98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2514E"/>
          <w:sz w:val="17"/>
        </w:rPr>
        <w:t>Volume peaks on campaign days; buyer waiting time peaks two days later.</w:t>
      </w:r>
    </w:p>
    <w:p>
      <w:r>
        <w:br w:type="page"/>
      </w:r>
    </w:p>
    <w:p>
      <w:pPr>
        <w:spacing w:before="0" w:after="60"/>
      </w:pPr>
      <w:r>
        <w:rPr>
          <w:b/>
          <w:color w:val="0B0B0B"/>
          <w:sz w:val="26"/>
        </w:rPr>
        <w:t>What it is worth</w:t>
      </w:r>
    </w:p>
    <w:p>
      <w:pPr>
        <w:spacing w:after="40"/>
      </w:pPr>
      <w:r>
        <w:rPr>
          <w:color w:val="52514E"/>
          <w:sz w:val="19"/>
        </w:rPr>
        <w:t xml:space="preserve">Recoverable buyer waiting, per month  </w:t>
      </w:r>
      <w:r>
        <w:rPr>
          <w:b/>
          <w:color w:val="2A78D6"/>
          <w:sz w:val="22"/>
        </w:rPr>
        <w:t>213M parcel-days</w:t>
      </w:r>
    </w:p>
    <w:p>
      <w:r>
        <w:rPr>
          <w:sz w:val="20"/>
        </w:rPr>
        <w:t>Counterfactual: every country × lane-class segment reaching the median segment's speed — not best-in-class, simply typical. The two island-crossing segments (Indonesia and Malaysia) account for roughly two thirds of the total.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4549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impact_sizi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54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60"/>
      </w:pPr>
      <w:r>
        <w:rPr>
          <w:b/>
          <w:color w:val="0B0B0B"/>
          <w:sz w:val="26"/>
        </w:rPr>
        <w:t>Recommended actions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  <w:sz w:val="19"/>
              </w:rPr>
              <w:t>Owner</w:t>
            </w:r>
          </w:p>
        </w:tc>
        <w:tc>
          <w:tcPr>
            <w:tcW w:type="dxa" w:w="3312"/>
          </w:tcPr>
          <w:p>
            <w:r>
              <w:rPr>
                <w:b/>
                <w:sz w:val="19"/>
              </w:rPr>
              <w:t>Action</w:t>
            </w:r>
          </w:p>
        </w:tc>
        <w:tc>
          <w:tcPr>
            <w:tcW w:type="dxa" w:w="3312"/>
          </w:tcPr>
          <w:p>
            <w:r>
              <w:rPr>
                <w:b/>
                <w:sz w:val="19"/>
              </w:rPr>
              <w:t>Horizon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Capacity &amp; Network Planning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Staff hubs and linehaul for a +2 day lag after each campaign, not on the campaign day itself.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This month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3PL Partner Management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Open a performance review with SiCepat on the lane-matched gap. Close the Pos Indonesia issue — its raw figure reflects geography, not execution.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This quarter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Operations Excellence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Treat Ninja Van as a reliability problem, not a speed one: focus on incident response and hub handover rather than average transit.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This month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Data Engineering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Fix region mapping. Unmapped rows are the slowest lanes in the network and are currently invisible on every regional dashboard.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This quarter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Seller Operations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No action required. Preparation time is consistent everywhere; this is evidence, not an oversight.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—</w:t>
            </w:r>
          </w:p>
        </w:tc>
      </w:tr>
    </w:tbl>
    <w:p>
      <w:pPr>
        <w:spacing w:before="200" w:after="60"/>
      </w:pPr>
      <w:r>
        <w:rPr>
          <w:b/>
          <w:color w:val="0B0B0B"/>
          <w:sz w:val="26"/>
        </w:rPr>
        <w:t>How to read these numbers</w:t>
      </w:r>
    </w:p>
    <w:p>
      <w:pPr>
        <w:pStyle w:val="ListBullet"/>
      </w:pPr>
      <w:r>
        <w:rPr>
          <w:color w:val="52514E"/>
          <w:sz w:val="18"/>
        </w:rPr>
        <w:t>61 rows were excluded from headline metrics: 29 carried zero parcels and 32 reported preparation time exceeding total waiting time, which is not physically possible and indicates a source-data fault.</w:t>
      </w:r>
    </w:p>
    <w:p>
      <w:pPr>
        <w:pStyle w:val="ListBullet"/>
      </w:pPr>
      <w:r>
        <w:rPr>
          <w:color w:val="52514E"/>
          <w:sz w:val="18"/>
        </w:rPr>
        <w:t>303 rows (3.52% of parcels) have an unmapped region. These were retained, not dropped: they are slower than mapped rows in 18 of 18 carrier-country pairs, so excluding them would understate national waiting time.</w:t>
      </w:r>
    </w:p>
    <w:p>
      <w:pPr>
        <w:pStyle w:val="ListBullet"/>
      </w:pPr>
      <w:r>
        <w:rPr>
          <w:color w:val="52514E"/>
          <w:sz w:val="18"/>
        </w:rPr>
        <w:t>All lanes in this dataset are domestic — there is no cross-border traffic to report on.</w:t>
      </w:r>
    </w:p>
    <w:p>
      <w:pPr>
        <w:pStyle w:val="ListBullet"/>
      </w:pPr>
      <w:r>
        <w:rPr>
          <w:color w:val="52514E"/>
          <w:sz w:val="18"/>
        </w:rPr>
        <w:t>One month covers roughly three campaign cycles. The lag finding is strong but rests on three events; a full quarter would be needed before committing headcount to it.</w:t>
      </w:r>
    </w:p>
    <w:p>
      <w:pPr>
        <w:spacing w:before="240"/>
      </w:pPr>
      <w:r>
        <w:rPr>
          <w:i/>
          <w:color w:val="52514E"/>
          <w:sz w:val="17"/>
        </w:rPr>
        <w:t>Generated automatically from the analysis pipeline on 2026-08-27. Narrative sections drafted by the routed language model and machine-verified against the computed fact pack: every figure above traces to a value in the source data.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