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4680"/>
        <w:gridCol w:w="4680"/>
      </w:tblGrid>
      <w:tr>
        <w:trPr>
          <w:trHeight w:hRule="exact" w:val="3168"/>
        </w:trPr>
        <w:tc>
          <w:tcPr>
            <w:tcW w:type="dxa" w:w="6756"/>
            <w:tcBorders>
              <w:bottom w:sz="24.0" w:val="single" w:color="#FFC452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38" w:after="0"/>
              <w:ind w:left="30" w:right="1584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FFFFFF"/>
                <w:sz w:val="72"/>
              </w:rPr>
              <w:t xml:space="preserve">Post-Fossil Fuel </w:t>
            </w:r>
            <w:r>
              <w:rPr>
                <w:rFonts w:ascii="Lato" w:hAnsi="Lato" w:eastAsia="Lato"/>
                <w:b/>
                <w:i w:val="0"/>
                <w:color w:val="FFFFFF"/>
                <w:sz w:val="72"/>
              </w:rPr>
              <w:t>Civilization</w:t>
            </w:r>
          </w:p>
        </w:tc>
        <w:tc>
          <w:tcPr>
            <w:tcW w:type="dxa" w:w="4290"/>
            <w:tcBorders>
              <w:bottom w:sz="24.0" w:val="single" w:color="#FFC452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34" w:after="0"/>
              <w:ind w:left="906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4F98A3"/>
                <w:sz w:val="20"/>
              </w:rPr>
              <w:t>WHITE PAPER</w:t>
            </w:r>
          </w:p>
          <w:p>
            <w:pPr>
              <w:autoSpaceDN w:val="0"/>
              <w:autoSpaceDE w:val="0"/>
              <w:widowControl/>
              <w:spacing w:line="199" w:lineRule="auto" w:before="402" w:after="0"/>
              <w:ind w:left="90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>April 2026</w:t>
            </w:r>
          </w:p>
          <w:p>
            <w:pPr>
              <w:autoSpaceDN w:val="0"/>
              <w:autoSpaceDE w:val="0"/>
              <w:widowControl/>
              <w:spacing w:line="199" w:lineRule="auto" w:before="250" w:after="0"/>
              <w:ind w:left="90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>TC-S Network Foundation, Inc.</w:t>
            </w:r>
          </w:p>
          <w:p>
            <w:pPr>
              <w:autoSpaceDN w:val="0"/>
              <w:autoSpaceDE w:val="0"/>
              <w:widowControl/>
              <w:spacing w:line="271" w:lineRule="auto" w:before="90" w:after="0"/>
              <w:ind w:left="906" w:right="1296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 xml:space="preserve">Global Basic Income &amp;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 xml:space="preserve">Digital Artifact Marketplace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>Platform Initiative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20.0" w:type="dxa"/>
      </w:tblPr>
      <w:tblGrid>
        <w:gridCol w:w="9360"/>
      </w:tblGrid>
      <w:tr>
        <w:trPr>
          <w:trHeight w:hRule="exact" w:val="276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398" w:firstLine="0"/>
              <w:jc w:val="right"/>
            </w:pP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>Author:</w:t>
            </w:r>
          </w:p>
        </w:tc>
      </w:tr>
    </w:tbl>
    <w:p>
      <w:pPr>
        <w:autoSpaceDN w:val="0"/>
        <w:autoSpaceDE w:val="0"/>
        <w:widowControl/>
        <w:spacing w:line="199" w:lineRule="auto" w:before="44" w:after="0"/>
        <w:ind w:left="0" w:right="1220" w:firstLine="0"/>
        <w:jc w:val="right"/>
      </w:pPr>
      <w:r>
        <w:rPr>
          <w:shd w:val="clear" w:color="auto" w:fill="1c1a18"/>
          <w:rFonts w:ascii="Lato" w:hAnsi="Lato" w:eastAsia="Lato"/>
          <w:b w:val="0"/>
          <w:i w:val="0"/>
          <w:color w:val="797876"/>
          <w:sz w:val="17"/>
        </w:rPr>
        <w:t>Research &amp; Strategy Division</w:t>
      </w:r>
    </w:p>
    <w:p>
      <w:pPr>
        <w:autoSpaceDN w:val="0"/>
        <w:tabs>
          <w:tab w:pos="8856" w:val="left"/>
        </w:tabs>
        <w:autoSpaceDE w:val="0"/>
        <w:widowControl/>
        <w:spacing w:line="245" w:lineRule="auto" w:before="164" w:after="126"/>
        <w:ind w:left="1224" w:right="1728" w:firstLine="0"/>
        <w:jc w:val="left"/>
      </w:pPr>
      <w:r>
        <w:rPr>
          <w:shd w:val="clear" w:color="auto" w:fill="01696e"/>
          <w:rFonts w:ascii="Lato" w:hAnsi="Lato" w:eastAsia="Lato"/>
          <w:b w:val="0"/>
          <w:i w:val="0"/>
          <w:color w:val="BCE2E7"/>
          <w:sz w:val="26"/>
        </w:rPr>
        <w:t xml:space="preserve">A Proof-of-Concept Architecture for </w:t>
      </w:r>
      <w:r>
        <w:tab/>
      </w:r>
      <w:r>
        <w:rPr>
          <w:rFonts w:ascii="Lato" w:hAnsi="Lato" w:eastAsia="Lato"/>
          <w:b w:val="0"/>
          <w:i w:val="0"/>
          <w:color w:val="797876"/>
          <w:sz w:val="17"/>
        </w:rPr>
        <w:t xml:space="preserve">Classification: </w:t>
      </w:r>
      <w:r>
        <w:rPr>
          <w:shd w:val="clear" w:color="auto" w:fill="01696e"/>
          <w:rFonts w:ascii="Lato" w:hAnsi="Lato" w:eastAsia="Lato"/>
          <w:b w:val="0"/>
          <w:i w:val="0"/>
          <w:color w:val="BCE2E7"/>
          <w:sz w:val="26"/>
        </w:rPr>
        <w:t xml:space="preserve">Mercury Orbit Space-Based Solar Power </w:t>
      </w:r>
      <w:r>
        <w:tab/>
      </w:r>
      <w:r>
        <w:rPr>
          <w:rFonts w:ascii="Lato" w:hAnsi="Lato" w:eastAsia="Lato"/>
          <w:b w:val="0"/>
          <w:i w:val="0"/>
          <w:color w:val="797876"/>
          <w:sz w:val="17"/>
        </w:rPr>
        <w:t>Public / Open Access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4680"/>
        <w:gridCol w:w="4680"/>
      </w:tblGrid>
      <w:tr>
        <w:trPr>
          <w:trHeight w:hRule="exact" w:val="224"/>
        </w:trPr>
        <w:tc>
          <w:tcPr>
            <w:tcW w:type="dxa" w:w="6726"/>
            <w:tcBorders>
              <w:bottom w:sz="12.0" w:val="single" w:color="#FFC452"/>
            </w:tcBorders>
            <w:shd w:fill="0c1116"/>
            <w:tcMar>
              <w:start w:w="0" w:type="dxa"/>
              <w:end w:w="0" w:type="dxa"/>
            </w:tcMar>
          </w:tcPr>
          <w:p/>
        </w:tc>
        <w:tc>
          <w:tcPr>
            <w:tcW w:type="dxa" w:w="4304"/>
            <w:tcBorders>
              <w:bottom w:sz="12.0" w:val="single" w:color="#FFC452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92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97876"/>
                <w:sz w:val="17"/>
              </w:rPr>
              <w:t>Version: 1.0</w:t>
            </w:r>
          </w:p>
        </w:tc>
      </w:tr>
      <w:tr>
        <w:trPr>
          <w:trHeight w:hRule="exact" w:val="1654"/>
        </w:trPr>
        <w:tc>
          <w:tcPr>
            <w:tcW w:type="dxa" w:w="6726"/>
            <w:tcBorders>
              <w:top w:sz="12.0" w:val="single" w:color="#FFC452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12" w:after="0"/>
              <w:ind w:left="14" w:right="432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9"/>
              </w:rPr>
              <w:t xml:space="preserve">Presenting a comprehensive systems analysis of next-generation solar </w:t>
            </w:r>
            <w:r>
              <w:rPr>
                <w:rFonts w:ascii="Lato" w:hAnsi="Lato" w:eastAsia="Lato"/>
                <w:b w:val="0"/>
                <w:i w:val="0"/>
                <w:color w:val="9A9997"/>
                <w:sz w:val="19"/>
              </w:rPr>
              <w:t xml:space="preserve">energy infrastructure: orbital mechanics at 0.387 AU, thin-film GaAs </w:t>
            </w:r>
            <w:r>
              <w:rPr>
                <w:rFonts w:ascii="Lato" w:hAnsi="Lato" w:eastAsia="Lato"/>
                <w:b w:val="0"/>
                <w:i w:val="0"/>
                <w:color w:val="9A9997"/>
                <w:sz w:val="19"/>
              </w:rPr>
              <w:t xml:space="preserve">&amp; perovskite-tandem PV advances, microwave power transmission, global </w:t>
            </w:r>
            <w:r>
              <w:rPr>
                <w:rFonts w:ascii="Lato" w:hAnsi="Lato" w:eastAsia="Lato"/>
                <w:b w:val="0"/>
                <w:i w:val="0"/>
                <w:color w:val="9A9997"/>
                <w:sz w:val="19"/>
              </w:rPr>
              <w:t>HVDC supergrid integration, and a 2030–2080 implementation roadmap.</w:t>
            </w:r>
          </w:p>
        </w:tc>
        <w:tc>
          <w:tcPr>
            <w:tcW w:type="dxa" w:w="4304"/>
            <w:tcBorders>
              <w:top w:sz="12.0" w:val="single" w:color="#FFC452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920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20808D"/>
                <w:sz w:val="17"/>
              </w:rPr>
              <w:t>SECTIONS</w:t>
            </w:r>
          </w:p>
          <w:p>
            <w:pPr>
              <w:autoSpaceDN w:val="0"/>
              <w:autoSpaceDE w:val="0"/>
              <w:widowControl/>
              <w:spacing w:line="293" w:lineRule="auto" w:before="158" w:after="0"/>
              <w:ind w:left="920" w:right="86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6"/>
              </w:rPr>
              <w:t xml:space="preserve">I.   Civilizational Energy Imperative </w:t>
            </w:r>
            <w:r>
              <w:rPr>
                <w:rFonts w:ascii="Lato" w:hAnsi="Lato" w:eastAsia="Lato"/>
                <w:b w:val="0"/>
                <w:i w:val="0"/>
                <w:color w:val="9A9997"/>
                <w:sz w:val="16"/>
              </w:rPr>
              <w:t xml:space="preserve">II.  Mercury as Energy Source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9A9997"/>
                <w:sz w:val="16"/>
              </w:rPr>
              <w:t xml:space="preserve">III. Collector Platform Design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9A9997"/>
                <w:sz w:val="16"/>
              </w:rPr>
              <w:t>IV.  Power Transmission Chain</w:t>
            </w:r>
          </w:p>
        </w:tc>
      </w:tr>
    </w:tbl>
    <w:p>
      <w:pPr>
        <w:autoSpaceDN w:val="0"/>
        <w:autoSpaceDE w:val="0"/>
        <w:widowControl/>
        <w:spacing w:line="293" w:lineRule="auto" w:before="50" w:after="50"/>
        <w:ind w:left="8856" w:right="1152" w:firstLine="0"/>
        <w:jc w:val="left"/>
      </w:pPr>
      <w:r>
        <w:rPr>
          <w:rFonts w:ascii="Lato" w:hAnsi="Lato" w:eastAsia="Lato"/>
          <w:b w:val="0"/>
          <w:i w:val="0"/>
          <w:color w:val="9A9997"/>
          <w:sz w:val="16"/>
        </w:rPr>
        <w:t xml:space="preserve">V.   Ground Infrastructure </w:t>
      </w:r>
      <w:r>
        <w:br/>
      </w:r>
      <w:r>
        <w:rPr>
          <w:rFonts w:ascii="Lato" w:hAnsi="Lato" w:eastAsia="Lato"/>
          <w:b w:val="0"/>
          <w:i w:val="0"/>
          <w:color w:val="9A9997"/>
          <w:sz w:val="16"/>
        </w:rPr>
        <w:t xml:space="preserve">VI.  Global Distribution Grid </w:t>
      </w:r>
      <w:r>
        <w:br/>
      </w:r>
      <w:r>
        <w:rPr>
          <w:rFonts w:ascii="Lato" w:hAnsi="Lato" w:eastAsia="Lato"/>
          <w:b w:val="0"/>
          <w:i w:val="0"/>
          <w:color w:val="9A9997"/>
          <w:sz w:val="16"/>
        </w:rPr>
        <w:t xml:space="preserve">VII. Implementation Roadmap </w:t>
      </w:r>
      <w:r>
        <w:br/>
      </w:r>
      <w:r>
        <w:rPr>
          <w:rFonts w:ascii="Lato" w:hAnsi="Lato" w:eastAsia="Lato"/>
          <w:b w:val="0"/>
          <w:i w:val="0"/>
          <w:color w:val="9A9997"/>
          <w:sz w:val="16"/>
        </w:rPr>
        <w:t>VIII.Economic &amp; Policy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0.0" w:type="dxa"/>
      </w:tblPr>
      <w:tblGrid>
        <w:gridCol w:w="9360"/>
      </w:tblGrid>
      <w:tr>
        <w:trPr>
          <w:trHeight w:hRule="exact" w:val="1930"/>
        </w:trPr>
        <w:tc>
          <w:tcPr>
            <w:tcW w:type="dxa" w:w="11010"/>
            <w:tcBorders>
              <w:bottom w:sz="8.0" w:val="single" w:color="#1F808C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370" w:firstLine="0"/>
              <w:jc w:val="righ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6"/>
              </w:rPr>
              <w:t>IX.  Conclusion &amp; Next Steps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270"/>
        </w:trPr>
        <w:tc>
          <w:tcPr>
            <w:tcW w:type="dxa" w:w="864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122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20808D"/>
                <w:sz w:val="15"/>
              </w:rPr>
              <w:t>KEY METRICS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0.0" w:type="dxa"/>
      </w:tblPr>
      <w:tblGrid>
        <w:gridCol w:w="2340"/>
        <w:gridCol w:w="2340"/>
        <w:gridCol w:w="2340"/>
        <w:gridCol w:w="2340"/>
      </w:tblGrid>
      <w:tr>
        <w:trPr>
          <w:trHeight w:hRule="exact" w:val="446"/>
        </w:trPr>
        <w:tc>
          <w:tcPr>
            <w:tcW w:type="dxa" w:w="171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4F98A3"/>
                <w:sz w:val="28"/>
              </w:rPr>
              <w:t>9,116 W/m²</w:t>
            </w:r>
          </w:p>
        </w:tc>
        <w:tc>
          <w:tcPr>
            <w:tcW w:type="dxa" w:w="170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18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4F98A3"/>
                <w:sz w:val="28"/>
              </w:rPr>
              <w:t>34.85%</w:t>
            </w:r>
          </w:p>
        </w:tc>
        <w:tc>
          <w:tcPr>
            <w:tcW w:type="dxa" w:w="190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16" w:firstLine="0"/>
              <w:jc w:val="right"/>
            </w:pPr>
            <w:r>
              <w:rPr>
                <w:rFonts w:ascii="Lato" w:hAnsi="Lato" w:eastAsia="Lato"/>
                <w:b/>
                <w:i w:val="0"/>
                <w:color w:val="4F98A3"/>
                <w:sz w:val="28"/>
              </w:rPr>
              <w:t>85.8%</w:t>
            </w:r>
          </w:p>
        </w:tc>
        <w:tc>
          <w:tcPr>
            <w:tcW w:type="dxa" w:w="2022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328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4F98A3"/>
                <w:sz w:val="28"/>
              </w:rPr>
              <w:t>~50 TW</w:t>
            </w:r>
          </w:p>
        </w:tc>
      </w:tr>
      <w:tr>
        <w:trPr>
          <w:trHeight w:hRule="exact" w:val="280"/>
        </w:trPr>
        <w:tc>
          <w:tcPr>
            <w:tcW w:type="dxa" w:w="171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Mean Solar Flux</w:t>
            </w:r>
          </w:p>
        </w:tc>
        <w:tc>
          <w:tcPr>
            <w:tcW w:type="dxa" w:w="170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1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Perovskite-Si</w:t>
            </w:r>
          </w:p>
        </w:tc>
        <w:tc>
          <w:tcPr>
            <w:tcW w:type="dxa" w:w="1900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0" w:right="290" w:firstLine="0"/>
              <w:jc w:val="righ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Microwave WPT</w:t>
            </w:r>
          </w:p>
        </w:tc>
        <w:tc>
          <w:tcPr>
            <w:tcW w:type="dxa" w:w="2022"/>
            <w:tcBorders/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32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Theoretical Swarm</w:t>
            </w:r>
          </w:p>
        </w:tc>
      </w:tr>
      <w:tr>
        <w:trPr>
          <w:trHeight w:hRule="exact" w:val="1648"/>
        </w:trPr>
        <w:tc>
          <w:tcPr>
            <w:tcW w:type="dxa" w:w="1710"/>
            <w:tcBorders>
              <w:bottom w:sz="8.0" w:val="single" w:color="#1F808C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at Mercury</w:t>
            </w:r>
          </w:p>
        </w:tc>
        <w:tc>
          <w:tcPr>
            <w:tcW w:type="dxa" w:w="1700"/>
            <w:tcBorders>
              <w:bottom w:sz="8.0" w:val="single" w:color="#1F808C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184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Tandem Record</w:t>
            </w:r>
          </w:p>
        </w:tc>
        <w:tc>
          <w:tcPr>
            <w:tcW w:type="dxa" w:w="1900"/>
            <w:tcBorders>
              <w:bottom w:sz="8.0" w:val="single" w:color="#1F808C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334" w:firstLine="0"/>
              <w:jc w:val="righ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Chain Efficiency</w:t>
            </w:r>
          </w:p>
        </w:tc>
        <w:tc>
          <w:tcPr>
            <w:tcW w:type="dxa" w:w="2022"/>
            <w:tcBorders>
              <w:bottom w:sz="8.0" w:val="single" w:color="#1F808C"/>
            </w:tcBorders>
            <w:shd w:fill="0c11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32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9A9997"/>
                <w:sz w:val="15"/>
              </w:rPr>
              <w:t>Capacity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588"/>
        </w:trPr>
        <w:tc>
          <w:tcPr>
            <w:tcW w:type="dxa" w:w="8640"/>
            <w:tcBorders/>
            <w:shd w:fill="0c111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640"/>
            </w:tblGrid>
            <w:tr>
              <w:trPr>
                <w:trHeight w:hRule="exact" w:val="4588"/>
              </w:trPr>
              <w:tc>
                <w:tcPr>
                  <w:tcW w:type="dxa" w:w="8640"/>
                  <w:tcBorders/>
                  <w:shd w:fill="0c4d5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912" w:after="0"/>
                    <w:ind w:left="1224" w:right="0" w:firstLine="0"/>
                    <w:jc w:val="left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5A5957"/>
                      <w:sz w:val="15"/>
                    </w:rPr>
                    <w:t>© 2026 TC-S Network Foundation, Inc.  |  Released under Creative Commons CC-BY 4.0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EXECUTIVE SUMMARY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Executive Summary</w:t>
      </w:r>
    </w:p>
    <w:p>
      <w:pPr>
        <w:autoSpaceDN w:val="0"/>
        <w:autoSpaceDE w:val="0"/>
        <w:widowControl/>
        <w:spacing w:line="302" w:lineRule="auto" w:before="412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Humanity stands at a civilizational inflection point. Global CO₂ emissions reached a record high in 2024 </w:t>
      </w:r>
      <w:r>
        <w:rPr>
          <w:rFonts w:ascii="Lato" w:hAnsi="Lato" w:eastAsia="Lato"/>
          <w:b w:val="0"/>
          <w:i w:val="0"/>
          <w:color w:val="28251D"/>
          <w:sz w:val="21"/>
        </w:rPr>
        <w:t>even as renewable energy investment surpassed $2 trillion for the first time.</w:t>
      </w:r>
      <w:r>
        <w:rPr>
          <w:rFonts w:ascii="Lato" w:hAnsi="Lato" w:eastAsia="Lato"/>
          <w:b w:val="0"/>
          <w:i w:val="0"/>
          <w:color w:val="28251D"/>
          <w:sz w:val="17"/>
        </w:rPr>
        <w:t>1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 Renewables — led by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wind and solar — now account for 34.3% of global electricity, with solar surging 31% year-over-year to </w:t>
      </w:r>
      <w:r>
        <w:rPr>
          <w:rFonts w:ascii="Lato" w:hAnsi="Lato" w:eastAsia="Lato"/>
          <w:b w:val="0"/>
          <w:i w:val="0"/>
          <w:color w:val="28251D"/>
          <w:sz w:val="21"/>
        </w:rPr>
        <w:t>overtake coal in H1 2025.</w:t>
      </w:r>
      <w:r>
        <w:rPr>
          <w:rFonts w:ascii="Lato" w:hAnsi="Lato" w:eastAsia="Lato"/>
          <w:b w:val="0"/>
          <w:i w:val="0"/>
          <w:color w:val="28251D"/>
          <w:sz w:val="17"/>
        </w:rPr>
        <w:t>2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 Yet terrestrial renewables face fundamental constraints: land use, weather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intermittency, diurnal cycles, and transmission losses from remote generation sites. A post-fossil-fuel </w:t>
      </w:r>
      <w:r>
        <w:rPr>
          <w:rFonts w:ascii="Lato" w:hAnsi="Lato" w:eastAsia="Lato"/>
          <w:b w:val="0"/>
          <w:i w:val="0"/>
          <w:color w:val="28251D"/>
          <w:sz w:val="21"/>
        </w:rPr>
        <w:t>civilization requires not an incremental improvement but a qualitative leap in the architecture of energy.</w:t>
      </w:r>
    </w:p>
    <w:p>
      <w:pPr>
        <w:autoSpaceDN w:val="0"/>
        <w:autoSpaceDE w:val="0"/>
        <w:widowControl/>
        <w:spacing w:line="307" w:lineRule="auto" w:before="250" w:after="202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This white paper presents a comprehensive systems architecture for Space-Based Solar Power (SBSP)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collected in Mercury orbit — a paradigm that exploits the inverse-square law of solar irradiance to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access energy flux of 6,272–14,448 W/m² (vs. 1,361 W/m² at Earth), transmitted via microwave to a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planetary network of ground receivers and a global HVDC supergrid. The proposal integrates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breakthrough thin-film PV advances (perovskite-silicon tandems reaching 34.85% certified efficiency in </w:t>
      </w:r>
      <w:r>
        <w:rPr>
          <w:rFonts w:ascii="Lato" w:hAnsi="Lato" w:eastAsia="Lato"/>
          <w:b w:val="0"/>
          <w:i w:val="0"/>
          <w:color w:val="28251D"/>
          <w:sz w:val="21"/>
        </w:rPr>
        <w:t>2025</w:t>
      </w:r>
      <w:r>
        <w:rPr>
          <w:rFonts w:ascii="Lato" w:hAnsi="Lato" w:eastAsia="Lato"/>
          <w:b w:val="0"/>
          <w:i w:val="0"/>
          <w:color w:val="28251D"/>
          <w:sz w:val="17"/>
        </w:rPr>
        <w:t>3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), validated microwave WPT chain efficiencies (NASA/Rodenbeck et al. baseline), and orbital </w:t>
      </w:r>
      <w:r>
        <w:rPr>
          <w:rFonts w:ascii="Lato" w:hAnsi="Lato" w:eastAsia="Lato"/>
          <w:b w:val="0"/>
          <w:i w:val="0"/>
          <w:color w:val="28251D"/>
          <w:sz w:val="21"/>
        </w:rPr>
        <w:t>mechanics derived from Mercury's known parameters (a = 0.387 AU, e = 0.206, T = 87.97 days).</w:t>
      </w:r>
      <w:r>
        <w:rPr>
          <w:rFonts w:ascii="Lato" w:hAnsi="Lato" w:eastAsia="Lato"/>
          <w:b w:val="0"/>
          <w:i w:val="0"/>
          <w:color w:val="28251D"/>
          <w:sz w:val="17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2340"/>
        <w:gridCol w:w="2340"/>
        <w:gridCol w:w="2340"/>
        <w:gridCol w:w="2340"/>
      </w:tblGrid>
      <w:tr>
        <w:trPr>
          <w:trHeight w:hRule="exact" w:val="1760"/>
        </w:trPr>
        <w:tc>
          <w:tcPr>
            <w:tcW w:type="dxa" w:w="2450"/>
            <w:tcBorders>
              <w:start w:sz="4.0" w:val="single" w:color="#D4D1CA"/>
              <w:top w:sz="4.0" w:val="single" w:color="#D4D1CA"/>
              <w:end w:sz="2.4000000953674316" w:val="single" w:color="#D4D1CA"/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144" w:right="144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1696F"/>
                <w:sz w:val="44"/>
              </w:rPr>
              <w:t xml:space="preserve">9,116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0808D"/>
                <w:sz w:val="16"/>
              </w:rPr>
              <w:t xml:space="preserve">W/m² average irradiance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7A7974"/>
                <w:sz w:val="17"/>
              </w:rPr>
              <w:t>Mean Solar Flux at Mercury</w:t>
            </w:r>
          </w:p>
        </w:tc>
        <w:tc>
          <w:tcPr>
            <w:tcW w:type="dxa" w:w="2446"/>
            <w:tcBorders>
              <w:start w:sz="2.4000000953674316" w:val="single" w:color="#D4D1CA"/>
              <w:top w:sz="4.0" w:val="single" w:color="#D4D1CA"/>
              <w:end w:sz="2.4000000953674316" w:val="single" w:color="#D4D1CA"/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24" w:after="0"/>
              <w:ind w:left="144" w:right="144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1696F"/>
                <w:sz w:val="44"/>
              </w:rPr>
              <w:t xml:space="preserve">34.85%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0808D"/>
                <w:sz w:val="16"/>
              </w:rPr>
              <w:t xml:space="preserve">Perovskite-Si Tandem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0808D"/>
                <w:sz w:val="16"/>
              </w:rPr>
              <w:t xml:space="preserve">(LONGi)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7A7974"/>
                <w:sz w:val="17"/>
              </w:rPr>
              <w:t>2025 PV Efficiency Record</w:t>
            </w:r>
          </w:p>
        </w:tc>
        <w:tc>
          <w:tcPr>
            <w:tcW w:type="dxa" w:w="2448"/>
            <w:tcBorders>
              <w:start w:sz="2.4000000953674316" w:val="single" w:color="#D4D1CA"/>
              <w:top w:sz="4.0" w:val="single" w:color="#D4D1CA"/>
              <w:end w:sz="2.4000000953674316" w:val="single" w:color="#D4D1CA"/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144" w:right="144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1696F"/>
                <w:sz w:val="44"/>
              </w:rPr>
              <w:t xml:space="preserve">~13%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0808D"/>
                <w:sz w:val="16"/>
              </w:rPr>
              <w:t xml:space="preserve">Incident solar → grid delivery </w:t>
            </w:r>
            <w:r>
              <w:rPr>
                <w:rFonts w:ascii="Lato" w:hAnsi="Lato" w:eastAsia="Lato"/>
                <w:b w:val="0"/>
                <w:i w:val="0"/>
                <w:color w:val="7A7974"/>
                <w:sz w:val="17"/>
              </w:rPr>
              <w:t>Net WPT Chain Efficiency</w:t>
            </w:r>
          </w:p>
        </w:tc>
        <w:tc>
          <w:tcPr>
            <w:tcW w:type="dxa" w:w="2448"/>
            <w:tcBorders>
              <w:start w:sz="2.4000000953674316" w:val="single" w:color="#D4D1CA"/>
              <w:top w:sz="4.0" w:val="single" w:color="#D4D1CA"/>
              <w:end w:sz="4.0" w:val="single" w:color="#D4D1CA"/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4" w:after="0"/>
              <w:ind w:left="144" w:right="144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01696F"/>
                <w:sz w:val="44"/>
              </w:rPr>
              <w:t xml:space="preserve">$10.7B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0808D"/>
                <w:sz w:val="16"/>
              </w:rPr>
              <w:t xml:space="preserve">CAGR from $3.46B in 2025 </w:t>
            </w:r>
            <w:r>
              <w:rPr>
                <w:rFonts w:ascii="Lato" w:hAnsi="Lato" w:eastAsia="Lato"/>
                <w:b w:val="0"/>
                <w:i w:val="0"/>
                <w:color w:val="7A7974"/>
                <w:sz w:val="17"/>
              </w:rPr>
              <w:t>SBSP Market by 2035</w:t>
            </w:r>
          </w:p>
        </w:tc>
      </w:tr>
    </w:tbl>
    <w:p>
      <w:pPr>
        <w:autoSpaceDN w:val="0"/>
        <w:autoSpaceDE w:val="0"/>
        <w:widowControl/>
        <w:spacing w:line="300" w:lineRule="auto" w:before="318" w:after="202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analysis proceeds in nine sections: the civilizational energy imperative; Mercury as an energy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source; collector platform proof-of-concept design; the microwave power transmission chain; ground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receiver infrastructure; global HVDC distribution architecture; a phased 2030–2080 implementation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roadmap; economic and policy analysis; and a conclusion with recommended next steps for research </w:t>
      </w:r>
      <w:r>
        <w:rPr>
          <w:rFonts w:ascii="Lato" w:hAnsi="Lato" w:eastAsia="Lato"/>
          <w:b w:val="0"/>
          <w:i w:val="0"/>
          <w:color w:val="28251D"/>
          <w:sz w:val="21"/>
        </w:rPr>
        <w:t>institutions, governments, and private actors.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9360"/>
      </w:tblGrid>
      <w:tr>
        <w:trPr>
          <w:trHeight w:hRule="exact" w:val="2100"/>
        </w:trPr>
        <w:tc>
          <w:tcPr>
            <w:tcW w:type="dxa" w:w="9792"/>
            <w:tcBorders>
              <w:start w:sz="6.400000095367432" w:val="single" w:color="#01696E"/>
              <w:top w:sz="6.400000095367432" w:val="single" w:color="#01696E"/>
              <w:end w:sz="6.400000095367432" w:val="single" w:color="#01696E"/>
              <w:bottom w:sz="6.400000095367432" w:val="single" w:color="#01696E"/>
            </w:tcBorders>
            <w:shd w:fill="ed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32" w:after="0"/>
              <w:ind w:left="552" w:right="548" w:firstLine="0"/>
              <w:jc w:val="both"/>
            </w:pP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Key Finding: Under optimistic but physically achievable assumptions — 37% GaAs thin-film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PV efficiency, 2.45 GHz microwave transmission, and ultra-low-cost launch via reusable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heavy-lift vehicles — a Mercury collector swarm of ~40,000 modular platforms could supply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the equivalent of 100% of projected 2060 global electricity demand at a levelized cost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>competitive with terrestrial utility-scale solar by mid-century.</w:t>
            </w:r>
          </w:p>
        </w:tc>
      </w:tr>
    </w:tbl>
    <w:p>
      <w:pPr>
        <w:autoSpaceDN w:val="0"/>
        <w:autoSpaceDE w:val="0"/>
        <w:widowControl/>
        <w:spacing w:line="199" w:lineRule="auto" w:before="1234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2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329" w:lineRule="auto" w:before="984" w:after="0"/>
        <w:ind w:left="1344" w:right="1296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1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IEA, World Energy Outlook 2024; $2T clean energy investment milestone.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9" w:history="1">
          <w:r>
            <w:rPr>
              <w:rStyle w:val="Hyperlink"/>
            </w:rPr>
            <w:t xml:space="preserve">https://www.iea.org/reports/world-energy-outlook-2024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2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Ember Global Electricity Review H1 2025 — renewables surpass coal.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0" w:history="1">
          <w:r>
            <w:rPr>
              <w:rStyle w:val="Hyperlink"/>
            </w:rPr>
            <w:t xml:space="preserve">https://ember-energy.org/latest-insights/global-electricity-review-2025/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3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LONGi Solar perovskite-Si tandem 34.85% (NREL certified, April 2025).</w:t>
      </w:r>
    </w:p>
    <w:p>
      <w:pPr>
        <w:autoSpaceDN w:val="0"/>
        <w:autoSpaceDE w:val="0"/>
        <w:widowControl/>
        <w:spacing w:line="281" w:lineRule="auto" w:before="80" w:after="0"/>
        <w:ind w:left="1344" w:right="3600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11" w:history="1">
          <w:r>
            <w:rPr>
              <w:rStyle w:val="Hyperlink"/>
            </w:rPr>
            <w:t xml:space="preserve">https://www.fluxim.com/research-blogs/perovskite-silicon-tandem-pv-record-updates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4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Mercury orbital parameters: Wikipedia / IAU / JPL Horizons.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2" w:history="1">
          <w:r>
            <w:rPr>
              <w:rStyle w:val="Hyperlink"/>
            </w:rPr>
            <w:t>https://en.wikipedia.org/wiki/Mercury_(planet)</w:t>
          </w:r>
        </w:hyperlink>
      </w:r>
    </w:p>
    <w:p>
      <w:pPr>
        <w:autoSpaceDN w:val="0"/>
        <w:autoSpaceDE w:val="0"/>
        <w:widowControl/>
        <w:spacing w:line="199" w:lineRule="auto" w:before="1219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3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I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I. The Civilizational Energy Imperative</w:t>
      </w:r>
    </w:p>
    <w:p>
      <w:pPr>
        <w:autoSpaceDN w:val="0"/>
        <w:autoSpaceDE w:val="0"/>
        <w:widowControl/>
        <w:spacing w:line="302" w:lineRule="auto" w:before="412" w:after="0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Every major civilizational transition in human history has been predicated on an energy transition: from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biomass to coal, from coal to petroleum, and from petroleum to the distributed electricity systems now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emerging. The transition now underway is unique in its urgency and its physics: the atmosphere's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carbon budget for a 1.5°C outcome is already nearly exhausted, and the scale of energy required by a </w:t>
      </w:r>
      <w:r>
        <w:rPr>
          <w:rFonts w:ascii="Lato" w:hAnsi="Lato" w:eastAsia="Lato"/>
          <w:b w:val="0"/>
          <w:i w:val="0"/>
          <w:color w:val="28251D"/>
          <w:sz w:val="21"/>
        </w:rPr>
        <w:t>fully electrified civilization of 10 billion people in 2050 is estimated at 50,000–65,000 TWh per year —</w:t>
      </w:r>
      <w:r>
        <w:rPr>
          <w:rFonts w:ascii="Lato" w:hAnsi="Lato" w:eastAsia="Lato"/>
          <w:b w:val="0"/>
          <w:i w:val="0"/>
          <w:color w:val="28251D"/>
          <w:sz w:val="21"/>
        </w:rPr>
        <w:t>more than double current generation.</w:t>
      </w:r>
      <w:r>
        <w:rPr>
          <w:rFonts w:ascii="Lato" w:hAnsi="Lato" w:eastAsia="Lato"/>
          <w:b w:val="0"/>
          <w:i w:val="0"/>
          <w:color w:val="28251D"/>
          <w:sz w:val="17"/>
        </w:rPr>
        <w:t>5</w:t>
      </w:r>
    </w:p>
    <w:p>
      <w:pPr>
        <w:autoSpaceDN w:val="0"/>
        <w:autoSpaceDE w:val="0"/>
        <w:widowControl/>
        <w:spacing w:line="199" w:lineRule="auto" w:before="504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The Limits of Terrestrial Renewables</w:t>
      </w:r>
    </w:p>
    <w:p>
      <w:pPr>
        <w:autoSpaceDN w:val="0"/>
        <w:autoSpaceDE w:val="0"/>
        <w:widowControl/>
        <w:spacing w:line="302" w:lineRule="auto" w:before="226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Solar and wind remain the lowest-cost sources of new electricity in most markets. Yet their fundamental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intermittency imposes system-level costs invisible in the LCOE: storage, backup generation, grid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balancing, and the geographic mismatch between resource and demand. Even the most ambitious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terrestrial scenarios require 11,000 GW of renewable capacity by 2030 — three times current installed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capacity — demanding over 950 GW of new additions per year, roughly 60% above the record 562 GW </w:t>
      </w:r>
      <w:r>
        <w:rPr>
          <w:rFonts w:ascii="Lato" w:hAnsi="Lato" w:eastAsia="Lato"/>
          <w:b w:val="0"/>
          <w:i w:val="0"/>
          <w:color w:val="28251D"/>
          <w:sz w:val="21"/>
        </w:rPr>
        <w:t>added in 2023.</w:t>
      </w:r>
      <w:r>
        <w:rPr>
          <w:rFonts w:ascii="Lato" w:hAnsi="Lato" w:eastAsia="Lato"/>
          <w:b w:val="0"/>
          <w:i w:val="0"/>
          <w:color w:val="28251D"/>
          <w:sz w:val="17"/>
        </w:rPr>
        <w:t>6</w:t>
      </w:r>
    </w:p>
    <w:p>
      <w:pPr>
        <w:autoSpaceDN w:val="0"/>
        <w:autoSpaceDE w:val="0"/>
        <w:widowControl/>
        <w:spacing w:line="293" w:lineRule="auto" w:before="250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Space-based solar power bypasses these constraints entirely: it is available 24 hours per day, 365 days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per year, with no seasonal variation or cloud cover attenuation, and can be directed to any point on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Earth's surface via beam steering. In Mercury orbit, the solar resource is 6.6–10.6 times more intense </w:t>
      </w:r>
      <w:r>
        <w:rPr>
          <w:rFonts w:ascii="Lato" w:hAnsi="Lato" w:eastAsia="Lato"/>
          <w:b w:val="0"/>
          <w:i w:val="0"/>
          <w:color w:val="28251D"/>
          <w:sz w:val="21"/>
        </w:rPr>
        <w:t>than at Earth, unlocking energy collection at scales that dwarf any plausible terrestrial deployment.</w:t>
      </w:r>
    </w:p>
    <w:p>
      <w:pPr>
        <w:autoSpaceDN w:val="0"/>
        <w:autoSpaceDE w:val="0"/>
        <w:widowControl/>
        <w:spacing w:line="199" w:lineRule="auto" w:before="504" w:after="182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Global Energy Context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2340"/>
        <w:gridCol w:w="2340"/>
        <w:gridCol w:w="2340"/>
        <w:gridCol w:w="2340"/>
      </w:tblGrid>
      <w:tr>
        <w:trPr>
          <w:trHeight w:hRule="exact" w:val="500"/>
        </w:trPr>
        <w:tc>
          <w:tcPr>
            <w:tcW w:type="dxa" w:w="331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2024 Value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2050 Projection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rPr>
          <w:trHeight w:hRule="exact" w:val="500"/>
        </w:trPr>
        <w:tc>
          <w:tcPr>
            <w:tcW w:type="dxa" w:w="331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Global electricity demand</w:t>
            </w:r>
          </w:p>
        </w:tc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29,000 TWh/yr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50,000–65,000 TWh/yr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RFF/BNEF 2025</w:t>
            </w:r>
          </w:p>
        </w:tc>
      </w:tr>
      <w:tr>
        <w:trPr>
          <w:trHeight w:hRule="exact" w:val="500"/>
        </w:trPr>
        <w:tc>
          <w:tcPr>
            <w:tcW w:type="dxa" w:w="331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3312"/>
            </w:tblGrid>
            <w:tr>
              <w:trPr>
                <w:trHeight w:hRule="exact" w:val="480"/>
              </w:trPr>
              <w:tc>
                <w:tcPr>
                  <w:tcW w:type="dxa" w:w="2936"/>
                  <w:tcBorders/>
                  <w:shd w:fill="f6f6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56" w:after="0"/>
                    <w:ind w:left="140" w:right="0" w:firstLine="0"/>
                    <w:jc w:val="left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28251D"/>
                      <w:sz w:val="18"/>
                    </w:rPr>
                    <w:t>Renewable share of generation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34.3%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50–74% (all scenarios)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Ember 2025</w:t>
            </w:r>
          </w:p>
        </w:tc>
      </w:tr>
      <w:tr>
        <w:trPr>
          <w:trHeight w:hRule="exact" w:val="760"/>
        </w:trPr>
        <w:tc>
          <w:tcPr>
            <w:tcW w:type="dxa" w:w="331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Solar installed capacity growth</w:t>
            </w:r>
          </w:p>
        </w:tc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288" w:right="288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562 GW added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(2023)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≥950 GW/yr required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IEA NZE</w:t>
            </w:r>
          </w:p>
        </w:tc>
      </w:tr>
      <w:tr>
        <w:trPr>
          <w:trHeight w:hRule="exact" w:val="500"/>
        </w:trPr>
        <w:tc>
          <w:tcPr>
            <w:tcW w:type="dxa" w:w="331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3312"/>
            </w:tblGrid>
            <w:tr>
              <w:trPr>
                <w:trHeight w:hRule="exact" w:val="480"/>
              </w:trPr>
              <w:tc>
                <w:tcPr>
                  <w:tcW w:type="dxa" w:w="2696"/>
                  <w:tcBorders/>
                  <w:shd w:fill="f6f6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56" w:after="0"/>
                    <w:ind w:left="140" w:right="0" w:firstLine="0"/>
                    <w:jc w:val="left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28251D"/>
                      <w:sz w:val="18"/>
                    </w:rPr>
                    <w:t>Clean energy investment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$2.0 trillion (2024)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$4–6 trillion/yr needed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IEA WEO 2024</w:t>
            </w:r>
          </w:p>
        </w:tc>
      </w:tr>
      <w:tr>
        <w:trPr>
          <w:trHeight w:hRule="exact" w:val="500"/>
        </w:trPr>
        <w:tc>
          <w:tcPr>
            <w:tcW w:type="dxa" w:w="331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CO₂ emissions trajectory</w:t>
            </w:r>
          </w:p>
        </w:tc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Record high 2024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Net zero by 2050 (NZE)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IEA</w:t>
            </w:r>
          </w:p>
        </w:tc>
      </w:tr>
    </w:tbl>
    <w:p>
      <w:pPr>
        <w:autoSpaceDN w:val="0"/>
        <w:autoSpaceDE w:val="0"/>
        <w:widowControl/>
        <w:spacing w:line="199" w:lineRule="auto" w:before="127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4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2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>Table 1. Global energy context 2024–2050 — demand, capacity, and investment trajectories.</w:t>
      </w:r>
    </w:p>
    <w:p>
      <w:pPr>
        <w:autoSpaceDN w:val="0"/>
        <w:autoSpaceDE w:val="0"/>
        <w:widowControl/>
        <w:spacing w:line="269" w:lineRule="auto" w:before="414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5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Resources for the Future, Global Energy Outlook 2025.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3" w:history="1">
          <w:r>
            <w:rPr>
              <w:rStyle w:val="Hyperlink"/>
            </w:rPr>
            <w:t>https://www.rff.org/publications/reports/global-energy-outlook-2025/</w:t>
          </w:r>
        </w:hyperlink>
      </w:r>
    </w:p>
    <w:p>
      <w:pPr>
        <w:autoSpaceDN w:val="0"/>
        <w:autoSpaceDE w:val="0"/>
        <w:widowControl/>
        <w:spacing w:line="269" w:lineRule="auto" w:before="68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6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IEA, Renewable Capacity Statistics 2024; 562 GW record addition.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4" w:history="1">
          <w:r>
            <w:rPr>
              <w:rStyle w:val="Hyperlink"/>
            </w:rPr>
            <w:t>https://www.iea.org/reports/renewables-2023</w:t>
          </w:r>
        </w:hyperlink>
      </w:r>
    </w:p>
    <w:p>
      <w:pPr>
        <w:autoSpaceDN w:val="0"/>
        <w:autoSpaceDE w:val="0"/>
        <w:widowControl/>
        <w:spacing w:line="199" w:lineRule="auto" w:before="1234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5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II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II. Mercury as Energy Source: Orbital Physics</w:t>
      </w:r>
    </w:p>
    <w:p>
      <w:pPr>
        <w:autoSpaceDN w:val="0"/>
        <w:autoSpaceDE w:val="0"/>
        <w:widowControl/>
        <w:spacing w:line="293" w:lineRule="auto" w:before="412" w:after="206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Mercury occupies the innermost orbit of the solar system with a semi-major axis of 0.387 AU and </w:t>
      </w:r>
      <w:r>
        <w:rPr>
          <w:rFonts w:ascii="Lato" w:hAnsi="Lato" w:eastAsia="Lato"/>
          <w:b w:val="0"/>
          <w:i w:val="0"/>
          <w:color w:val="28251D"/>
          <w:sz w:val="21"/>
        </w:rPr>
        <w:t>eccentricity of 0.206 — the highest of any planet.</w:t>
      </w:r>
      <w:r>
        <w:rPr>
          <w:rFonts w:ascii="Lato" w:hAnsi="Lato" w:eastAsia="Lato"/>
          <w:b w:val="0"/>
          <w:i w:val="0"/>
          <w:color w:val="28251D"/>
          <w:sz w:val="17"/>
        </w:rPr>
        <w:t>7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 The solar irradiance at any heliocentric distance r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follows the inverse-square law: S(r) = S₀ / r², where S₀ = 1,361 W/m² is the solar constant at 1 AU. At </w:t>
      </w:r>
      <w:r>
        <w:rPr>
          <w:rFonts w:ascii="Lato" w:hAnsi="Lato" w:eastAsia="Lato"/>
          <w:b w:val="0"/>
          <w:i w:val="0"/>
          <w:color w:val="28251D"/>
          <w:sz w:val="21"/>
        </w:rPr>
        <w:t>Mercury, this yields: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6.0" w:type="dxa"/>
      </w:tblPr>
      <w:tblGrid>
        <w:gridCol w:w="2340"/>
        <w:gridCol w:w="2340"/>
        <w:gridCol w:w="2340"/>
        <w:gridCol w:w="2340"/>
      </w:tblGrid>
      <w:tr>
        <w:trPr>
          <w:trHeight w:hRule="exact" w:val="540"/>
        </w:trPr>
        <w:tc>
          <w:tcPr>
            <w:tcW w:type="dxa" w:w="288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c4d5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Orbital Position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c4d5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Distance (AU)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c4d5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Solar Irradiance (W/m²)</w:t>
            </w:r>
          </w:p>
        </w:tc>
        <w:tc>
          <w:tcPr>
            <w:tcW w:type="dxa" w:w="230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c4d5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Multiplier vs. Earth</w:t>
            </w:r>
          </w:p>
        </w:tc>
      </w:tr>
      <w:tr>
        <w:trPr>
          <w:trHeight w:hRule="exact" w:val="540"/>
        </w:trPr>
        <w:tc>
          <w:tcPr>
            <w:tcW w:type="dxa" w:w="288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Earth (reference)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1.000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1,361</w:t>
            </w:r>
          </w:p>
        </w:tc>
        <w:tc>
          <w:tcPr>
            <w:tcW w:type="dxa" w:w="230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1.0×</w:t>
            </w:r>
          </w:p>
        </w:tc>
      </w:tr>
      <w:tr>
        <w:trPr>
          <w:trHeight w:hRule="exact" w:val="540"/>
        </w:trPr>
        <w:tc>
          <w:tcPr>
            <w:tcW w:type="dxa" w:w="288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Mercury — Aphelion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0.4667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6,272</w:t>
            </w:r>
          </w:p>
        </w:tc>
        <w:tc>
          <w:tcPr>
            <w:tcW w:type="dxa" w:w="230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4.6×</w:t>
            </w:r>
          </w:p>
        </w:tc>
      </w:tr>
      <w:tr>
        <w:trPr>
          <w:trHeight w:hRule="exact" w:val="540"/>
        </w:trPr>
        <w:tc>
          <w:tcPr>
            <w:tcW w:type="dxa" w:w="288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Mercury — Mean Orbit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0.3871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9,116</w:t>
            </w:r>
          </w:p>
        </w:tc>
        <w:tc>
          <w:tcPr>
            <w:tcW w:type="dxa" w:w="230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6.7×</w:t>
            </w:r>
          </w:p>
        </w:tc>
      </w:tr>
      <w:tr>
        <w:trPr>
          <w:trHeight w:hRule="exact" w:val="540"/>
        </w:trPr>
        <w:tc>
          <w:tcPr>
            <w:tcW w:type="dxa" w:w="288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13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Mercury — Perihelion</w:t>
            </w:r>
          </w:p>
        </w:tc>
        <w:tc>
          <w:tcPr>
            <w:tcW w:type="dxa" w:w="18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0.3075</w:t>
            </w:r>
          </w:p>
        </w:tc>
        <w:tc>
          <w:tcPr>
            <w:tcW w:type="dxa" w:w="259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14,448</w:t>
            </w:r>
          </w:p>
        </w:tc>
        <w:tc>
          <w:tcPr>
            <w:tcW w:type="dxa" w:w="230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10.6×</w:t>
            </w:r>
          </w:p>
        </w:tc>
      </w:tr>
    </w:tbl>
    <w:p>
      <w:pPr>
        <w:autoSpaceDN w:val="0"/>
        <w:autoSpaceDE w:val="0"/>
        <w:widowControl/>
        <w:spacing w:line="199" w:lineRule="auto" w:before="11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>Table 2. Solar irradiance at Mercury orbital positions vs. Earth (ESA BepiColombo Environmental Specification).</w:t>
      </w:r>
    </w:p>
    <w:p>
      <w:pPr>
        <w:autoSpaceDN w:val="0"/>
        <w:autoSpaceDE w:val="0"/>
        <w:widowControl/>
        <w:spacing w:line="199" w:lineRule="auto" w:before="739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6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240" w:lineRule="auto" w:before="9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1127760</wp:posOffset>
            </wp:positionV>
            <wp:extent cx="6217920" cy="37071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1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114" w:after="0"/>
        <w:ind w:left="1296" w:right="1296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>Figure 1. Solar irradiance as a function of heliocentric distance. Mercury's orbital range (0.307–0.467 AU) provides 4.6–10.6×</w:t>
      </w:r>
      <w:r>
        <w:rPr>
          <w:rFonts w:ascii="Lato" w:hAnsi="Lato" w:eastAsia="Lato"/>
          <w:b w:val="0"/>
          <w:i w:val="0"/>
          <w:color w:val="7A7974"/>
          <w:sz w:val="17"/>
        </w:rPr>
        <w:t>the solar energy density available at Earth's orbit. The shaded band shows the orbital excursion of a Mercury-orbit SBSP swarm.</w:t>
      </w:r>
    </w:p>
    <w:p>
      <w:pPr>
        <w:autoSpaceDN w:val="0"/>
        <w:autoSpaceDE w:val="0"/>
        <w:widowControl/>
        <w:spacing w:line="199" w:lineRule="auto" w:before="9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>Source: ESA BepiColombo Environmental Specification; solar constant from PMC/Living Reviews in Solar Physics 2025.</w:t>
      </w:r>
    </w:p>
    <w:p>
      <w:pPr>
        <w:autoSpaceDN w:val="0"/>
        <w:autoSpaceDE w:val="0"/>
        <w:widowControl/>
        <w:spacing w:line="199" w:lineRule="auto" w:before="470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Orbital Mechanics Considerations</w:t>
      </w:r>
    </w:p>
    <w:p>
      <w:pPr>
        <w:autoSpaceDN w:val="0"/>
        <w:autoSpaceDE w:val="0"/>
        <w:widowControl/>
        <w:spacing w:line="300" w:lineRule="auto" w:before="226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Mercury's orbital period is 87.97 Earth days, with a sidereal rotation of 58.65 days (3:2 spin-orbit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resonance). A collector swarm stationed slightly above Mercury's orbital distance in a heliocentric orbit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would follow Keplerian dynamics with its own period. The critical design choice is whether the swarm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co-orbits with Mercury (sharing its orbital parameters) or occupies a separate heliocentric ring. Each </w:t>
      </w:r>
      <w:r>
        <w:rPr>
          <w:rFonts w:ascii="Lato" w:hAnsi="Lato" w:eastAsia="Lato"/>
          <w:b w:val="0"/>
          <w:i w:val="0"/>
          <w:color w:val="28251D"/>
          <w:sz w:val="21"/>
        </w:rPr>
        <w:t>approach presents distinct trade-offs:</w:t>
      </w:r>
    </w:p>
    <w:p>
      <w:pPr>
        <w:autoSpaceDN w:val="0"/>
        <w:autoSpaceDE w:val="0"/>
        <w:widowControl/>
        <w:spacing w:line="283" w:lineRule="auto" w:before="250" w:after="0"/>
        <w:ind w:left="1704" w:right="1296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Co-orbital Mercury-trailing swarm: Benefits from gravitational shepherding, natural clustering, and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shared trajectory management. Requires station-keeping against Mercury's gravitational </w:t>
      </w:r>
      <w:r>
        <w:br/>
      </w:r>
      <w:r>
        <w:rPr>
          <w:rFonts w:ascii="Lato" w:hAnsi="Lato" w:eastAsia="Lato"/>
          <w:b w:val="0"/>
          <w:i w:val="0"/>
          <w:color w:val="28251D"/>
          <w:sz w:val="21"/>
        </w:rPr>
        <w:t>perturbations and solar radiation pressure at these flux levels.</w:t>
      </w:r>
    </w:p>
    <w:p>
      <w:pPr>
        <w:autoSpaceDN w:val="0"/>
        <w:autoSpaceDE w:val="0"/>
        <w:widowControl/>
        <w:spacing w:line="283" w:lineRule="auto" w:before="170" w:after="0"/>
        <w:ind w:left="1704" w:right="158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Independent heliocentric ring at r = 0.40 AU: More flexible geometry, avoids Mercury's thermal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environment, but requires active station-keeping against planetary perturbations. At 0.40 AU, </w:t>
      </w:r>
      <w:r>
        <w:rPr>
          <w:rFonts w:ascii="Lato" w:hAnsi="Lato" w:eastAsia="Lato"/>
          <w:b w:val="0"/>
          <w:i w:val="0"/>
          <w:color w:val="28251D"/>
          <w:sz w:val="21"/>
        </w:rPr>
        <w:t>irradiance = 8,506 W/m² — still 6.2× Earth.</w:t>
      </w:r>
    </w:p>
    <w:p>
      <w:pPr>
        <w:autoSpaceDN w:val="0"/>
        <w:autoSpaceDE w:val="0"/>
        <w:widowControl/>
        <w:spacing w:line="262" w:lineRule="auto" w:before="170" w:after="0"/>
        <w:ind w:left="1704" w:right="1728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Lagrange point positioning (Mercury L4/L5): Provides gravitational stability with no </w:t>
      </w:r>
      <w:r>
        <w:br/>
      </w:r>
      <w:r>
        <w:rPr>
          <w:rFonts w:ascii="Lato" w:hAnsi="Lato" w:eastAsia="Lato"/>
          <w:b w:val="0"/>
          <w:i w:val="0"/>
          <w:color w:val="28251D"/>
          <w:sz w:val="21"/>
        </w:rPr>
        <w:t>station-keeping fuel expenditure. L4/L5 are approximately 60° ahead and behind Mercury in its</w:t>
      </w:r>
    </w:p>
    <w:p>
      <w:pPr>
        <w:autoSpaceDN w:val="0"/>
        <w:autoSpaceDE w:val="0"/>
        <w:widowControl/>
        <w:spacing w:line="199" w:lineRule="auto" w:before="1324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7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26" w:after="0"/>
        <w:ind w:left="1704" w:right="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>orbit, offering ~9,100 W/m² and persistent orbital stability.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1445260</wp:posOffset>
            </wp:positionV>
            <wp:extent cx="6217920" cy="58204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204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112" w:after="0"/>
        <w:ind w:left="1296" w:right="1296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Figure 2. Mercury orbital mechanics schematic — collector swarm configuration. The diagram shows Mercury's elliptical orbit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(e=0.206), the proposed collector swarm ring, individual platform positions, L4 relay station placement, and Earth's orbit at 1 AU </w:t>
      </w:r>
      <w:r>
        <w:rPr>
          <w:rFonts w:ascii="Lato" w:hAnsi="Lato" w:eastAsia="Lato"/>
          <w:b w:val="0"/>
          <w:i w:val="0"/>
          <w:color w:val="7A7974"/>
          <w:sz w:val="17"/>
        </w:rPr>
        <w:t>for scale. Solar flux zones are annotated at perihelion and aphelion. Source: orbital parameters from Mercury (planet) —</w:t>
      </w:r>
      <w:r>
        <w:rPr>
          <w:rFonts w:ascii="Lato" w:hAnsi="Lato" w:eastAsia="Lato"/>
          <w:b w:val="0"/>
          <w:i w:val="0"/>
          <w:color w:val="7A7974"/>
          <w:sz w:val="17"/>
        </w:rPr>
        <w:t>Wikipedia/JPL.</w:t>
      </w:r>
    </w:p>
    <w:p>
      <w:pPr>
        <w:autoSpaceDN w:val="0"/>
        <w:autoSpaceDE w:val="0"/>
        <w:widowControl/>
        <w:spacing w:line="286" w:lineRule="auto" w:before="296" w:after="0"/>
        <w:ind w:left="1344" w:right="4176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7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Mercury orbital parameters: semi-major axis 0.387098 AU, eccentricity 0.205630, period 87.9691 d.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2" w:history="1">
          <w:r>
            <w:rPr>
              <w:rStyle w:val="Hyperlink"/>
            </w:rPr>
            <w:t>https://en.wikipedia.org/wiki/Mercury_(planet)</w:t>
          </w:r>
        </w:hyperlink>
      </w:r>
    </w:p>
    <w:p>
      <w:pPr>
        <w:autoSpaceDN w:val="0"/>
        <w:autoSpaceDE w:val="0"/>
        <w:widowControl/>
        <w:spacing w:line="199" w:lineRule="auto" w:before="197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8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III</w:t>
      </w:r>
    </w:p>
    <w:p>
      <w:pPr>
        <w:autoSpaceDN w:val="0"/>
        <w:autoSpaceDE w:val="0"/>
        <w:widowControl/>
        <w:spacing w:line="245" w:lineRule="auto" w:before="606" w:after="0"/>
        <w:ind w:left="1344" w:right="2304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 xml:space="preserve">III. Solar Collector Platform — Proof-of-Concept </w:t>
      </w:r>
      <w:r>
        <w:rPr>
          <w:rFonts w:ascii="Lato" w:hAnsi="Lato" w:eastAsia="Lato"/>
          <w:b/>
          <w:i w:val="0"/>
          <w:color w:val="01696F"/>
          <w:sz w:val="40"/>
        </w:rPr>
        <w:t>Design</w:t>
      </w:r>
    </w:p>
    <w:p>
      <w:pPr>
        <w:autoSpaceDN w:val="0"/>
        <w:autoSpaceDE w:val="0"/>
        <w:widowControl/>
        <w:spacing w:line="199" w:lineRule="auto" w:before="62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Photovoltaic Technology Selection</w:t>
      </w:r>
    </w:p>
    <w:p>
      <w:pPr>
        <w:autoSpaceDN w:val="0"/>
        <w:autoSpaceDE w:val="0"/>
        <w:widowControl/>
        <w:spacing w:line="283" w:lineRule="auto" w:before="226" w:after="206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selection of photovoltaic technology for Mercury-orbit collectors must balance efficiency, specific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power (W/kg), radiation tolerance, thermal management under extreme flux, and manufacturability at </w:t>
      </w:r>
      <w:r>
        <w:rPr>
          <w:rFonts w:ascii="Lato" w:hAnsi="Lato" w:eastAsia="Lato"/>
          <w:b w:val="0"/>
          <w:i w:val="0"/>
          <w:color w:val="28251D"/>
          <w:sz w:val="21"/>
        </w:rPr>
        <w:t>the scales required. As of 2025–2026, three technology classes merit serious consideration: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760"/>
        </w:trPr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Best Lab Eff.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Space Eff.</w:t>
            </w:r>
          </w:p>
        </w:tc>
        <w:tc>
          <w:tcPr>
            <w:tcW w:type="dxa" w:w="115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W/kg (est.)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 xml:space="preserve">Radiation </w:t>
            </w: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Tol.</w:t>
            </w:r>
          </w:p>
        </w:tc>
        <w:tc>
          <w:tcPr>
            <w:tcW w:type="dxa" w:w="273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Assessment</w:t>
            </w:r>
          </w:p>
        </w:tc>
      </w:tr>
      <w:tr>
        <w:trPr>
          <w:trHeight w:hRule="exact" w:val="760"/>
        </w:trPr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11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c-Si (standard)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27.1%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22–25%</w:t>
            </w:r>
          </w:p>
        </w:tc>
        <w:tc>
          <w:tcPr>
            <w:tcW w:type="dxa" w:w="115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~100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Moderate</w:t>
            </w:r>
          </w:p>
        </w:tc>
        <w:tc>
          <w:tcPr>
            <w:tcW w:type="dxa" w:w="273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6" w:right="72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Mature; heavy; baseline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reference</w:t>
            </w:r>
          </w:p>
        </w:tc>
      </w:tr>
      <w:tr>
        <w:trPr>
          <w:trHeight w:hRule="exact" w:val="760"/>
        </w:trPr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2016"/>
            </w:tblGrid>
            <w:tr>
              <w:trPr>
                <w:trHeight w:hRule="exact" w:val="740"/>
              </w:trPr>
              <w:tc>
                <w:tcPr>
                  <w:tcW w:type="dxa" w:w="1636"/>
                  <w:tcBorders/>
                  <w:shd w:fill="ed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6" w:after="0"/>
                    <w:ind w:left="120" w:right="0" w:firstLine="0"/>
                    <w:jc w:val="left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28251D"/>
                      <w:sz w:val="18"/>
                    </w:rPr>
                    <w:t>GaAs thin-film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~37%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28–35%</w:t>
            </w:r>
          </w:p>
        </w:tc>
        <w:tc>
          <w:tcPr>
            <w:tcW w:type="dxa" w:w="115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~300–500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High</w:t>
            </w:r>
          </w:p>
        </w:tc>
        <w:tc>
          <w:tcPr>
            <w:tcW w:type="dxa" w:w="273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6" w:right="576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PREFERRED: lightweight,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proven in space</w:t>
            </w:r>
          </w:p>
        </w:tc>
      </w:tr>
      <w:tr>
        <w:trPr>
          <w:trHeight w:hRule="exact" w:val="760"/>
        </w:trPr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Perovskite-Si Tandem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288" w:right="288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34.85%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(2025)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44" w:right="144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TBD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(25–31%?)</w:t>
            </w:r>
          </w:p>
        </w:tc>
        <w:tc>
          <w:tcPr>
            <w:tcW w:type="dxa" w:w="115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~400+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Under study</w:t>
            </w:r>
          </w:p>
        </w:tc>
        <w:tc>
          <w:tcPr>
            <w:tcW w:type="dxa" w:w="273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16" w:right="14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Near-term: promising; stability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TBD</w:t>
            </w:r>
          </w:p>
        </w:tc>
      </w:tr>
      <w:tr>
        <w:trPr>
          <w:trHeight w:hRule="exact" w:val="760"/>
        </w:trPr>
        <w:tc>
          <w:tcPr>
            <w:tcW w:type="dxa" w:w="201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11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Multi-junction (6J)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288" w:right="288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47.6% @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665×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40–47%</w:t>
            </w:r>
          </w:p>
        </w:tc>
        <w:tc>
          <w:tcPr>
            <w:tcW w:type="dxa" w:w="115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~200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High</w:t>
            </w:r>
          </w:p>
        </w:tc>
        <w:tc>
          <w:tcPr>
            <w:tcW w:type="dxa" w:w="273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0" w:right="72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Ideal w/ concentrators;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complex thermal mgmt</w:t>
            </w:r>
          </w:p>
        </w:tc>
      </w:tr>
    </w:tbl>
    <w:p>
      <w:pPr>
        <w:autoSpaceDN w:val="0"/>
        <w:autoSpaceDE w:val="0"/>
        <w:widowControl/>
        <w:spacing w:line="271" w:lineRule="auto" w:before="110" w:after="0"/>
        <w:ind w:left="1296" w:right="1296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Table 3. PV technology comparison for Mercury-orbit SBSP applications. GaAs thin-film is the near-term preferred option;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perovskite-Si tandems represent the breakthrough watch category. Sources: Fluxim AG 2026 efficiency tracker; A1 SolarStore </w:t>
      </w:r>
      <w:r>
        <w:rPr>
          <w:rFonts w:ascii="Lato" w:hAnsi="Lato" w:eastAsia="Lato"/>
          <w:b w:val="0"/>
          <w:i w:val="0"/>
          <w:color w:val="7A7974"/>
          <w:sz w:val="17"/>
        </w:rPr>
        <w:t>space panel analysis 2025; ESA 200 W/kg array program.</w:t>
      </w:r>
    </w:p>
    <w:p>
      <w:pPr>
        <w:autoSpaceDN w:val="0"/>
        <w:autoSpaceDE w:val="0"/>
        <w:widowControl/>
        <w:spacing w:line="199" w:lineRule="auto" w:before="487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9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240" w:lineRule="auto" w:before="9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1127760</wp:posOffset>
            </wp:positionV>
            <wp:extent cx="6217920" cy="36728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72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114" w:after="0"/>
        <w:ind w:left="1296" w:right="1296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Figure 3. Photovoltaic efficiency progression 2000–2025 across technology classes. The 2020–2025 period (shaded) saw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perovskite-Si tandems surpass the Shockley-Queisser limit, reaching 34.85% (LONGi, NREL-certified April 2025). GaAs space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solar tracks at 35–37% for state-of-practice, with multi-junction concentrators reaching 47.6% at 665 suns. Sources: Fluxim AG; </w:t>
      </w:r>
      <w:r>
        <w:rPr>
          <w:rFonts w:ascii="Lato" w:hAnsi="Lato" w:eastAsia="Lato"/>
          <w:b w:val="0"/>
          <w:i w:val="0"/>
          <w:color w:val="7A7974"/>
          <w:sz w:val="17"/>
        </w:rPr>
        <w:t>NREL efficiency chart; Caltech SSPP ALBA experiment.</w:t>
      </w:r>
    </w:p>
    <w:p>
      <w:pPr>
        <w:autoSpaceDN w:val="0"/>
        <w:autoSpaceDE w:val="0"/>
        <w:widowControl/>
        <w:spacing w:line="199" w:lineRule="auto" w:before="470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Platform Architecture</w:t>
      </w:r>
    </w:p>
    <w:p>
      <w:pPr>
        <w:autoSpaceDN w:val="0"/>
        <w:autoSpaceDE w:val="0"/>
        <w:widowControl/>
        <w:spacing w:line="199" w:lineRule="auto" w:before="226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Drawing on the modular 'sandwich panel' concept pioneered by Caltech's SSPD-1/SSPP and the</w:t>
      </w:r>
    </w:p>
    <w:p>
      <w:pPr>
        <w:autoSpaceDN w:val="0"/>
        <w:autoSpaceDE w:val="0"/>
        <w:widowControl/>
        <w:spacing w:line="199" w:lineRule="auto" w:before="13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Innovative Heliostat Swarm design from the NASA 2024 SBSP study, the proposed Mercury collector</w:t>
      </w:r>
    </w:p>
    <w:p>
      <w:pPr>
        <w:autoSpaceDN w:val="0"/>
        <w:autoSpaceDE w:val="0"/>
        <w:widowControl/>
        <w:spacing w:line="199" w:lineRule="auto" w:before="130" w:after="204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>platform is a self-assembling hexagonal tile system with the following specifications: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Platform diameter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50 m per module (hexagonal)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Active PV area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~1,800 m² per platform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PV technology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Flexible GaAs thin-film, 35% efficiency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Specific power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~300 W/kg (target: 500 W/kg with thin-film roll-out)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Power per platform (mean orbit)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~5.7 MW electrical before conversion losses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Transmitter array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Phased microwave array, 2.45 GHz, rear-facing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Thermal management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Radiative panels + circulating heat pipes; operating at &lt;200°C</w:t>
            </w:r>
          </w:p>
        </w:tc>
      </w:tr>
    </w:tbl>
    <w:p>
      <w:pPr>
        <w:autoSpaceDN w:val="0"/>
        <w:autoSpaceDE w:val="0"/>
        <w:widowControl/>
        <w:spacing w:line="199" w:lineRule="auto" w:before="1286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10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9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Station-keeping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Ion thrusters; solar pressure compensation sails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Swarm size (Phase 1 target)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~40,000 platforms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Total swarm output (Phase 1)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~228 GW electrical → ~30 GW to grid at chain efficiency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Mass per platform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~19,000 kg (95 kg/module × 200 modules)</w:t>
            </w:r>
          </w:p>
        </w:tc>
      </w:tr>
      <w:tr>
        <w:trPr>
          <w:trHeight w:hRule="exact" w:val="460"/>
        </w:trPr>
        <w:tc>
          <w:tcPr>
            <w:tcW w:type="dxa" w:w="331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Assembly method</w:t>
            </w:r>
          </w:p>
        </w:tc>
        <w:tc>
          <w:tcPr>
            <w:tcW w:type="dxa" w:w="648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2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In-situ robotic assembly from launch-packaged flat-pack modules</w:t>
            </w:r>
          </w:p>
        </w:tc>
      </w:tr>
    </w:tbl>
    <w:p>
      <w:pPr>
        <w:autoSpaceDN w:val="0"/>
        <w:autoSpaceDE w:val="0"/>
        <w:widowControl/>
        <w:spacing w:line="199" w:lineRule="auto" w:before="11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>Table 4. Proof-of-concept Mercury SBSP collector platform specifications.</w:t>
      </w:r>
    </w:p>
    <w:p>
      <w:pPr>
        <w:autoSpaceDN w:val="0"/>
        <w:autoSpaceDE w:val="0"/>
        <w:widowControl/>
        <w:spacing w:line="199" w:lineRule="auto" w:before="1084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11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IV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IV. Microwave Power Transmission Chain</w:t>
      </w:r>
    </w:p>
    <w:p>
      <w:pPr>
        <w:autoSpaceDN w:val="0"/>
        <w:autoSpaceDE w:val="0"/>
        <w:widowControl/>
        <w:spacing w:line="300" w:lineRule="auto" w:before="412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end-to-end delivery of solar energy from Mercury-orbit collectors to Earth's grid involves a cascade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of conversion and transmission stages, each with its own efficiency coefficient. The NASA 2024 SBSP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study (Rodenbeck et al. baseline) provides the most rigorous public analysis of this chain for GEO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systems; we extend and adapt it to the Mercury-orbit scenario, where greater distance introduces beam </w:t>
      </w:r>
      <w:r>
        <w:rPr>
          <w:rFonts w:ascii="Lato" w:hAnsi="Lato" w:eastAsia="Lato"/>
          <w:b w:val="0"/>
          <w:i w:val="0"/>
          <w:color w:val="28251D"/>
          <w:sz w:val="21"/>
        </w:rPr>
        <w:t>divergence and relay requirements absent in GEO-to-Earth architectures.</w:t>
      </w:r>
    </w:p>
    <w:p>
      <w:pPr>
        <w:autoSpaceDN w:val="0"/>
        <w:autoSpaceDE w:val="0"/>
        <w:widowControl/>
        <w:spacing w:line="199" w:lineRule="auto" w:before="504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Transmission Architecture</w:t>
      </w:r>
    </w:p>
    <w:p>
      <w:pPr>
        <w:autoSpaceDN w:val="0"/>
        <w:autoSpaceDE w:val="0"/>
        <w:widowControl/>
        <w:spacing w:line="283" w:lineRule="auto" w:before="226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At Mercury-to-Earth distances (0.52–1.48 AU depending on orbital phase), direct microwave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transmission faces prohibitive beam divergence — the diffraction-limited beam diameter grows </w:t>
      </w:r>
      <w:r>
        <w:rPr>
          <w:rFonts w:ascii="Lato" w:hAnsi="Lato" w:eastAsia="Lato"/>
          <w:b w:val="0"/>
          <w:i w:val="0"/>
          <w:color w:val="28251D"/>
          <w:sz w:val="21"/>
        </w:rPr>
        <w:t>proportionally with distance. The architecture therefore employs a two-hop relay system:</w:t>
      </w:r>
    </w:p>
    <w:p>
      <w:pPr>
        <w:autoSpaceDN w:val="0"/>
        <w:autoSpaceDE w:val="0"/>
        <w:widowControl/>
        <w:spacing w:line="262" w:lineRule="auto" w:before="250" w:after="0"/>
        <w:ind w:left="1704" w:right="144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Hop 1 — Mercury collector to Sun-Earth L2 or L4/L5 relay satellite: Laser or millimeter-wave link </w:t>
      </w:r>
      <w:r>
        <w:rPr>
          <w:rFonts w:ascii="Lato" w:hAnsi="Lato" w:eastAsia="Lato"/>
          <w:b w:val="0"/>
          <w:i w:val="0"/>
          <w:color w:val="28251D"/>
          <w:sz w:val="21"/>
        </w:rPr>
        <w:t>at high directionality. The relay station acts as an amplifier and frequency converter.</w:t>
      </w:r>
    </w:p>
    <w:p>
      <w:pPr>
        <w:autoSpaceDN w:val="0"/>
        <w:autoSpaceDE w:val="0"/>
        <w:widowControl/>
        <w:spacing w:line="283" w:lineRule="auto" w:before="170" w:after="0"/>
        <w:ind w:left="1704" w:right="2016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Hop 2 — Relay satellite to Earth ground rectenna network: Standard 2.45 GHz or 5.8 GHz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microwave beam, following established WPT protocols. This is the segment with the most </w:t>
      </w:r>
      <w:r>
        <w:rPr>
          <w:rFonts w:ascii="Lato" w:hAnsi="Lato" w:eastAsia="Lato"/>
          <w:b w:val="0"/>
          <w:i w:val="0"/>
          <w:color w:val="28251D"/>
          <w:sz w:val="21"/>
        </w:rPr>
        <w:t>developed technology base (JAXA, Caltech, ESA demonstrations).</w:t>
      </w:r>
    </w:p>
    <w:p>
      <w:pPr>
        <w:autoSpaceDN w:val="0"/>
        <w:autoSpaceDE w:val="0"/>
        <w:widowControl/>
        <w:spacing w:line="262" w:lineRule="auto" w:before="170" w:after="0"/>
        <w:ind w:left="1704" w:right="158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Alternatively, a HVDC-over-tether system using a Mercury-Sun tether is conceptually explored </w:t>
      </w:r>
      <w:r>
        <w:rPr>
          <w:rFonts w:ascii="Lato" w:hAnsi="Lato" w:eastAsia="Lato"/>
          <w:b w:val="0"/>
          <w:i w:val="0"/>
          <w:color w:val="28251D"/>
          <w:sz w:val="21"/>
        </w:rPr>
        <w:t>for the far future when in-situ infrastructure permits.</w:t>
      </w:r>
    </w:p>
    <w:p>
      <w:pPr>
        <w:autoSpaceDN w:val="0"/>
        <w:autoSpaceDE w:val="0"/>
        <w:widowControl/>
        <w:spacing w:line="199" w:lineRule="auto" w:before="577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12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240" w:lineRule="auto" w:before="9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1127760</wp:posOffset>
            </wp:positionV>
            <wp:extent cx="6217920" cy="33375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37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112" w:after="0"/>
        <w:ind w:left="1296" w:right="1296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Figure 4. End-to-end power chain efficiency — Mercury SBSP to grid delivery. Each stage applies its efficiency coefficient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(color-coded by loss magnitude) to the cascading energy fraction. Net delivery: ~13% of incident Mercury solar energy reaches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the end user under NASA/Rodenbeck baseline assumptions. Source: NASA SBSP 2024 (Rodenbeck et al.); Nature Broadband </w:t>
      </w:r>
      <w:r>
        <w:rPr>
          <w:rFonts w:ascii="Lato" w:hAnsi="Lato" w:eastAsia="Lato"/>
          <w:b w:val="0"/>
          <w:i w:val="0"/>
          <w:color w:val="7A7974"/>
          <w:sz w:val="17"/>
        </w:rPr>
        <w:t>Rectenna 2025.</w:t>
      </w:r>
    </w:p>
    <w:p>
      <w:pPr>
        <w:autoSpaceDN w:val="0"/>
        <w:autoSpaceDE w:val="0"/>
        <w:widowControl/>
        <w:spacing w:line="199" w:lineRule="auto" w:before="472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WPT Technology Status</w:t>
      </w:r>
    </w:p>
    <w:p>
      <w:pPr>
        <w:autoSpaceDN w:val="0"/>
        <w:autoSpaceDE w:val="0"/>
        <w:widowControl/>
        <w:spacing w:line="199" w:lineRule="auto" w:before="226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Wireless power transmission via microwave has been demonstrated at increasing scale since the 1970s.</w:t>
      </w:r>
    </w:p>
    <w:p>
      <w:pPr>
        <w:autoSpaceDN w:val="0"/>
        <w:autoSpaceDE w:val="0"/>
        <w:widowControl/>
        <w:spacing w:line="293" w:lineRule="auto" w:before="130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2023 Caltech SSPD-1 MAPLE experiment achieved the first-ever wireless power transmission from </w:t>
      </w:r>
      <w:r>
        <w:rPr>
          <w:rFonts w:ascii="Lato" w:hAnsi="Lato" w:eastAsia="Lato"/>
          <w:b w:val="0"/>
          <w:i w:val="0"/>
          <w:color w:val="28251D"/>
          <w:sz w:val="21"/>
        </w:rPr>
        <w:t>space to Earth using a phased microwave array.</w:t>
      </w:r>
      <w:r>
        <w:rPr>
          <w:rFonts w:ascii="Lato" w:hAnsi="Lato" w:eastAsia="Lato"/>
          <w:b w:val="0"/>
          <w:i w:val="0"/>
          <w:color w:val="28251D"/>
          <w:sz w:val="17"/>
        </w:rPr>
        <w:t>8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 Japan's OHISAMA mission, targeting 1 kW from 400 </w:t>
      </w:r>
      <w:r>
        <w:rPr>
          <w:rFonts w:ascii="Lato" w:hAnsi="Lato" w:eastAsia="Lato"/>
          <w:b w:val="0"/>
          <w:i w:val="0"/>
          <w:color w:val="28251D"/>
          <w:sz w:val="21"/>
        </w:rPr>
        <w:t>km LEO in 2025, extends this milestone to demonstrated rectenna ground reception.</w:t>
      </w:r>
      <w:r>
        <w:rPr>
          <w:rFonts w:ascii="Lato" w:hAnsi="Lato" w:eastAsia="Lato"/>
          <w:b w:val="0"/>
          <w:i w:val="0"/>
          <w:color w:val="28251D"/>
          <w:sz w:val="17"/>
        </w:rPr>
        <w:t>9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 Rectenna arrays </w:t>
      </w:r>
      <w:r>
        <w:rPr>
          <w:rFonts w:ascii="Lato" w:hAnsi="Lato" w:eastAsia="Lato"/>
          <w:b w:val="0"/>
          <w:i w:val="0"/>
          <w:color w:val="28251D"/>
          <w:sz w:val="21"/>
        </w:rPr>
        <w:t>at 5.8 GHz have achieved 77% RF-to-DC conversion efficiency (Nature, 2025).</w:t>
      </w:r>
      <w:r>
        <w:rPr>
          <w:rFonts w:ascii="Lato" w:hAnsi="Lato" w:eastAsia="Lato"/>
          <w:b w:val="0"/>
          <w:i w:val="0"/>
          <w:color w:val="28251D"/>
          <w:sz w:val="17"/>
        </w:rPr>
        <w:t>10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 The limiting factor is</w:t>
      </w:r>
    </w:p>
    <w:p>
      <w:pPr>
        <w:autoSpaceDN w:val="0"/>
        <w:autoSpaceDE w:val="0"/>
        <w:widowControl/>
        <w:spacing w:line="199" w:lineRule="auto" w:before="13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not the physics but the scale of aperture required — coherent phased arrays spanning kilometers are</w:t>
      </w:r>
    </w:p>
    <w:p>
      <w:pPr>
        <w:autoSpaceDN w:val="0"/>
        <w:autoSpaceDE w:val="0"/>
        <w:widowControl/>
        <w:spacing w:line="199" w:lineRule="auto" w:before="130" w:after="202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>necessary for commercial-scale power delivery.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9360"/>
      </w:tblGrid>
      <w:tr>
        <w:trPr>
          <w:trHeight w:hRule="exact" w:val="2100"/>
        </w:trPr>
        <w:tc>
          <w:tcPr>
            <w:tcW w:type="dxa" w:w="9792"/>
            <w:tcBorders>
              <w:start w:sz="6.400000095367432" w:val="single" w:color="#01696E"/>
              <w:top w:sz="6.400000095367432" w:val="single" w:color="#01696E"/>
              <w:end w:sz="6.400000095367432" w:val="single" w:color="#01696E"/>
              <w:bottom w:sz="6.400000095367432" w:val="single" w:color="#01696E"/>
            </w:tcBorders>
            <w:shd w:fill="ed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32" w:after="0"/>
              <w:ind w:left="552" w:right="548" w:firstLine="0"/>
              <w:jc w:val="both"/>
            </w:pP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The 2023 MAPLE experiment (Caltech SSPD-1) demonstrated for the first time that solar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>energy collected in space can be converted to microwaves and transmitted wirelessly to Earth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— validating the fundamental proof-of-concept for SBSP at the system level. The team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identified thermal-electrical interaction as the primary design challenge for extended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>operation, leading to revised array geometries now under development.</w:t>
            </w:r>
          </w:p>
        </w:tc>
      </w:tr>
    </w:tbl>
    <w:p>
      <w:pPr>
        <w:autoSpaceDN w:val="0"/>
        <w:autoSpaceDE w:val="0"/>
        <w:widowControl/>
        <w:spacing w:line="266" w:lineRule="auto" w:before="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8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Caltech SSPP — Space Solar Power Project Ends First In-Space Mission (Jan 2024).</w:t>
      </w:r>
    </w:p>
    <w:p>
      <w:pPr>
        <w:autoSpaceDN w:val="0"/>
        <w:autoSpaceDE w:val="0"/>
        <w:widowControl/>
        <w:spacing w:line="199" w:lineRule="auto" w:before="8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19" w:history="1">
          <w:r>
            <w:rPr>
              <w:rStyle w:val="Hyperlink"/>
            </w:rPr>
            <w:t>https://www.caltech.edu/about/news/space-solar-power-project-ends-first-in-space-mission-with-successes-and-lessons</w:t>
          </w:r>
        </w:hyperlink>
      </w:r>
    </w:p>
    <w:p>
      <w:pPr>
        <w:autoSpaceDN w:val="0"/>
        <w:autoSpaceDE w:val="0"/>
        <w:widowControl/>
        <w:spacing w:line="199" w:lineRule="auto" w:before="114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13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269" w:lineRule="auto" w:before="984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9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Japan OHISAMA LEO solar power demo, JAXA/Japan Space Systems, 2025.</w:t>
      </w:r>
    </w:p>
    <w:p>
      <w:pPr>
        <w:autoSpaceDN w:val="0"/>
        <w:autoSpaceDE w:val="0"/>
        <w:widowControl/>
        <w:spacing w:line="199" w:lineRule="auto" w:before="8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20" w:history="1">
          <w:r>
            <w:rPr>
              <w:rStyle w:val="Hyperlink"/>
            </w:rPr>
            <w:t>https://www.space.com/japan-space-based-solar-power-demonstration-2025</w:t>
          </w:r>
        </w:hyperlink>
      </w:r>
    </w:p>
    <w:p>
      <w:pPr>
        <w:autoSpaceDN w:val="0"/>
        <w:autoSpaceDE w:val="0"/>
        <w:widowControl/>
        <w:spacing w:line="269" w:lineRule="auto" w:before="6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2"/>
        </w:rPr>
        <w:t>10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Broadband compact rectenna 77% PCE at 5.8 GHz — Nature Scientific Reports 2025.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1" w:history="1">
          <w:r>
            <w:rPr>
              <w:rStyle w:val="Hyperlink"/>
            </w:rPr>
            <w:t>https://www.nature.com/articles/s41598-025-02555-1</w:t>
          </w:r>
        </w:hyperlink>
      </w:r>
    </w:p>
    <w:p>
      <w:pPr>
        <w:autoSpaceDN w:val="0"/>
        <w:autoSpaceDE w:val="0"/>
        <w:widowControl/>
        <w:spacing w:line="199" w:lineRule="auto" w:before="1273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14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V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V. Ground Receiver Infrastructure</w:t>
      </w:r>
    </w:p>
    <w:p>
      <w:pPr>
        <w:autoSpaceDN w:val="0"/>
        <w:autoSpaceDE w:val="0"/>
        <w:widowControl/>
        <w:spacing w:line="293" w:lineRule="auto" w:before="412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Ground-based rectenna (rectifying antenna) arrays are the interface between the microwave power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beam and the terrestrial electrical grid. Unlike conventional solar farms, rectennas can be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semi-transparent — allowing simultaneous land use for agriculture or ecosystem preservation — and </w:t>
      </w:r>
      <w:r>
        <w:rPr>
          <w:rFonts w:ascii="Lato" w:hAnsi="Lato" w:eastAsia="Lato"/>
          <w:b w:val="0"/>
          <w:i w:val="0"/>
          <w:color w:val="28251D"/>
          <w:sz w:val="21"/>
        </w:rPr>
        <w:t>operate continuously regardless of local weather or time of day.</w:t>
      </w:r>
    </w:p>
    <w:p>
      <w:pPr>
        <w:autoSpaceDN w:val="0"/>
        <w:autoSpaceDE w:val="0"/>
        <w:widowControl/>
        <w:spacing w:line="199" w:lineRule="auto" w:before="504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Rectenna Array Design</w:t>
      </w:r>
    </w:p>
    <w:p>
      <w:pPr>
        <w:autoSpaceDN w:val="0"/>
        <w:autoSpaceDE w:val="0"/>
        <w:widowControl/>
        <w:spacing w:line="293" w:lineRule="auto" w:before="226" w:after="204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rectenna converts incident microwave RF energy to DC electricity through a series of antenna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elements, matching networks, Schottky diode rectifiers, and low-pass filters. Each element is a dipole or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patch antenna tuned to the transmitted frequency (2.45 or 5.8 GHz). Key parameters for a </w:t>
      </w:r>
      <w:r>
        <w:rPr>
          <w:rFonts w:ascii="Lato" w:hAnsi="Lato" w:eastAsia="Lato"/>
          <w:b w:val="0"/>
          <w:i w:val="0"/>
          <w:color w:val="28251D"/>
          <w:sz w:val="21"/>
        </w:rPr>
        <w:t>commercial-scale installation: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Operating frequency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2.45 GHz (primary); 5.8 GHz (alternative)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RF-to-DC conversion efficiency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75–85% at optimal power density (Nature 2025 benchmark)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Beam power density target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23 mW/cm² (below ionizing threshold; ~2× microwave oven standard)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Individual site footprint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5–15 km² per major receiver station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Preferred siting criteria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Equatorial / subtropical; low population density; proximity to HVDC lines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Integration with grid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DC-to-AC inverter stage → HVDC converter → backbone link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Land use compatibility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Agrivoltaic dual-use (crops below semi-transparent arrays)</w:t>
            </w:r>
          </w:p>
        </w:tc>
      </w:tr>
      <w:tr>
        <w:trPr>
          <w:trHeight w:hRule="exact" w:val="460"/>
        </w:trPr>
        <w:tc>
          <w:tcPr>
            <w:tcW w:type="dxa" w:w="3022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6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Number of sites (Phase 1)</w:t>
            </w:r>
          </w:p>
        </w:tc>
        <w:tc>
          <w:tcPr>
            <w:tcW w:type="dxa" w:w="6770"/>
            <w:tcBorders>
              <w:start w:sz="2.4000000953674316" w:val="single" w:color="#D4D1CA"/>
              <w:top w:sz="2.4000000953674316" w:val="single" w:color="#D4D1CA"/>
              <w:end w:sz="2.4000000953674316" w:val="single" w:color="#D4D1CA"/>
              <w:bottom w:sz="2.40000009536743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5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~80 globally (every ~4,500 km along equatorial belt)</w:t>
            </w:r>
          </w:p>
        </w:tc>
      </w:tr>
    </w:tbl>
    <w:p>
      <w:pPr>
        <w:autoSpaceDN w:val="0"/>
        <w:autoSpaceDE w:val="0"/>
        <w:widowControl/>
        <w:spacing w:line="199" w:lineRule="auto" w:before="11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>Table 5. Ground rectenna station technical specifications.</w:t>
      </w:r>
    </w:p>
    <w:p>
      <w:pPr>
        <w:autoSpaceDN w:val="0"/>
        <w:autoSpaceDE w:val="0"/>
        <w:widowControl/>
        <w:spacing w:line="199" w:lineRule="auto" w:before="470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Safety and Spectrum Considerations</w:t>
      </w:r>
    </w:p>
    <w:p>
      <w:pPr>
        <w:autoSpaceDN w:val="0"/>
        <w:autoSpaceDE w:val="0"/>
        <w:widowControl/>
        <w:spacing w:line="302" w:lineRule="auto" w:before="226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2.45 GHz ISM band frequency is selected for its low atmospheric absorption and regulatory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precedent. At the proposed power density of 23 mW/cm² at beam center, the intensity falls below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ICNIRP occupational exposure guidelines at the beam perimeter exclusion zone. The beam is inherently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fail-safe: without a pilot signal retransmitted from the ground rectenna, the phased array disperses to a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diffuse, harmless intensity. International spectrum coordination under ITU Radio Regulations will </w:t>
      </w:r>
      <w:r>
        <w:rPr>
          <w:rFonts w:ascii="Lato" w:hAnsi="Lato" w:eastAsia="Lato"/>
          <w:b w:val="0"/>
          <w:i w:val="0"/>
          <w:color w:val="28251D"/>
          <w:sz w:val="21"/>
        </w:rPr>
        <w:t>require dedicated frequency allocation, representing a key governance milestone for this program.</w:t>
      </w:r>
    </w:p>
    <w:p>
      <w:pPr>
        <w:autoSpaceDN w:val="0"/>
        <w:autoSpaceDE w:val="0"/>
        <w:widowControl/>
        <w:spacing w:line="199" w:lineRule="auto" w:before="129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15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VI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VI. Global HVDC Distribution Network</w:t>
      </w:r>
    </w:p>
    <w:p>
      <w:pPr>
        <w:autoSpaceDN w:val="0"/>
        <w:autoSpaceDE w:val="0"/>
        <w:widowControl/>
        <w:spacing w:line="300" w:lineRule="auto" w:before="412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Once received by ground rectenna stations, power must be distributed across continental and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intercontinental distances to demand centers. High-Voltage Direct Current (HVDC) transmission is the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enabling technology: HVDC systems operate at voltages of ±500 kV to ±1,100 kV, transmitting power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with losses of &lt;3% per 1,000 km — vastly superior to AC for distances above ~600 km. The HVDC </w:t>
      </w:r>
      <w:r>
        <w:rPr>
          <w:rFonts w:ascii="Lato" w:hAnsi="Lato" w:eastAsia="Lato"/>
          <w:b w:val="0"/>
          <w:i w:val="0"/>
          <w:color w:val="28251D"/>
          <w:sz w:val="21"/>
        </w:rPr>
        <w:t>market is projected to grow from $11.1 billion in 2024 to $29.5 billion by 2035 (CAGR 9.28%).</w:t>
      </w:r>
      <w:r>
        <w:rPr>
          <w:rFonts w:ascii="Lato" w:hAnsi="Lato" w:eastAsia="Lato"/>
          <w:b w:val="0"/>
          <w:i w:val="0"/>
          <w:color w:val="28251D"/>
          <w:sz w:val="17"/>
        </w:rPr>
        <w:t>11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3280410</wp:posOffset>
            </wp:positionV>
            <wp:extent cx="6217920" cy="36296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9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112" w:after="0"/>
        <w:ind w:left="1584" w:right="1584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Figure 5. Global HVDC supergrid architecture for Mercury SBSP distribution. The three-layer system: (1) Mercury orbital </w:t>
      </w:r>
      <w:r>
        <w:rPr>
          <w:rFonts w:ascii="Lato" w:hAnsi="Lato" w:eastAsia="Lato"/>
          <w:b w:val="0"/>
          <w:i w:val="0"/>
          <w:color w:val="7A7974"/>
          <w:sz w:val="17"/>
        </w:rPr>
        <w:t>collector swarm → microwave beam; (2) ground rectenna stations across 4 continental regions; (3) UHVDC backbone at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±800–1,100 kV connecting regional smart-grid distribution nodes. Sources: IMARC Group HVDC Market 2026; Spherical </w:t>
      </w:r>
      <w:r>
        <w:rPr>
          <w:rFonts w:ascii="Lato" w:hAnsi="Lato" w:eastAsia="Lato"/>
          <w:b w:val="0"/>
          <w:i w:val="0"/>
          <w:color w:val="7A7974"/>
          <w:sz w:val="17"/>
        </w:rPr>
        <w:t>Insights HVDC 2025.</w:t>
      </w:r>
    </w:p>
    <w:p>
      <w:pPr>
        <w:autoSpaceDN w:val="0"/>
        <w:autoSpaceDE w:val="0"/>
        <w:widowControl/>
        <w:spacing w:line="199" w:lineRule="auto" w:before="472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UHVDC Supergrid Architecture</w:t>
      </w:r>
    </w:p>
    <w:p>
      <w:pPr>
        <w:autoSpaceDN w:val="0"/>
        <w:autoSpaceDE w:val="0"/>
        <w:widowControl/>
        <w:spacing w:line="199" w:lineRule="auto" w:before="226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>The proposed global distribution architecture consists of four layers:</w:t>
      </w:r>
    </w:p>
    <w:p>
      <w:pPr>
        <w:autoSpaceDN w:val="0"/>
        <w:autoSpaceDE w:val="0"/>
        <w:widowControl/>
        <w:spacing w:line="262" w:lineRule="auto" w:before="250" w:after="0"/>
        <w:ind w:left="1704" w:right="216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Layer 1 — Intercontinental backbone: Ultra-HVDC at ±1,100 kV (following China's UHV </w:t>
      </w:r>
      <w:r>
        <w:rPr>
          <w:rFonts w:ascii="Lato" w:hAnsi="Lato" w:eastAsia="Lato"/>
          <w:b w:val="0"/>
          <w:i w:val="0"/>
          <w:color w:val="28251D"/>
          <w:sz w:val="21"/>
        </w:rPr>
        <w:t>leadership) connecting all rectenna stations in a meshed topology with automatic rerouting</w:t>
      </w:r>
    </w:p>
    <w:p>
      <w:pPr>
        <w:autoSpaceDN w:val="0"/>
        <w:autoSpaceDE w:val="0"/>
        <w:widowControl/>
        <w:spacing w:line="199" w:lineRule="auto" w:before="1276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16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26" w:after="0"/>
        <w:ind w:left="1704" w:right="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>capability.</w:t>
      </w:r>
    </w:p>
    <w:p>
      <w:pPr>
        <w:autoSpaceDN w:val="0"/>
        <w:autoSpaceDE w:val="0"/>
        <w:widowControl/>
        <w:spacing w:line="262" w:lineRule="auto" w:before="170" w:after="0"/>
        <w:ind w:left="1704" w:right="230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Layer 2 — Continental sub-grids: ±800 kV HVDC corridors within each major landmass, </w:t>
      </w:r>
      <w:r>
        <w:rPr>
          <w:rFonts w:ascii="Lato" w:hAnsi="Lato" w:eastAsia="Lato"/>
          <w:b w:val="0"/>
          <w:i w:val="0"/>
          <w:color w:val="28251D"/>
          <w:sz w:val="21"/>
        </w:rPr>
        <w:t>interconnecting with existing AC grids via VSC (Voltage Source Converter) stations.</w:t>
      </w:r>
    </w:p>
    <w:p>
      <w:pPr>
        <w:autoSpaceDN w:val="0"/>
        <w:autoSpaceDE w:val="0"/>
        <w:widowControl/>
        <w:spacing w:line="262" w:lineRule="auto" w:before="170" w:after="0"/>
        <w:ind w:left="1704" w:right="2016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Layer 3 — Regional AC distribution: Standard high-voltage AC grids below 400 kV for final </w:t>
      </w:r>
      <w:r>
        <w:rPr>
          <w:rFonts w:ascii="Lato" w:hAnsi="Lato" w:eastAsia="Lato"/>
          <w:b w:val="0"/>
          <w:i w:val="0"/>
          <w:color w:val="28251D"/>
          <w:sz w:val="21"/>
        </w:rPr>
        <w:t>distribution to industrial and residential consumers.</w:t>
      </w:r>
    </w:p>
    <w:p>
      <w:pPr>
        <w:autoSpaceDN w:val="0"/>
        <w:autoSpaceDE w:val="0"/>
        <w:widowControl/>
        <w:spacing w:line="262" w:lineRule="auto" w:before="170" w:after="0"/>
        <w:ind w:left="1704" w:right="144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Layer 4 — Edge intelligence: AI-managed load balancing, distributed storage (grid-scale batteries, </w:t>
      </w:r>
      <w:r>
        <w:rPr>
          <w:rFonts w:ascii="Lato" w:hAnsi="Lato" w:eastAsia="Lato"/>
          <w:b w:val="0"/>
          <w:i w:val="0"/>
          <w:color w:val="28251D"/>
          <w:sz w:val="21"/>
        </w:rPr>
        <w:t>pumped hydro, hydrogen), and demand-response systems.</w:t>
      </w:r>
    </w:p>
    <w:p>
      <w:pPr>
        <w:autoSpaceDN w:val="0"/>
        <w:autoSpaceDE w:val="0"/>
        <w:widowControl/>
        <w:spacing w:line="293" w:lineRule="auto" w:before="370" w:after="0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>The cross-border transmission infrastructure required by this architecture exists in embryonic form: the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€2B Egypt-Europe interconnect (solar export via Cyprus, Greece, Italy), China's world-leading UHV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network, and the North American high-voltage backbone all represent segments of the eventual global </w:t>
      </w:r>
      <w:r>
        <w:rPr>
          <w:rFonts w:ascii="Lato" w:hAnsi="Lato" w:eastAsia="Lato"/>
          <w:b w:val="0"/>
          <w:i w:val="0"/>
          <w:color w:val="28251D"/>
          <w:sz w:val="21"/>
        </w:rPr>
        <w:t>supergrid.</w:t>
      </w:r>
      <w:r>
        <w:rPr>
          <w:rFonts w:ascii="Lato" w:hAnsi="Lato" w:eastAsia="Lato"/>
          <w:b w:val="0"/>
          <w:i w:val="0"/>
          <w:color w:val="28251D"/>
          <w:sz w:val="17"/>
        </w:rPr>
        <w:t>12</w:t>
      </w:r>
    </w:p>
    <w:p>
      <w:pPr>
        <w:autoSpaceDN w:val="0"/>
        <w:autoSpaceDE w:val="0"/>
        <w:widowControl/>
        <w:spacing w:line="310" w:lineRule="auto" w:before="208" w:after="0"/>
        <w:ind w:left="1344" w:right="1296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11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Spherical Insights, HVDC Transmission Market Report 2024–2035.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3" w:history="1">
          <w:r>
            <w:rPr>
              <w:rStyle w:val="Hyperlink"/>
            </w:rPr>
            <w:t xml:space="preserve">https://www.sphericalinsights.com/blogs/top-15-companies-in-hvdc-tran </w:t>
          </w:r>
        </w:hyperlink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3" w:history="1">
          <w:r>
            <w:rPr>
              <w:rStyle w:val="Hyperlink"/>
            </w:rPr>
            <w:t xml:space="preserve">smission-market-worldwide-in-2025-market-research-report-2024-2035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12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Industrial Info Resources — Rise of HVDC Technology in Global Energy Transmission.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4" w:history="1">
          <w:r>
            <w:rPr>
              <w:rStyle w:val="Hyperlink"/>
            </w:rPr>
            <w:t xml:space="preserve">https://www.industrialinfo.com/iirenergy/industry-new </w:t>
          </w:r>
        </w:hyperlink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4" w:history="1">
          <w:r>
            <w:rPr>
              <w:rStyle w:val="Hyperlink"/>
            </w:rPr>
            <w:t>s/article/empowering-the-grid-the-rise-of-hvdc-technology-in-global-energy-transmission--330937</w:t>
          </w:r>
        </w:hyperlink>
      </w:r>
    </w:p>
    <w:p>
      <w:pPr>
        <w:autoSpaceDN w:val="0"/>
        <w:autoSpaceDE w:val="0"/>
        <w:widowControl/>
        <w:spacing w:line="199" w:lineRule="auto" w:before="828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17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VII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VII. Implementation Roadmap: 2026–2080</w:t>
      </w:r>
    </w:p>
    <w:p>
      <w:pPr>
        <w:autoSpaceDN w:val="0"/>
        <w:autoSpaceDE w:val="0"/>
        <w:widowControl/>
        <w:spacing w:line="300" w:lineRule="auto" w:before="412" w:after="206"/>
        <w:ind w:left="1344" w:right="1342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realization of Mercury-orbit SBSP requires a phased program spanning approximately five decades,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encompassing technology maturation, in-space manufacturing development, international governance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frameworks, and the gradual buildout of both space and ground infrastructure. The roadmap below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represents an ambitious but physically achievable sequence given current trajectories in launch cost, PV </w:t>
      </w:r>
      <w:r>
        <w:rPr>
          <w:rFonts w:ascii="Lato" w:hAnsi="Lato" w:eastAsia="Lato"/>
          <w:b w:val="0"/>
          <w:i w:val="0"/>
          <w:color w:val="28251D"/>
          <w:sz w:val="21"/>
        </w:rPr>
        <w:t>efficiency, and autonomous space manufacturing.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2340"/>
        <w:gridCol w:w="2340"/>
        <w:gridCol w:w="2340"/>
        <w:gridCol w:w="2340"/>
      </w:tblGrid>
      <w:tr>
        <w:trPr>
          <w:trHeight w:hRule="exact" w:val="840"/>
        </w:trPr>
        <w:tc>
          <w:tcPr>
            <w:tcW w:type="dxa" w:w="144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54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Key Milestones</w:t>
            </w:r>
          </w:p>
        </w:tc>
        <w:tc>
          <w:tcPr>
            <w:tcW w:type="dxa" w:w="158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0169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 xml:space="preserve">Power Output </w:t>
            </w:r>
            <w:r>
              <w:rPr>
                <w:rFonts w:ascii="Lato" w:hAnsi="Lato" w:eastAsia="Lato"/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rPr>
          <w:trHeight w:hRule="exact" w:val="1100"/>
        </w:trPr>
        <w:tc>
          <w:tcPr>
            <w:tcW w:type="dxa" w:w="144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36" w:right="288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Phase 0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Foundation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2026–2030</w:t>
            </w:r>
          </w:p>
        </w:tc>
        <w:tc>
          <w:tcPr>
            <w:tcW w:type="dxa" w:w="54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2" w:after="0"/>
              <w:ind w:left="136" w:right="288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• Full-scale rectenna demo (1 MW) • SBSP treaty framework •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Mercury orbiter with SBSP pathfinder • Perovskite-Si tandem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space qualification</w:t>
            </w:r>
          </w:p>
        </w:tc>
        <w:tc>
          <w:tcPr>
            <w:tcW w:type="dxa" w:w="158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Demonstration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only</w:t>
            </w:r>
          </w:p>
        </w:tc>
      </w:tr>
      <w:tr>
        <w:trPr>
          <w:trHeight w:hRule="exact" w:val="1100"/>
        </w:trPr>
        <w:tc>
          <w:tcPr>
            <w:tcW w:type="dxa" w:w="144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36" w:right="432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Phase 1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Pathfinder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2030–2040</w:t>
            </w:r>
          </w:p>
        </w:tc>
        <w:tc>
          <w:tcPr>
            <w:tcW w:type="dxa" w:w="54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2" w:after="0"/>
              <w:ind w:left="136" w:right="14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• First Mercury-orbit collector (100 MW class) • L4 relay satellite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constellation • 4 ground rectenna stations (1 GW) • HVDC pilot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corridors</w:t>
            </w:r>
          </w:p>
        </w:tc>
        <w:tc>
          <w:tcPr>
            <w:tcW w:type="dxa" w:w="158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288" w:right="288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1–5 GW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delivered</w:t>
            </w:r>
          </w:p>
        </w:tc>
      </w:tr>
      <w:tr>
        <w:trPr>
          <w:trHeight w:hRule="exact" w:val="1100"/>
        </w:trPr>
        <w:tc>
          <w:tcPr>
            <w:tcW w:type="dxa" w:w="144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36" w:right="576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Phase 2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Scale-Up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2040–2055</w:t>
            </w:r>
          </w:p>
        </w:tc>
        <w:tc>
          <w:tcPr>
            <w:tcW w:type="dxa" w:w="54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2" w:after="0"/>
              <w:ind w:left="136" w:right="432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• Autonomous robotic swarm assembly • 1,000+ platforms at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Mercury • Global rectenna network (20 stations) • UHVDC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backbone completed</w:t>
            </w:r>
          </w:p>
        </w:tc>
        <w:tc>
          <w:tcPr>
            <w:tcW w:type="dxa" w:w="158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50–200 GW</w:t>
            </w:r>
          </w:p>
        </w:tc>
      </w:tr>
      <w:tr>
        <w:trPr>
          <w:trHeight w:hRule="exact" w:val="1100"/>
        </w:trPr>
        <w:tc>
          <w:tcPr>
            <w:tcW w:type="dxa" w:w="1440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36" w:right="288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Phase 3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Civilizational</w:t>
            </w:r>
          </w:p>
        </w:tc>
        <w:tc>
          <w:tcPr>
            <w:tcW w:type="dxa" w:w="1296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2" w:after="0"/>
              <w:ind w:left="0" w:right="0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2055–2080</w:t>
            </w:r>
          </w:p>
        </w:tc>
        <w:tc>
          <w:tcPr>
            <w:tcW w:type="dxa" w:w="5472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2" w:after="0"/>
              <w:ind w:left="136" w:right="368" w:firstLine="0"/>
              <w:jc w:val="both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• 40,000+ platform swarm • Full global supergrid integration •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Mercury in-situ resource utilization • Post-fossil-fuel transition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complete</w:t>
            </w:r>
          </w:p>
        </w:tc>
        <w:tc>
          <w:tcPr>
            <w:tcW w:type="dxa" w:w="1584"/>
            <w:tcBorders>
              <w:start w:sz="3.200000047683716" w:val="single" w:color="#D4D1CA"/>
              <w:top w:sz="3.200000047683716" w:val="single" w:color="#D4D1CA"/>
              <w:end w:sz="3.200000047683716" w:val="single" w:color="#D4D1CA"/>
              <w:bottom w:sz="3.200000047683716" w:val="single" w:color="#D4D1CA"/>
            </w:tcBorders>
            <w:shd w:fill="f6f6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288" w:right="288" w:firstLine="0"/>
              <w:jc w:val="center"/>
            </w:pP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 xml:space="preserve">20–50 TW </w:t>
            </w:r>
            <w:r>
              <w:rPr>
                <w:rFonts w:ascii="Lato" w:hAnsi="Lato" w:eastAsia="Lato"/>
                <w:b w:val="0"/>
                <w:i w:val="0"/>
                <w:color w:val="28251D"/>
                <w:sz w:val="18"/>
              </w:rPr>
              <w:t>potential</w:t>
            </w:r>
          </w:p>
        </w:tc>
      </w:tr>
    </w:tbl>
    <w:p>
      <w:pPr>
        <w:autoSpaceDN w:val="0"/>
        <w:autoSpaceDE w:val="0"/>
        <w:widowControl/>
        <w:spacing w:line="252" w:lineRule="auto" w:before="110" w:after="0"/>
        <w:ind w:left="1584" w:right="1584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Table 6. Mercury SBSP implementation roadmap — 2026–2080. Phase timelines are contingent on launch cost trajectory, </w:t>
      </w:r>
      <w:r>
        <w:rPr>
          <w:rFonts w:ascii="Lato" w:hAnsi="Lato" w:eastAsia="Lato"/>
          <w:b w:val="0"/>
          <w:i w:val="0"/>
          <w:color w:val="7A7974"/>
          <w:sz w:val="17"/>
        </w:rPr>
        <w:t>autonomous manufacturing breakthroughs, and international governance agreements.</w:t>
      </w:r>
    </w:p>
    <w:p>
      <w:pPr>
        <w:autoSpaceDN w:val="0"/>
        <w:autoSpaceDE w:val="0"/>
        <w:widowControl/>
        <w:spacing w:line="199" w:lineRule="auto" w:before="4258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18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240" w:lineRule="auto" w:before="9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777240</wp:posOffset>
            </wp:positionH>
            <wp:positionV relativeFrom="page">
              <wp:posOffset>1127760</wp:posOffset>
            </wp:positionV>
            <wp:extent cx="6217920" cy="33413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13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114" w:after="0"/>
        <w:ind w:left="1584" w:right="1584" w:firstLine="0"/>
        <w:jc w:val="center"/>
      </w:pPr>
      <w:r>
        <w:rPr>
          <w:rFonts w:ascii="Lato" w:hAnsi="Lato" w:eastAsia="Lato"/>
          <w:b w:val="0"/>
          <w:i w:val="0"/>
          <w:color w:val="7A7974"/>
          <w:sz w:val="17"/>
        </w:rPr>
        <w:t xml:space="preserve">Figure 6. Global energy demand vs. Mercury SBSP generation potential, 2024–2080. The conservative scenario reaches </w:t>
      </w:r>
      <w:r>
        <w:rPr>
          <w:rFonts w:ascii="Lato" w:hAnsi="Lato" w:eastAsia="Lato"/>
          <w:b w:val="0"/>
          <w:i w:val="0"/>
          <w:color w:val="7A7974"/>
          <w:sz w:val="17"/>
        </w:rPr>
        <w:t xml:space="preserve">demand-parity by ~2075; the optimistic scenario by ~2065. GEO SBSP reference (NASA 2024) is shown for comparison. </w:t>
      </w:r>
      <w:r>
        <w:rPr>
          <w:rFonts w:ascii="Lato" w:hAnsi="Lato" w:eastAsia="Lato"/>
          <w:b w:val="0"/>
          <w:i w:val="0"/>
          <w:color w:val="7A7974"/>
          <w:sz w:val="17"/>
        </w:rPr>
        <w:t>Demand trajectory based on Resources for the Future Global Energy Outlook 2025 and BNEF Net Zero Scenario 2026.</w:t>
      </w:r>
    </w:p>
    <w:p>
      <w:pPr>
        <w:autoSpaceDN w:val="0"/>
        <w:autoSpaceDE w:val="0"/>
        <w:widowControl/>
        <w:spacing w:line="199" w:lineRule="auto" w:before="7366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19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VIII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VIII. Economic &amp; Policy Analysis</w:t>
      </w:r>
    </w:p>
    <w:p>
      <w:pPr>
        <w:autoSpaceDN w:val="0"/>
        <w:autoSpaceDE w:val="0"/>
        <w:widowControl/>
        <w:spacing w:line="199" w:lineRule="auto" w:before="62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Cost Trajectory</w:t>
      </w:r>
    </w:p>
    <w:p>
      <w:pPr>
        <w:autoSpaceDN w:val="0"/>
        <w:autoSpaceDE w:val="0"/>
        <w:widowControl/>
        <w:spacing w:line="300" w:lineRule="auto" w:before="226" w:after="0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NASA 2024 SBSP study estimated first-of-a-kind 2 GW GEO systems at $276B–$434B lifecycle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cost, with LCOE of $0.61–$1.59/kWh at baseline assumptions — versus terrestrial wind/solar at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$0.02–$0.05/kWh. However, the competitive sensitivity analysis, which assumes $50M/launch (vs. </w:t>
      </w:r>
      <w:r>
        <w:rPr>
          <w:rFonts w:ascii="Lato" w:hAnsi="Lato" w:eastAsia="Lato"/>
          <w:b w:val="0"/>
          <w:i w:val="0"/>
          <w:color w:val="28251D"/>
          <w:sz w:val="21"/>
        </w:rPr>
        <w:t>$100M baseline), 50% solar efficiency, and 85% learning curves, yields LCOE of $0.03–$0.08/kWh —</w:t>
      </w:r>
      <w:r>
        <w:rPr>
          <w:rFonts w:ascii="Lato" w:hAnsi="Lato" w:eastAsia="Lato"/>
          <w:b w:val="0"/>
          <w:i w:val="0"/>
          <w:color w:val="28251D"/>
          <w:sz w:val="21"/>
        </w:rPr>
        <w:t>competitive with all terrestrial alternatives.</w:t>
      </w:r>
      <w:r>
        <w:rPr>
          <w:rFonts w:ascii="Lato" w:hAnsi="Lato" w:eastAsia="Lato"/>
          <w:b w:val="0"/>
          <w:i w:val="0"/>
          <w:color w:val="28251D"/>
          <w:sz w:val="17"/>
        </w:rPr>
        <w:t>13</w:t>
      </w:r>
    </w:p>
    <w:p>
      <w:pPr>
        <w:autoSpaceDN w:val="0"/>
        <w:autoSpaceDE w:val="0"/>
        <w:widowControl/>
        <w:spacing w:line="302" w:lineRule="auto" w:before="250" w:after="0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Mercury scenario modifies this analysis in two important ways: (1) the 6.7× solar irradiance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advantage directly multiplies the power output per unit collector area, reducing the required mass and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launch cadence by 6.7× for equivalent delivered power; (2) the greater Earth-Mercury distance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introduces relay infrastructure costs absent in GEO architectures. Net effect: the Mercury system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becomes economically superior to GEO SBSP once autonomous in-space assembly matures and relay </w:t>
      </w:r>
      <w:r>
        <w:rPr>
          <w:rFonts w:ascii="Lato" w:hAnsi="Lato" w:eastAsia="Lato"/>
          <w:b w:val="0"/>
          <w:i w:val="0"/>
          <w:color w:val="28251D"/>
          <w:sz w:val="21"/>
        </w:rPr>
        <w:t>satellite costs are amortized across a large swarm.</w:t>
      </w:r>
    </w:p>
    <w:p>
      <w:pPr>
        <w:autoSpaceDN w:val="0"/>
        <w:autoSpaceDE w:val="0"/>
        <w:widowControl/>
        <w:spacing w:line="199" w:lineRule="auto" w:before="504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Policy &amp; Governance Requirements</w:t>
      </w:r>
    </w:p>
    <w:p>
      <w:pPr>
        <w:autoSpaceDN w:val="0"/>
        <w:autoSpaceDE w:val="0"/>
        <w:widowControl/>
        <w:spacing w:line="283" w:lineRule="auto" w:before="226" w:after="0"/>
        <w:ind w:left="1704" w:right="144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International Space Law: The Outer Space Treaty (1967) does not prohibit commercial resource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utilization but lacks a framework for large-scale Mercury-orbit infrastructure. New multilateral </w:t>
      </w:r>
      <w:r>
        <w:rPr>
          <w:rFonts w:ascii="Lato" w:hAnsi="Lato" w:eastAsia="Lato"/>
          <w:b w:val="0"/>
          <w:i w:val="0"/>
          <w:color w:val="28251D"/>
          <w:sz w:val="21"/>
        </w:rPr>
        <w:t>agreements modeled on the Artemis Accords will be required.</w:t>
      </w:r>
    </w:p>
    <w:p>
      <w:pPr>
        <w:autoSpaceDN w:val="0"/>
        <w:autoSpaceDE w:val="0"/>
        <w:widowControl/>
        <w:spacing w:line="262" w:lineRule="auto" w:before="170" w:after="0"/>
        <w:ind w:left="1704" w:right="1872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Spectrum Governance: ITU coordination for dedicated 2.45/5.8 GHz SBSP allocations, with </w:t>
      </w:r>
      <w:r>
        <w:rPr>
          <w:rFonts w:ascii="Lato" w:hAnsi="Lato" w:eastAsia="Lato"/>
          <w:b w:val="0"/>
          <w:i w:val="0"/>
          <w:color w:val="28251D"/>
          <w:sz w:val="21"/>
        </w:rPr>
        <w:t>interference protection for astronomy and communication systems.</w:t>
      </w:r>
    </w:p>
    <w:p>
      <w:pPr>
        <w:autoSpaceDN w:val="0"/>
        <w:autoSpaceDE w:val="0"/>
        <w:widowControl/>
        <w:spacing w:line="262" w:lineRule="auto" w:before="170" w:after="0"/>
        <w:ind w:left="1704" w:right="2016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Safety Protocols: ICNIRP-compliant beam power density limits; international monitoring of </w:t>
      </w:r>
      <w:r>
        <w:rPr>
          <w:rFonts w:ascii="Lato" w:hAnsi="Lato" w:eastAsia="Lato"/>
          <w:b w:val="0"/>
          <w:i w:val="0"/>
          <w:color w:val="28251D"/>
          <w:sz w:val="21"/>
        </w:rPr>
        <w:t>rectenna exclusion zones; fail-safe power-density pilot signal architecture.</w:t>
      </w:r>
    </w:p>
    <w:p>
      <w:pPr>
        <w:autoSpaceDN w:val="0"/>
        <w:autoSpaceDE w:val="0"/>
        <w:widowControl/>
        <w:spacing w:line="283" w:lineRule="auto" w:before="170" w:after="0"/>
        <w:ind w:left="1704" w:right="1296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Equitable Access: Global energy equity provisions ensuring developing nations receive SBSP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power at cost-parity with developed economies — a key alignment with TC-S Network Foundation's </w:t>
      </w:r>
      <w:r>
        <w:rPr>
          <w:rFonts w:ascii="Lato" w:hAnsi="Lato" w:eastAsia="Lato"/>
          <w:b w:val="0"/>
          <w:i w:val="0"/>
          <w:color w:val="28251D"/>
          <w:sz w:val="21"/>
        </w:rPr>
        <w:t>Global Basic Income framework.</w:t>
      </w:r>
    </w:p>
    <w:p>
      <w:pPr>
        <w:autoSpaceDN w:val="0"/>
        <w:autoSpaceDE w:val="0"/>
        <w:widowControl/>
        <w:spacing w:line="262" w:lineRule="auto" w:before="170" w:after="0"/>
        <w:ind w:left="1704" w:right="2448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• Technology Transfer: Open-access licensing of fundamental SBSP patents to prevent </w:t>
      </w:r>
      <w:r>
        <w:rPr>
          <w:rFonts w:ascii="Lato" w:hAnsi="Lato" w:eastAsia="Lato"/>
          <w:b w:val="0"/>
          <w:i w:val="0"/>
          <w:color w:val="28251D"/>
          <w:sz w:val="21"/>
        </w:rPr>
        <w:t>monopolization of civilization-critical infrastructure.</w:t>
      </w:r>
    </w:p>
    <w:p>
      <w:pPr>
        <w:autoSpaceDN w:val="0"/>
        <w:autoSpaceDE w:val="0"/>
        <w:widowControl/>
        <w:spacing w:line="199" w:lineRule="auto" w:before="225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20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9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9360"/>
      </w:tblGrid>
      <w:tr>
        <w:trPr>
          <w:trHeight w:hRule="exact" w:val="1760"/>
        </w:trPr>
        <w:tc>
          <w:tcPr>
            <w:tcW w:type="dxa" w:w="9792"/>
            <w:tcBorders>
              <w:start w:sz="6.400000095367432" w:val="single" w:color="#01696E"/>
              <w:top w:sz="6.400000095367432" w:val="single" w:color="#01696E"/>
              <w:end w:sz="6.400000095367432" w:val="single" w:color="#01696E"/>
              <w:bottom w:sz="6.400000095367432" w:val="single" w:color="#01696E"/>
            </w:tcBorders>
            <w:shd w:fill="ed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32" w:after="0"/>
              <w:ind w:left="552" w:right="548" w:firstLine="0"/>
              <w:jc w:val="both"/>
            </w:pP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Economic Inflection Point: When reusable heavy-lift launch costs reach $200/kg (SpaceX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Starship generation 3 trajectory) and thin-film PV achieves 500 W/kg specific power,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 xml:space="preserve">Mercury SBSP LCOE enters competitive range with terrestrial utility solar — approximately </w:t>
            </w:r>
            <w:r>
              <w:rPr>
                <w:rFonts w:ascii="Lato" w:hAnsi="Lato" w:eastAsia="Lato"/>
                <w:b/>
                <w:i w:val="0"/>
                <w:color w:val="0C4E54"/>
                <w:sz w:val="21"/>
              </w:rPr>
              <w:t>2040–2045 under current technology trajectory projections.</w:t>
            </w:r>
          </w:p>
        </w:tc>
      </w:tr>
    </w:tbl>
    <w:p>
      <w:pPr>
        <w:autoSpaceDN w:val="0"/>
        <w:autoSpaceDE w:val="0"/>
        <w:widowControl/>
        <w:spacing w:line="269" w:lineRule="auto" w:before="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13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NASA Office of Technology, Policy, and Strategy — Space-Based Solar Power Report, January 2024.</w:t>
      </w:r>
    </w:p>
    <w:p>
      <w:pPr>
        <w:autoSpaceDN w:val="0"/>
        <w:autoSpaceDE w:val="0"/>
        <w:widowControl/>
        <w:spacing w:line="199" w:lineRule="auto" w:before="8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26" w:history="1">
          <w:r>
            <w:rPr>
              <w:rStyle w:val="Hyperlink"/>
            </w:rPr>
            <w:t>https://www.nasa.gov/wp-content/uploads/2024/01/otps-sbsp-report-final-tagged-approved-1-8-24-tagged-v2.pdf</w:t>
          </w:r>
        </w:hyperlink>
      </w:r>
    </w:p>
    <w:p>
      <w:pPr>
        <w:autoSpaceDN w:val="0"/>
        <w:autoSpaceDE w:val="0"/>
        <w:widowControl/>
        <w:spacing w:line="199" w:lineRule="auto" w:before="1124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21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18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16"/>
        </w:rPr>
        <w:t>SECTION IX</w:t>
      </w:r>
    </w:p>
    <w:p>
      <w:pPr>
        <w:autoSpaceDN w:val="0"/>
        <w:autoSpaceDE w:val="0"/>
        <w:widowControl/>
        <w:spacing w:line="199" w:lineRule="auto" w:before="606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1696F"/>
          <w:sz w:val="40"/>
        </w:rPr>
        <w:t>IX. Conclusion &amp; Recommended Next Steps</w:t>
      </w:r>
    </w:p>
    <w:p>
      <w:pPr>
        <w:autoSpaceDN w:val="0"/>
        <w:autoSpaceDE w:val="0"/>
        <w:widowControl/>
        <w:spacing w:line="293" w:lineRule="auto" w:before="412" w:after="0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The post-fossil-fuel civilization is not a distant speculative horizon — it is the engineering and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governance challenge of the next five decades. Terrestrial renewables will carry the load through 2040,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but the scale, intermittency, and land-use constraints of planetary-surface energy collection impose a </w:t>
      </w:r>
      <w:r>
        <w:rPr>
          <w:rFonts w:ascii="Lato" w:hAnsi="Lato" w:eastAsia="Lato"/>
          <w:b w:val="0"/>
          <w:i w:val="0"/>
          <w:color w:val="28251D"/>
          <w:sz w:val="21"/>
        </w:rPr>
        <w:t>ceiling that space-based solar power is uniquely positioned to transcend.</w:t>
      </w:r>
    </w:p>
    <w:p>
      <w:pPr>
        <w:autoSpaceDN w:val="0"/>
        <w:autoSpaceDE w:val="0"/>
        <w:widowControl/>
        <w:spacing w:line="302" w:lineRule="auto" w:before="250" w:after="0"/>
        <w:ind w:left="1344" w:right="1340" w:firstLine="0"/>
        <w:jc w:val="both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Mercury-orbit SBSP represents the maximum thermodynamic expression of this concept: a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civilization-scale energy source that exploits the strongest solar resource in the inner solar system,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delivered anywhere on Earth at any time. The physics are sound, the enabling technologies — GaAs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thin-film PV, microwave WPT, phased arrays, HVDC supergrid, autonomous robotics — are either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mature or on credible development trajectories, and the economic pathway to competitiveness is visible </w:t>
      </w:r>
      <w:r>
        <w:rPr>
          <w:rFonts w:ascii="Lato" w:hAnsi="Lato" w:eastAsia="Lato"/>
          <w:b w:val="0"/>
          <w:i w:val="0"/>
          <w:color w:val="28251D"/>
          <w:sz w:val="21"/>
        </w:rPr>
        <w:t>under reasonable assumptions.</w:t>
      </w:r>
    </w:p>
    <w:p>
      <w:pPr>
        <w:autoSpaceDN w:val="0"/>
        <w:autoSpaceDE w:val="0"/>
        <w:widowControl/>
        <w:spacing w:line="199" w:lineRule="auto" w:before="504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Recommended Next Steps</w:t>
      </w:r>
    </w:p>
    <w:p>
      <w:pPr>
        <w:autoSpaceDN w:val="0"/>
        <w:autoSpaceDE w:val="0"/>
        <w:widowControl/>
        <w:spacing w:line="283" w:lineRule="auto" w:before="226" w:after="0"/>
        <w:ind w:left="1704" w:right="144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1. Establish a Mercury SBSP Research Consortium: Bring together ESA, JAXA, NASA, and private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actors (Caltech SSPP, European space solar startups) to define a coordinated technology roadmap </w:t>
      </w:r>
      <w:r>
        <w:rPr>
          <w:rFonts w:ascii="Lato" w:hAnsi="Lato" w:eastAsia="Lato"/>
          <w:b w:val="0"/>
          <w:i w:val="0"/>
          <w:color w:val="28251D"/>
          <w:sz w:val="21"/>
        </w:rPr>
        <w:t>and shared demonstrator architecture.</w:t>
      </w:r>
    </w:p>
    <w:p>
      <w:pPr>
        <w:autoSpaceDN w:val="0"/>
        <w:autoSpaceDE w:val="0"/>
        <w:widowControl/>
        <w:spacing w:line="283" w:lineRule="auto" w:before="170" w:after="0"/>
        <w:ind w:left="1704" w:right="158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2. Commission a Phase 0 Mercury Orbiter with SBSP Pathfinder: A BepiColombo-class mission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carrying rectenna calibration targets, solar cell test beds, and microwave transmitter prototypes, </w:t>
      </w:r>
      <w:r>
        <w:rPr>
          <w:rFonts w:ascii="Lato" w:hAnsi="Lato" w:eastAsia="Lato"/>
          <w:b w:val="0"/>
          <w:i w:val="0"/>
          <w:color w:val="28251D"/>
          <w:sz w:val="21"/>
        </w:rPr>
        <w:t>launching by 2032.</w:t>
      </w:r>
    </w:p>
    <w:p>
      <w:pPr>
        <w:autoSpaceDN w:val="0"/>
        <w:autoSpaceDE w:val="0"/>
        <w:widowControl/>
        <w:spacing w:line="262" w:lineRule="auto" w:before="170" w:after="0"/>
        <w:ind w:left="1704" w:right="1296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3. Accelerate Perovskite-Si Tandem Space Qualification: Leverage Caltech ALBA-class experiments </w:t>
      </w:r>
      <w:r>
        <w:rPr>
          <w:rFonts w:ascii="Lato" w:hAnsi="Lato" w:eastAsia="Lato"/>
          <w:b w:val="0"/>
          <w:i w:val="0"/>
          <w:color w:val="28251D"/>
          <w:sz w:val="21"/>
        </w:rPr>
        <w:t>to characterize 34.85%-class tandem cells in Mercury-analog radiation and thermal environments.</w:t>
      </w:r>
    </w:p>
    <w:p>
      <w:pPr>
        <w:autoSpaceDN w:val="0"/>
        <w:autoSpaceDE w:val="0"/>
        <w:widowControl/>
        <w:spacing w:line="283" w:lineRule="auto" w:before="170" w:after="0"/>
        <w:ind w:left="1704" w:right="158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4. Draft the Mercury Energy Treaty: Commission UNOOSA and ITU to develop the international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legal and spectrum governance framework for Mercury-orbit SBSP, modeled on the Antarctic </w:t>
      </w:r>
      <w:r>
        <w:rPr>
          <w:rFonts w:ascii="Lato" w:hAnsi="Lato" w:eastAsia="Lato"/>
          <w:b w:val="0"/>
          <w:i w:val="0"/>
          <w:color w:val="28251D"/>
          <w:sz w:val="21"/>
        </w:rPr>
        <w:t>Treaty and Artemis Accords.</w:t>
      </w:r>
    </w:p>
    <w:p>
      <w:pPr>
        <w:autoSpaceDN w:val="0"/>
        <w:autoSpaceDE w:val="0"/>
        <w:widowControl/>
        <w:spacing w:line="283" w:lineRule="auto" w:before="170" w:after="0"/>
        <w:ind w:left="1704" w:right="158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5. Integrate with Global Basic Income Frameworks: Ensure that the energy equity dividend from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Mercury SBSP is embedded in international agreements from inception, not retrofitted — aligning </w:t>
      </w:r>
      <w:r>
        <w:rPr>
          <w:rFonts w:ascii="Lato" w:hAnsi="Lato" w:eastAsia="Lato"/>
          <w:b w:val="0"/>
          <w:i w:val="0"/>
          <w:color w:val="28251D"/>
          <w:sz w:val="21"/>
        </w:rPr>
        <w:t>with TC-S Network Foundation's Global Basic Income and Digital Artifact Marketplace platform.</w:t>
      </w:r>
    </w:p>
    <w:p>
      <w:pPr>
        <w:autoSpaceDN w:val="0"/>
        <w:autoSpaceDE w:val="0"/>
        <w:widowControl/>
        <w:spacing w:line="283" w:lineRule="auto" w:before="170" w:after="0"/>
        <w:ind w:left="1704" w:right="1584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 xml:space="preserve">6. Fund Autonomous In-Space Manufacturing Research: The critical path item is kilometer-scale </w:t>
      </w:r>
      <w:r>
        <w:rPr>
          <w:rFonts w:ascii="Lato" w:hAnsi="Lato" w:eastAsia="Lato"/>
          <w:b w:val="0"/>
          <w:i w:val="0"/>
          <w:color w:val="28251D"/>
          <w:sz w:val="21"/>
        </w:rPr>
        <w:t xml:space="preserve">autonomous robotic assembly. Dedicated programs at $1–5B scale across the 2026–2035 period </w:t>
      </w:r>
      <w:r>
        <w:rPr>
          <w:rFonts w:ascii="Lato" w:hAnsi="Lato" w:eastAsia="Lato"/>
          <w:b w:val="0"/>
          <w:i w:val="0"/>
          <w:color w:val="28251D"/>
          <w:sz w:val="21"/>
        </w:rPr>
        <w:t>would accelerate this by a decade.</w:t>
      </w:r>
    </w:p>
    <w:p>
      <w:pPr>
        <w:autoSpaceDN w:val="0"/>
        <w:autoSpaceDE w:val="0"/>
        <w:widowControl/>
        <w:spacing w:line="199" w:lineRule="auto" w:before="157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22</w:t>
      </w:r>
    </w:p>
    <w:p>
      <w:pPr>
        <w:sectPr>
          <w:pgSz w:w="12240" w:h="15840"/>
          <w:pgMar w:top="0" w:right="0" w:bottom="23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536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4" w:right="0" w:firstLine="0"/>
              <w:jc w:val="left"/>
            </w:pPr>
            <w:r>
              <w:rPr>
                <w:rFonts w:ascii="Lato" w:hAnsi="Lato" w:eastAsia="Lato"/>
                <w:b/>
                <w:i w:val="0"/>
                <w:color w:val="01696F"/>
                <w:sz w:val="16"/>
              </w:rPr>
              <w:t>Post-Fossil Fuel Civilization: Mercury Space-Based Solar Power</w:t>
            </w:r>
          </w:p>
        </w:tc>
        <w:tc>
          <w:tcPr>
            <w:tcW w:type="dxa" w:w="4440"/>
            <w:tcBorders>
              <w:bottom w:sz="4.0" w:val="single" w:color="#D4D1CA"/>
            </w:tcBorders>
            <w:shd w:fill="f9f8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4" w:after="0"/>
              <w:ind w:left="918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7A7974"/>
                <w:sz w:val="16"/>
              </w:rPr>
              <w:t>TC-S Network Foundation  |  White Paper  |  2026</w:t>
            </w:r>
          </w:p>
        </w:tc>
      </w:tr>
    </w:tbl>
    <w:p>
      <w:pPr>
        <w:autoSpaceDN w:val="0"/>
        <w:autoSpaceDE w:val="0"/>
        <w:widowControl/>
        <w:spacing w:line="199" w:lineRule="auto" w:before="1026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The energy that built civilization was buried in the Earth. The energy that sustains the next civilization —</w:t>
      </w:r>
    </w:p>
    <w:p>
      <w:pPr>
        <w:autoSpaceDN w:val="0"/>
        <w:autoSpaceDE w:val="0"/>
        <w:widowControl/>
        <w:spacing w:line="199" w:lineRule="auto" w:before="13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post-scarcity, post-carbon, post-conflict over fuel — burns 90 million kilometers away, eight minutes of</w:t>
      </w:r>
    </w:p>
    <w:p>
      <w:pPr>
        <w:autoSpaceDN w:val="0"/>
        <w:autoSpaceDE w:val="0"/>
        <w:widowControl/>
        <w:spacing w:line="199" w:lineRule="auto" w:before="13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light-travel from this sentence, patient and inexhaustible. Mercury stands between us and that star,</w:t>
      </w:r>
    </w:p>
    <w:p>
      <w:pPr>
        <w:autoSpaceDN w:val="0"/>
        <w:autoSpaceDE w:val="0"/>
        <w:widowControl/>
        <w:spacing w:line="199" w:lineRule="auto" w:before="13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closer than any other world, bathed in irradiance ten times what we know. The question is not whether</w:t>
      </w:r>
    </w:p>
    <w:p>
      <w:pPr>
        <w:autoSpaceDN w:val="0"/>
        <w:autoSpaceDE w:val="0"/>
        <w:widowControl/>
        <w:spacing w:line="199" w:lineRule="auto" w:before="130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28251D"/>
          <w:sz w:val="21"/>
        </w:rPr>
        <w:t>this energy can be harvested. The question is whether we will build the institutions, the technology, and</w:t>
      </w:r>
    </w:p>
    <w:p>
      <w:pPr>
        <w:autoSpaceDN w:val="0"/>
        <w:autoSpaceDE w:val="0"/>
        <w:widowControl/>
        <w:spacing w:line="199" w:lineRule="auto" w:before="13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28251D"/>
          <w:sz w:val="21"/>
        </w:rPr>
        <w:t>the will to reach for it.</w:t>
      </w:r>
    </w:p>
    <w:p>
      <w:pPr>
        <w:autoSpaceDN w:val="0"/>
        <w:autoSpaceDE w:val="0"/>
        <w:widowControl/>
        <w:spacing w:line="199" w:lineRule="auto" w:before="944" w:after="0"/>
        <w:ind w:left="1344" w:right="0" w:firstLine="0"/>
        <w:jc w:val="left"/>
      </w:pPr>
      <w:r>
        <w:rPr>
          <w:rFonts w:ascii="Lato" w:hAnsi="Lato" w:eastAsia="Lato"/>
          <w:b/>
          <w:i w:val="0"/>
          <w:color w:val="0C4E54"/>
          <w:sz w:val="28"/>
        </w:rPr>
        <w:t>Complete Source Index</w:t>
      </w:r>
    </w:p>
    <w:p>
      <w:pPr>
        <w:autoSpaceDN w:val="0"/>
        <w:autoSpaceDE w:val="0"/>
        <w:widowControl/>
        <w:spacing w:line="329" w:lineRule="auto" w:before="184" w:after="0"/>
        <w:ind w:left="1344" w:right="1296" w:firstLine="0"/>
        <w:jc w:val="left"/>
      </w:pPr>
      <w:r>
        <w:rPr>
          <w:rFonts w:ascii="Lato" w:hAnsi="Lato" w:eastAsia="Lato"/>
          <w:b w:val="0"/>
          <w:i w:val="0"/>
          <w:color w:val="7A7974"/>
          <w:sz w:val="12"/>
        </w:rPr>
        <w:t>1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IEA World Energy Outlook 2024 — $2 trillion clean energy investment.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9" w:history="1">
          <w:r>
            <w:rPr>
              <w:rStyle w:val="Hyperlink"/>
            </w:rPr>
            <w:t xml:space="preserve">https://www.iea.org/reports/world-energy-outlook-2024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2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Ember Global Electricity Review H1 2025 — renewables exceed coal.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0" w:history="1">
          <w:r>
            <w:rPr>
              <w:rStyle w:val="Hyperlink"/>
            </w:rPr>
            <w:t xml:space="preserve">https://ember-energy.org/latest-insights/global-electricity-review-2025/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3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Fluxim AG: Perovskite solar cell efficiency records 2026 update (LONGi 34.85%).</w:t>
      </w:r>
    </w:p>
    <w:p>
      <w:pPr>
        <w:autoSpaceDN w:val="0"/>
        <w:autoSpaceDE w:val="0"/>
        <w:widowControl/>
        <w:spacing w:line="334" w:lineRule="auto" w:before="80" w:after="0"/>
        <w:ind w:left="1344" w:right="1872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11" w:history="1">
          <w:r>
            <w:rPr>
              <w:rStyle w:val="Hyperlink"/>
            </w:rPr>
            <w:t xml:space="preserve">https://www.fluxim.com/research-blogs/perovskite-silicon-tandem-pv-record-updates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4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Mercury (planet) — Wikipedia / JPL Horizons orbital parameters.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2" w:history="1">
          <w:r>
            <w:rPr>
              <w:rStyle w:val="Hyperlink"/>
            </w:rPr>
            <w:t xml:space="preserve">https://en.wikipedia.org/wiki/Mercury_(planet)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5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Resources for the Future, Global Energy Outlook 2025.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3" w:history="1">
          <w:r>
            <w:rPr>
              <w:rStyle w:val="Hyperlink"/>
            </w:rPr>
            <w:t xml:space="preserve">https://www.rff.org/publications/reports/global-energy-outlook-2025/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6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IEA Renewables 2023 — 562 GW record addition; 11,000 GW target.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14" w:history="1">
          <w:r>
            <w:rPr>
              <w:rStyle w:val="Hyperlink"/>
            </w:rPr>
            <w:t xml:space="preserve">https://www.iea.org/reports/renewables-2023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7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ESA BepiColombo Environmental Specification — Mercury solar irradiance values.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7" w:history="1">
          <w:r>
            <w:rPr>
              <w:rStyle w:val="Hyperlink"/>
            </w:rPr>
            <w:t xml:space="preserve">https://sci.esa.int/c/portal/doc.cfm?fobjectid=34737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8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Caltech SSPP — SSPD-1 in-space mission results (MAPLE WPT demonstration 2024).</w:t>
      </w:r>
    </w:p>
    <w:p>
      <w:pPr>
        <w:autoSpaceDN w:val="0"/>
        <w:autoSpaceDE w:val="0"/>
        <w:widowControl/>
        <w:spacing w:line="281" w:lineRule="auto" w:before="80" w:after="0"/>
        <w:ind w:left="1344" w:right="2736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19" w:history="1">
          <w:r>
            <w:rPr>
              <w:rStyle w:val="Hyperlink"/>
            </w:rPr>
            <w:t xml:space="preserve">https://www.caltech.edu/about/news/space-solar-power-project-ends-first-in-space-mission-with-successes-and-lessons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9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Japan OHISAMA / JAXA space solar power LEO demonstration 2025.</w:t>
      </w:r>
    </w:p>
    <w:p>
      <w:pPr>
        <w:autoSpaceDN w:val="0"/>
        <w:autoSpaceDE w:val="0"/>
        <w:widowControl/>
        <w:spacing w:line="322" w:lineRule="auto" w:before="80" w:after="0"/>
        <w:ind w:left="1344" w:right="1296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20" w:history="1">
          <w:r>
            <w:rPr>
              <w:rStyle w:val="Hyperlink"/>
            </w:rPr>
            <w:t xml:space="preserve">https://www.space.com/japan-space-based-solar-power-demonstration-2025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10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Nature Scientific Reports 2025 — Broadband compact rectenna 77% PCE at 5.8 GHz.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1" w:history="1">
          <w:r>
            <w:rPr>
              <w:rStyle w:val="Hyperlink"/>
            </w:rPr>
            <w:t xml:space="preserve">https://www.nature.com/articles/s41598-025-02555-1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11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Spherical Insights HVDC Transmission Market Report 2024–2035.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3" w:history="1">
          <w:r>
            <w:rPr>
              <w:rStyle w:val="Hyperlink"/>
            </w:rPr>
            <w:t xml:space="preserve">https://www.sphericalinsights.com/blogs/top-15-companies-in-hvdc-trans </w:t>
          </w:r>
        </w:hyperlink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3" w:history="1">
          <w:r>
            <w:rPr>
              <w:rStyle w:val="Hyperlink"/>
            </w:rPr>
            <w:t xml:space="preserve">mission-market-worldwide-in-2025-market-research-report-2024-2035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12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Industrial Info Resources — Rise of HVDC Technology in Global Energy Transmission.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4" w:history="1">
          <w:r>
            <w:rPr>
              <w:rStyle w:val="Hyperlink"/>
            </w:rPr>
            <w:t xml:space="preserve">https://www.industrialinfo.com/iirenergy/industry-new </w:t>
          </w:r>
        </w:hyperlink>
      </w:r>
      <w:r>
        <w:rPr>
          <w:rFonts w:ascii="Lato" w:hAnsi="Lato" w:eastAsia="Lato"/>
          <w:b w:val="0"/>
          <w:i w:val="0"/>
          <w:color w:val="01696F"/>
          <w:sz w:val="15"/>
        </w:rPr>
        <w:hyperlink r:id="rId24" w:history="1">
          <w:r>
            <w:rPr>
              <w:rStyle w:val="Hyperlink"/>
            </w:rPr>
            <w:t xml:space="preserve">s/article/empowering-the-grid-the-rise-of-hvdc-technology-in-global-energy-transmission--330937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13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NASA OTPS — Space-Based Solar Power Study Report, January 2024.</w:t>
      </w:r>
    </w:p>
    <w:p>
      <w:pPr>
        <w:autoSpaceDN w:val="0"/>
        <w:autoSpaceDE w:val="0"/>
        <w:widowControl/>
        <w:spacing w:line="281" w:lineRule="auto" w:before="80" w:after="0"/>
        <w:ind w:left="1344" w:right="3024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26" w:history="1">
          <w:r>
            <w:rPr>
              <w:rStyle w:val="Hyperlink"/>
            </w:rPr>
            <w:t xml:space="preserve">https://www.nasa.gov/wp-content/uploads/2024/01/otps-sbsp-report-final-tagged-approved-1-8-24-tagged-v2.pdf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14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A1 SolarStore — Satellite Solar Panels &amp; Space-Based Solar Power Analysis 2025.</w:t>
      </w:r>
    </w:p>
    <w:p>
      <w:pPr>
        <w:autoSpaceDN w:val="0"/>
        <w:autoSpaceDE w:val="0"/>
        <w:widowControl/>
        <w:spacing w:line="281" w:lineRule="auto" w:before="80" w:after="0"/>
        <w:ind w:left="1344" w:right="4464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28" w:history="1">
          <w:r>
            <w:rPr>
              <w:rStyle w:val="Hyperlink"/>
            </w:rPr>
            <w:t xml:space="preserve">https://a1solarstore.com/blog/how-satellite-solar-panels-power-our-cosmic-infrastructure.html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15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Harvard Technology Review — Future of Space-Based Solar Power, September 2025.</w:t>
      </w:r>
    </w:p>
    <w:p>
      <w:pPr>
        <w:autoSpaceDN w:val="0"/>
        <w:autoSpaceDE w:val="0"/>
        <w:widowControl/>
        <w:spacing w:line="281" w:lineRule="auto" w:before="80" w:after="0"/>
        <w:ind w:left="1344" w:right="2448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29" w:history="1">
          <w:r>
            <w:rPr>
              <w:rStyle w:val="Hyperlink"/>
            </w:rPr>
            <w:t xml:space="preserve">https://harvardtechnologyreview.com/2025/09/05/the-future-of-energy-unlocking-the-potential-of-space-based-solar-power/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16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SNS Insider — Space-Based Solar Power Market Size Report 2025–2035.</w:t>
      </w:r>
    </w:p>
    <w:p>
      <w:pPr>
        <w:autoSpaceDN w:val="0"/>
        <w:autoSpaceDE w:val="0"/>
        <w:widowControl/>
        <w:spacing w:line="307" w:lineRule="auto" w:before="80" w:after="0"/>
        <w:ind w:left="1344" w:right="2016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30" w:history="1">
          <w:r>
            <w:rPr>
              <w:rStyle w:val="Hyperlink"/>
            </w:rPr>
            <w:t xml:space="preserve">https://www.snsinsider.com/reports/space-based-solar-power-market-8434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7A7974"/>
          <w:sz w:val="12"/>
        </w:rPr>
        <w:t>17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PMC Living Reviews in Solar Physics — Solar irradiance measurements 2025. </w:t>
      </w:r>
      <w:r>
        <w:rPr>
          <w:rFonts w:ascii="Lato" w:hAnsi="Lato" w:eastAsia="Lato"/>
          <w:b w:val="0"/>
          <w:i w:val="0"/>
          <w:color w:val="01696F"/>
          <w:sz w:val="15"/>
        </w:rPr>
        <w:hyperlink r:id="rId31" w:history="1">
          <w:r>
            <w:rPr>
              <w:rStyle w:val="Hyperlink"/>
            </w:rPr>
            <w:t xml:space="preserve">https://pmc.ncbi.nlm.nih.gov/articles/PMC12254092/ </w:t>
          </w:r>
        </w:hyperlink>
      </w:r>
      <w:r>
        <w:rPr>
          <w:rFonts w:ascii="Lato" w:hAnsi="Lato" w:eastAsia="Lato"/>
          <w:b w:val="0"/>
          <w:i w:val="0"/>
          <w:color w:val="7A7974"/>
          <w:sz w:val="12"/>
        </w:rPr>
        <w:t>18</w:t>
      </w:r>
      <w:r>
        <w:rPr>
          <w:rFonts w:ascii="Lato" w:hAnsi="Lato" w:eastAsia="Lato"/>
          <w:b w:val="0"/>
          <w:i w:val="0"/>
          <w:color w:val="7A7974"/>
          <w:sz w:val="15"/>
        </w:rPr>
        <w:t xml:space="preserve"> BloombergNEF — How the Energy Transition Is Rewiring Global Trade: 2050 Scenarios.</w:t>
      </w:r>
    </w:p>
    <w:p>
      <w:pPr>
        <w:autoSpaceDN w:val="0"/>
        <w:autoSpaceDE w:val="0"/>
        <w:widowControl/>
        <w:spacing w:line="199" w:lineRule="auto" w:before="80" w:after="0"/>
        <w:ind w:left="1344" w:right="0" w:firstLine="0"/>
        <w:jc w:val="left"/>
      </w:pPr>
      <w:r>
        <w:rPr>
          <w:rFonts w:ascii="Lato" w:hAnsi="Lato" w:eastAsia="Lato"/>
          <w:b w:val="0"/>
          <w:i w:val="0"/>
          <w:color w:val="01696F"/>
          <w:sz w:val="15"/>
        </w:rPr>
        <w:hyperlink r:id="rId32" w:history="1">
          <w:r>
            <w:rPr>
              <w:rStyle w:val="Hyperlink"/>
            </w:rPr>
            <w:t>https://about.bnef.com/insights/clean-energy/how-the-energy-transition-is-rewiring-global-trade-2050-scenarios/</w:t>
          </w:r>
        </w:hyperlink>
      </w:r>
    </w:p>
    <w:p>
      <w:pPr>
        <w:autoSpaceDN w:val="0"/>
        <w:autoSpaceDE w:val="0"/>
        <w:widowControl/>
        <w:spacing w:line="199" w:lineRule="auto" w:before="2982" w:after="0"/>
        <w:ind w:left="0" w:right="0" w:firstLine="0"/>
        <w:jc w:val="center"/>
      </w:pPr>
      <w:r>
        <w:rPr>
          <w:rFonts w:ascii="Lato" w:hAnsi="Lato" w:eastAsia="Lato"/>
          <w:b w:val="0"/>
          <w:i w:val="0"/>
          <w:color w:val="7A7974"/>
          <w:sz w:val="16"/>
        </w:rPr>
        <w:t>23</w:t>
      </w:r>
    </w:p>
    <w:sectPr w:rsidR="00FC693F" w:rsidRPr="0006063C" w:rsidSect="00034616">
      <w:pgSz w:w="12240" w:h="15840"/>
      <w:pgMar w:top="0" w:right="0" w:bottom="23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ea.org/reports/world-energy-outlook-2024" TargetMode="External"/><Relationship Id="rId10" Type="http://schemas.openxmlformats.org/officeDocument/2006/relationships/hyperlink" Target="https://ember-energy.org/latest-insights/global-electricity-review-2025/" TargetMode="External"/><Relationship Id="rId11" Type="http://schemas.openxmlformats.org/officeDocument/2006/relationships/hyperlink" Target="https://www.fluxim.com/research-blogs/perovskite-silicon-tandem-pv-record-updates" TargetMode="External"/><Relationship Id="rId12" Type="http://schemas.openxmlformats.org/officeDocument/2006/relationships/hyperlink" Target="https://en.wikipedia.org/wiki/Mercury_(planet)" TargetMode="External"/><Relationship Id="rId13" Type="http://schemas.openxmlformats.org/officeDocument/2006/relationships/hyperlink" Target="https://www.rff.org/publications/reports/global-energy-outlook-2025/" TargetMode="External"/><Relationship Id="rId14" Type="http://schemas.openxmlformats.org/officeDocument/2006/relationships/hyperlink" Target="https://www.iea.org/reports/renewables-2023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www.caltech.edu/about/news/space-solar-power-project-ends-first-in-space-mission-with-successes-and-lessons" TargetMode="External"/><Relationship Id="rId20" Type="http://schemas.openxmlformats.org/officeDocument/2006/relationships/hyperlink" Target="https://www.space.com/japan-space-based-solar-power-demonstration-2025" TargetMode="External"/><Relationship Id="rId21" Type="http://schemas.openxmlformats.org/officeDocument/2006/relationships/hyperlink" Target="https://www.nature.com/articles/s41598-025-02555-1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www.sphericalinsights.com/blogs/top-15-companies-in-hvdc-transmission-market-worldwide-in-2025-market-research-report-2024-2035" TargetMode="External"/><Relationship Id="rId24" Type="http://schemas.openxmlformats.org/officeDocument/2006/relationships/hyperlink" Target="https://www.industrialinfo.com/iirenergy/industry-news/article/empowering-the-grid-the-rise-of-hvdc-technology-in-global-energy-transmission--330937" TargetMode="External"/><Relationship Id="rId25" Type="http://schemas.openxmlformats.org/officeDocument/2006/relationships/image" Target="media/image6.png"/><Relationship Id="rId26" Type="http://schemas.openxmlformats.org/officeDocument/2006/relationships/hyperlink" Target="https://www.nasa.gov/wp-content/uploads/2024/01/otps-sbsp-report-final-tagged-approved-1-8-24-tagged-v2.pdf" TargetMode="External"/><Relationship Id="rId27" Type="http://schemas.openxmlformats.org/officeDocument/2006/relationships/hyperlink" Target="https://sci.esa.int/c/portal/doc.cfm?fobjectid=34737" TargetMode="External"/><Relationship Id="rId28" Type="http://schemas.openxmlformats.org/officeDocument/2006/relationships/hyperlink" Target="https://a1solarstore.com/blog/how-satellite-solar-panels-power-our-cosmic-infrastructure.html" TargetMode="External"/><Relationship Id="rId29" Type="http://schemas.openxmlformats.org/officeDocument/2006/relationships/hyperlink" Target="https://harvardtechnologyreview.com/2025/09/05/the-future-of-energy-unlocking-the-potential-of-space-based-solar-power/" TargetMode="External"/><Relationship Id="rId30" Type="http://schemas.openxmlformats.org/officeDocument/2006/relationships/hyperlink" Target="https://www.snsinsider.com/reports/space-based-solar-power-market-8434" TargetMode="External"/><Relationship Id="rId31" Type="http://schemas.openxmlformats.org/officeDocument/2006/relationships/hyperlink" Target="https://pmc.ncbi.nlm.nih.gov/articles/PMC12254092/" TargetMode="External"/><Relationship Id="rId32" Type="http://schemas.openxmlformats.org/officeDocument/2006/relationships/hyperlink" Target="https://about.bnef.com/insights/clean-energy/how-the-energy-transition-is-rewiring-global-trade-2050-scenari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