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probability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probability.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33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1.1.</w:t>
      </w:r>
    </w:p>
    <w:p>
      <w:pPr>
        <w:pStyle w:val="CaptionedFigure"/>
      </w:pPr>
      <w:r>
        <w:drawing>
          <wp:inline>
            <wp:extent cx="1828800" cy="1605551"/>
            <wp:effectExtent b="0" l="0" r="0" t="0"/>
            <wp:docPr descr="Answer to Q1.1(a)" title="" id="22" name="Picture"/>
            <a:graphic>
              <a:graphicData uri="http://schemas.openxmlformats.org/drawingml/2006/picture">
                <pic:pic>
                  <pic:nvPicPr>
                    <pic:cNvPr descr="./FiguresPNG/qs-introtoprobability-1-1-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605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Q1.1(a)</w:t>
      </w:r>
    </w:p>
    <w:p>
      <w:pPr>
        <w:pStyle w:val="CaptionedFigure"/>
      </w:pPr>
      <w:r>
        <w:drawing>
          <wp:inline>
            <wp:extent cx="3400711" cy="2938924"/>
            <wp:effectExtent b="0" l="0" r="0" t="0"/>
            <wp:docPr descr="Answer to Q1.1(b)" title="" id="25" name="Picture"/>
            <a:graphic>
              <a:graphicData uri="http://schemas.openxmlformats.org/drawingml/2006/picture">
                <pic:pic>
                  <pic:nvPicPr>
                    <pic:cNvPr descr="./FiguresPNG/qs-introtoprobability-1-2-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711" cy="293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Q1.1(b)</w:t>
      </w:r>
    </w:p>
    <w:p>
      <w:pPr>
        <w:pStyle w:val="CaptionedFigure"/>
      </w:pPr>
      <w:r>
        <w:drawing>
          <wp:inline>
            <wp:extent cx="3238627" cy="2972564"/>
            <wp:effectExtent b="0" l="0" r="0" t="0"/>
            <wp:docPr descr="Answer to Q1.1(c)" title="" id="28" name="Picture"/>
            <a:graphic>
              <a:graphicData uri="http://schemas.openxmlformats.org/drawingml/2006/picture">
                <pic:pic>
                  <pic:nvPicPr>
                    <pic:cNvPr descr="./FiguresPNG/qs-introtoprobability-1-3-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627" cy="2972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Q1.1(c)</w:t>
      </w:r>
    </w:p>
    <w:p>
      <w:pPr>
        <w:pStyle w:val="BodyText"/>
      </w:pPr>
      <w:r>
        <w:rPr>
          <w:b/>
          <w:bCs/>
        </w:rPr>
        <w:t xml:space="preserve">1.2.</w:t>
      </w:r>
    </w:p>
    <w:p>
      <w:pPr>
        <w:pStyle w:val="CaptionedFigure"/>
      </w:pPr>
      <w:r>
        <w:drawing>
          <wp:inline>
            <wp:extent cx="4312053" cy="2926691"/>
            <wp:effectExtent b="0" l="0" r="0" t="0"/>
            <wp:docPr descr="Answer to Q1.2" title="" id="31" name="Picture"/>
            <a:graphic>
              <a:graphicData uri="http://schemas.openxmlformats.org/drawingml/2006/picture">
                <pic:pic>
                  <pic:nvPicPr>
                    <pic:cNvPr descr="./FiguresPNG/qs-introtoprobability-1-4-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053" cy="29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Answer to Q1.2</w:t>
      </w:r>
    </w:p>
    <w:p>
      <w:pPr>
        <w:pStyle w:val="BodyText"/>
      </w:pPr>
      <w:r>
        <w:rPr>
          <w:b/>
          <w:bCs/>
        </w:rPr>
        <w:t xml:space="preserve">1.3.</w:t>
      </w:r>
    </w:p>
    <w:p>
      <w:pPr>
        <w:numPr>
          <w:ilvl w:val="0"/>
          <w:numId w:val="1004"/>
        </w:numPr>
      </w:pPr>
      <w:r>
        <w:t xml:space="preserve">The events in Q1.1.(b) are independent.</w:t>
      </w:r>
    </w:p>
    <w:p>
      <w:pPr>
        <w:numPr>
          <w:ilvl w:val="0"/>
          <w:numId w:val="1004"/>
        </w:numPr>
      </w:pPr>
      <w:r>
        <w:t xml:space="preserve">The events in Q1.1.(c) are dependent.</w:t>
      </w:r>
    </w:p>
    <w:p>
      <w:pPr>
        <w:numPr>
          <w:ilvl w:val="0"/>
          <w:numId w:val="1004"/>
        </w:numPr>
      </w:pPr>
      <w:r>
        <w:t xml:space="preserve">The events in Q1.2. are independent.</w:t>
      </w:r>
    </w:p>
    <w:p>
      <w:r>
        <w:pict>
          <v:rect style="width:0;height:1.5pt" o:hralign="center" o:hrstd="t" o:hr="t"/>
        </w:pict>
      </w:r>
    </w:p>
    <w:bookmarkEnd w:id="33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(Note: accept all simplified fractions, or probabilities represented in decimal and percentage forms)</w:t>
      </w:r>
    </w:p>
    <w:p>
      <w:pPr>
        <w:pStyle w:val="BodyText"/>
      </w:pPr>
      <w:r>
        <w:rPr>
          <w:b/>
          <w:bCs/>
        </w:rPr>
        <w:t xml:space="preserve">2.1.</w:t>
      </w:r>
    </w:p>
    <w:p>
      <w:pPr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. Therefore, apply the complement rule to calculate the complement of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</m:e>
        </m:d>
      </m:oMath>
      <w:r>
        <w:t xml:space="preserve">, so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ring the first time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, and the probability of drawing a gummy ring the second time is also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12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ring and gummy ring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12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144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36</m:t>
            </m:r>
          </m:den>
        </m:f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probability of drawing a gummy bear the first time is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</m:oMath>
      <w:r>
        <w:t xml:space="preserve">, and the probability of drawing a gummy worm the second time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11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gummy bear then gummy worm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12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11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21</m:t>
            </m:r>
          </m:num>
          <m:den>
            <m:r>
              <m:t>132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44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The probability of drawing a cola flavored jelly bean the first time is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</m:num>
          <m:den>
            <m:r>
              <m:t>30</m:t>
            </m:r>
          </m:den>
        </m:f>
      </m:oMath>
      <w:r>
        <w:t xml:space="preserve">, and the probability of drawing a strawberry flavored jelly bean the second time is</w:t>
      </w:r>
      <w:r>
        <w:t xml:space="preserve"> </w:t>
      </w:r>
      <m:oMath>
        <m:f>
          <m:fPr>
            <m:type m:val="bar"/>
          </m:fPr>
          <m:num>
            <m:r>
              <m:t>20</m:t>
            </m:r>
          </m:num>
          <m:den>
            <m:r>
              <m:t>38</m:t>
            </m:r>
          </m:den>
        </m:f>
      </m:oMath>
      <w:r>
        <w:t xml:space="preserve">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soda and strawberry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30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20</m:t>
                </m:r>
              </m:num>
              <m:den>
                <m:r>
                  <m:t>38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1140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57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w:r>
        <w:t xml:space="preserve">This is an example of experimental probability.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The total number of spins is 60, and it lands on white 17 times.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</m:oMath>
      <w:r>
        <w:t xml:space="preserve">, so by the complement rule,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white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17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43</m:t>
            </m:r>
          </m:num>
          <m:den>
            <m:r>
              <m:t>60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The spinner is unbiased (meaning the probability is uniform), so there are four possible colors that the spinner is equally likely to land on. Calculating the theoretical probability,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As you spin the spinner more times, the experimental probabilities of each color will get closer to their theoretical probabilities.</w:t>
      </w:r>
    </w:p>
    <w:p>
      <w:r>
        <w:pict>
          <v:rect style="width:0;height:1.5pt" o:hralign="center" o:hrstd="t" o:hr="t"/>
        </w:pict>
      </w:r>
    </w:p>
    <w:bookmarkEnd w:id="35"/>
    <w:bookmarkStart w:id="36" w:name="q4"/>
    <w:p>
      <w:pPr>
        <w:pStyle w:val="Heading2"/>
      </w:pPr>
      <w:r>
        <w:t xml:space="preserve">Q4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20 possible outcomes. The subset of the sample space with a value above 12 is</w:t>
      </w:r>
      <w:r>
        <w:t xml:space="preserve"> </w:t>
      </w:r>
      <m:oMath>
        <m:r>
          <m:rPr>
            <m:sty m:val="p"/>
          </m:rPr>
          <m:t>{</m:t>
        </m:r>
        <m:r>
          <m:t>13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which contains 8 out of the 20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success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The possible outcomes of the 5-sided dice roll are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Adding 3 to each number, the sample space becomes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,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The sample space contains 5 possible outcomes, and the subset of the sample space that contains values 5 and above is</w:t>
      </w:r>
      <w:r>
        <w:t xml:space="preserve"> </w:t>
      </w:r>
      <m:oMath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contains 4 out of 5 possible outcomes.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points of damage are dealt to the dragon.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For convenience purposes, all outcomes that do not contain a 4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(1,1)*</w:t>
            </w:r>
          </w:p>
        </w:tc>
        <w:tc>
          <w:tcPr/>
          <w:p>
            <w:pPr>
              <w:pStyle w:val="Compact"/>
            </w:pPr>
            <w:r>
              <w:t xml:space="preserve">(1,2)*</w:t>
            </w:r>
          </w:p>
        </w:tc>
        <w:tc>
          <w:tcPr/>
          <w:p>
            <w:pPr>
              <w:pStyle w:val="Compact"/>
            </w:pPr>
            <w:r>
              <w:t xml:space="preserve">(1,3)*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(2,1)*</w:t>
            </w:r>
          </w:p>
        </w:tc>
        <w:tc>
          <w:tcPr/>
          <w:p>
            <w:pPr>
              <w:pStyle w:val="Compact"/>
            </w:pPr>
            <w:r>
              <w:t xml:space="preserve">(2,2)*</w:t>
            </w:r>
          </w:p>
        </w:tc>
        <w:tc>
          <w:tcPr/>
          <w:p>
            <w:pPr>
              <w:pStyle w:val="Compact"/>
            </w:pPr>
            <w:r>
              <w:t xml:space="preserve">(2,3)*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(3,1)*</w:t>
            </w:r>
          </w:p>
        </w:tc>
        <w:tc>
          <w:tcPr/>
          <w:p>
            <w:pPr>
              <w:pStyle w:val="Compact"/>
            </w:pPr>
            <w:r>
              <w:t xml:space="preserve">(3,2)*</w:t>
            </w:r>
          </w:p>
        </w:tc>
        <w:tc>
          <w:tcPr/>
          <w:p>
            <w:pPr>
              <w:pStyle w:val="Compact"/>
            </w:pPr>
            <w:r>
              <w:t xml:space="preserve">(3,3)*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</w:tbl>
    <w:p>
      <w:pPr>
        <w:pStyle w:val="BodyText"/>
      </w:pPr>
      <w:r>
        <w:t xml:space="preserve">There are 16 total possible outcomes in the sample space, and there are 9 outcomes that do not contain a 4.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failure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Here is the sample space represented as a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(1,1)</w:t>
            </w:r>
          </w:p>
        </w:tc>
        <w:tc>
          <w:tcPr/>
          <w:p>
            <w:pPr>
              <w:pStyle w:val="Compact"/>
            </w:pPr>
            <w:r>
              <w:t xml:space="preserve">(1,2)</w:t>
            </w:r>
          </w:p>
        </w:tc>
        <w:tc>
          <w:tcPr/>
          <w:p>
            <w:pPr>
              <w:pStyle w:val="Compact"/>
            </w:pPr>
            <w:r>
              <w:t xml:space="preserve">(1,3)</w:t>
            </w:r>
          </w:p>
        </w:tc>
        <w:tc>
          <w:tcPr/>
          <w:p>
            <w:pPr>
              <w:pStyle w:val="Compact"/>
            </w:pPr>
            <w:r>
              <w:t xml:space="preserve">(1,4)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(2,1)</w:t>
            </w:r>
          </w:p>
        </w:tc>
        <w:tc>
          <w:tcPr/>
          <w:p>
            <w:pPr>
              <w:pStyle w:val="Compact"/>
            </w:pPr>
            <w:r>
              <w:t xml:space="preserve">(2,2)</w:t>
            </w:r>
          </w:p>
        </w:tc>
        <w:tc>
          <w:tcPr/>
          <w:p>
            <w:pPr>
              <w:pStyle w:val="Compact"/>
            </w:pPr>
            <w:r>
              <w:t xml:space="preserve">(2,3)</w:t>
            </w:r>
          </w:p>
        </w:tc>
        <w:tc>
          <w:tcPr/>
          <w:p>
            <w:pPr>
              <w:pStyle w:val="Compact"/>
            </w:pPr>
            <w:r>
              <w:t xml:space="preserve">(2,4)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(3,1)</w:t>
            </w:r>
          </w:p>
        </w:tc>
        <w:tc>
          <w:tcPr/>
          <w:p>
            <w:pPr>
              <w:pStyle w:val="Compact"/>
            </w:pPr>
            <w:r>
              <w:t xml:space="preserve">(3,2)</w:t>
            </w:r>
          </w:p>
        </w:tc>
        <w:tc>
          <w:tcPr/>
          <w:p>
            <w:pPr>
              <w:pStyle w:val="Compact"/>
            </w:pPr>
            <w:r>
              <w:t xml:space="preserve">(3,3)</w:t>
            </w:r>
          </w:p>
        </w:tc>
        <w:tc>
          <w:tcPr/>
          <w:p>
            <w:pPr>
              <w:pStyle w:val="Compact"/>
            </w:pPr>
            <w:r>
              <w:t xml:space="preserve">(3,4)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(4,1)</w:t>
            </w:r>
          </w:p>
        </w:tc>
        <w:tc>
          <w:tcPr/>
          <w:p>
            <w:pPr>
              <w:pStyle w:val="Compact"/>
            </w:pPr>
            <w:r>
              <w:t xml:space="preserve">(4,2)</w:t>
            </w:r>
          </w:p>
        </w:tc>
        <w:tc>
          <w:tcPr/>
          <w:p>
            <w:pPr>
              <w:pStyle w:val="Compact"/>
            </w:pPr>
            <w:r>
              <w:t xml:space="preserve">(4,3)</w:t>
            </w:r>
          </w:p>
        </w:tc>
        <w:tc>
          <w:tcPr/>
          <w:p>
            <w:pPr>
              <w:pStyle w:val="Compact"/>
            </w:pPr>
            <w:r>
              <w:t xml:space="preserve">(4,4)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(5,1)</w:t>
            </w:r>
          </w:p>
        </w:tc>
        <w:tc>
          <w:tcPr/>
          <w:p>
            <w:pPr>
              <w:pStyle w:val="Compact"/>
            </w:pPr>
            <w:r>
              <w:t xml:space="preserve">(5,2)</w:t>
            </w:r>
          </w:p>
        </w:tc>
        <w:tc>
          <w:tcPr/>
          <w:p>
            <w:pPr>
              <w:pStyle w:val="Compact"/>
            </w:pPr>
            <w:r>
              <w:t xml:space="preserve">(5,3)</w:t>
            </w:r>
          </w:p>
        </w:tc>
        <w:tc>
          <w:tcPr/>
          <w:p>
            <w:pPr>
              <w:pStyle w:val="Compact"/>
            </w:pPr>
            <w:r>
              <w:t xml:space="preserve">(5,4)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(6,1)</w:t>
            </w:r>
          </w:p>
        </w:tc>
        <w:tc>
          <w:tcPr/>
          <w:p>
            <w:pPr>
              <w:pStyle w:val="Compact"/>
            </w:pPr>
            <w:r>
              <w:t xml:space="preserve">(6,2)</w:t>
            </w:r>
          </w:p>
        </w:tc>
        <w:tc>
          <w:tcPr/>
          <w:p>
            <w:pPr>
              <w:pStyle w:val="Compact"/>
            </w:pPr>
            <w:r>
              <w:t xml:space="preserve">(6,3)</w:t>
            </w:r>
          </w:p>
        </w:tc>
        <w:tc>
          <w:tcPr/>
          <w:p>
            <w:pPr>
              <w:pStyle w:val="Compact"/>
            </w:pPr>
            <w:r>
              <w:t xml:space="preserve">(6,4)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(7,1)</w:t>
            </w:r>
          </w:p>
        </w:tc>
        <w:tc>
          <w:tcPr/>
          <w:p>
            <w:pPr>
              <w:pStyle w:val="Compact"/>
            </w:pPr>
            <w:r>
              <w:t xml:space="preserve">(7,2)</w:t>
            </w:r>
          </w:p>
        </w:tc>
        <w:tc>
          <w:tcPr/>
          <w:p>
            <w:pPr>
              <w:pStyle w:val="Compact"/>
            </w:pPr>
            <w:r>
              <w:t xml:space="preserve">(7,3)</w:t>
            </w:r>
          </w:p>
        </w:tc>
        <w:tc>
          <w:tcPr/>
          <w:p>
            <w:pPr>
              <w:pStyle w:val="Compact"/>
            </w:pPr>
            <w:r>
              <w:t xml:space="preserve">(7,4)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(8,1)</w:t>
            </w:r>
          </w:p>
        </w:tc>
        <w:tc>
          <w:tcPr/>
          <w:p>
            <w:pPr>
              <w:pStyle w:val="Compact"/>
            </w:pPr>
            <w:r>
              <w:t xml:space="preserve">(8,2)</w:t>
            </w:r>
          </w:p>
        </w:tc>
        <w:tc>
          <w:tcPr/>
          <w:p>
            <w:pPr>
              <w:pStyle w:val="Compact"/>
            </w:pPr>
            <w:r>
              <w:t xml:space="preserve">(8,3)</w:t>
            </w:r>
          </w:p>
        </w:tc>
        <w:tc>
          <w:tcPr/>
          <w:p>
            <w:pPr>
              <w:pStyle w:val="Compact"/>
            </w:pPr>
            <w:r>
              <w:t xml:space="preserve">(8,4)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(9,1)</w:t>
            </w:r>
          </w:p>
        </w:tc>
        <w:tc>
          <w:tcPr/>
          <w:p>
            <w:pPr>
              <w:pStyle w:val="Compact"/>
            </w:pPr>
            <w:r>
              <w:t xml:space="preserve">(9,2)</w:t>
            </w:r>
          </w:p>
        </w:tc>
        <w:tc>
          <w:tcPr/>
          <w:p>
            <w:pPr>
              <w:pStyle w:val="Compact"/>
            </w:pPr>
            <w:r>
              <w:t xml:space="preserve">(9,3)</w:t>
            </w:r>
          </w:p>
        </w:tc>
        <w:tc>
          <w:tcPr/>
          <w:p>
            <w:pPr>
              <w:pStyle w:val="Compact"/>
            </w:pPr>
            <w:r>
              <w:t xml:space="preserve">(9,4)</w:t>
            </w:r>
          </w:p>
        </w:tc>
      </w:tr>
    </w:tbl>
    <w:p>
      <w:pPr>
        <w:pStyle w:val="BodyText"/>
      </w:pPr>
      <w:r>
        <w:t xml:space="preserve">The results of the two dice rolls can then be added together: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For convenience purposes, all outcomes with skill levels that are greater than 9 are then marked with an asterisk (although any way of marking or counting these outcomes are acceptable):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10*</w:t>
            </w:r>
          </w:p>
        </w:tc>
        <w:tc>
          <w:tcPr/>
          <w:p>
            <w:pPr>
              <w:pStyle w:val="Compact"/>
            </w:pPr>
            <w:r>
              <w:t xml:space="preserve">11*</w:t>
            </w:r>
          </w:p>
        </w:tc>
        <w:tc>
          <w:tcPr/>
          <w:p>
            <w:pPr>
              <w:pStyle w:val="Compact"/>
            </w:pPr>
            <w:r>
              <w:t xml:space="preserve">12*</w:t>
            </w:r>
          </w:p>
        </w:tc>
        <w:tc>
          <w:tcPr/>
          <w:p>
            <w:pPr>
              <w:pStyle w:val="Compact"/>
            </w:pPr>
            <w:r>
              <w:t xml:space="preserve">13*</w:t>
            </w:r>
          </w:p>
        </w:tc>
      </w:tr>
    </w:tbl>
    <w:p>
      <w:pPr>
        <w:pStyle w:val="BodyText"/>
      </w:pPr>
      <w:r>
        <w:t xml:space="preserve">There are 36 total possible outcomes in the sample space, and there are 10 outcomes where the skill level exceeds 9 points. Therefore,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9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18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skill level points.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"/>
    <w:bookmarkStart w:id="3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Michelle Arnetta as part of a University of St Andrews VIP project.</w:t>
      </w:r>
    </w:p>
    <w:p>
      <w:pPr>
        <w:pStyle w:val="BodyText"/>
      </w:pPr>
      <w:hyperlink r:id="rId37">
        <w:r>
          <w:rPr>
            <w:rStyle w:val="Hyperlink"/>
          </w:rPr>
          <w:t xml:space="preserve">This work is licensed under CC BY-NC-SA 4.0.</w:t>
        </w:r>
      </w:hyperlink>
    </w:p>
    <w:bookmarkEnd w:id="3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robability.qmd" TargetMode="External" /><Relationship Type="http://schemas.openxmlformats.org/officeDocument/2006/relationships/hyperlink" Id="rId3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probability</dc:title>
  <dc:creator>Michelle Arnetta</dc:creator>
  <cp:keywords/>
  <dcterms:created xsi:type="dcterms:W3CDTF">2026-01-23T11:28:16Z</dcterms:created>
  <dcterms:modified xsi:type="dcterms:W3CDTF">2026-01-23T11:28:16Z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