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numerical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oMath>
      </m:oMathPara>
    </w:p>
    <w:p>
      <w:pPr>
        <w:pStyle w:val="FirstParagraph"/>
      </w:pPr>
      <w:r>
        <w:t xml:space="preserve">By the end of this guide, you will be able to find equivalent fractions for algebraic fractions and simplify them in a similar way to numerical fractions. The main difference is that, because the denominator may contain algebra, you must be careful about restrictions.</w:t>
      </w:r>
    </w:p>
    <w:bookmarkEnd w:id="23"/>
    <w:bookmarkStart w:id="33"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p>
      <w:pPr>
        <w:pStyle w:val="BodyText"/>
      </w:pPr>
      <w:r>
        <w:t xml:space="preserve">When working with algebraic fractions, you need to state any values of the variable that make the denominator zero. These are called the</w:t>
      </w:r>
      <w:r>
        <w:t xml:space="preserve"> </w:t>
      </w:r>
      <w:r>
        <w:rPr>
          <w:b/>
          <w:bCs/>
        </w:rPr>
        <w:t xml:space="preserve">restricted values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functions of the variable</w:t>
            </w:r>
            <w:r>
              <w:t xml:space="preserve"> </w:t>
            </w:r>
            <m:oMath>
              <m:r>
                <m:t>x</m:t>
              </m:r>
            </m:oMath>
            <w:r>
              <w:t xml:space="preserve">.</w:t>
            </w:r>
          </w:p>
          <w:p>
            <w:pPr>
              <w:pStyle w:val="BodyText"/>
            </w:pPr>
            <w:r>
              <w:t xml:space="preserve">For any algebraic fraction</w:t>
            </w:r>
          </w:p>
          <w:p>
            <w:pPr>
              <w:pStyle w:val="BodyText"/>
            </w:pPr>
            <m:oMathPara>
              <m:oMathParaPr>
                <m:jc m:val="center"/>
              </m:oMathParaPr>
              <m:oMath>
                <m:f>
                  <m:fPr>
                    <m:type m:val="bar"/>
                  </m:fPr>
                  <m:num>
                    <m:r>
                      <m:t>f</m:t>
                    </m:r>
                    <m:d>
                      <m:dPr>
                        <m:begChr m:val="("/>
                        <m:sepChr m:val=""/>
                        <m:endChr m:val=")"/>
                        <m:grow/>
                      </m:dPr>
                      <m:e>
                        <m:r>
                          <m:t>x</m:t>
                        </m:r>
                      </m:e>
                    </m:d>
                  </m:num>
                  <m:den>
                    <m:r>
                      <m:t>g</m:t>
                    </m:r>
                    <m:d>
                      <m:dPr>
                        <m:begChr m:val="("/>
                        <m:sepChr m:val=""/>
                        <m:endChr m:val=")"/>
                        <m:grow/>
                      </m:dPr>
                      <m:e>
                        <m:r>
                          <m:t>x</m:t>
                        </m:r>
                      </m:e>
                    </m:d>
                  </m:den>
                </m:f>
              </m:oMath>
            </m:oMathPara>
          </w:p>
          <w:p>
            <w:pPr>
              <w:pStyle w:val="FirstParagraph"/>
            </w:pPr>
            <w:r>
              <w:t xml:space="preserve">the fraction is defined only when</w:t>
            </w:r>
          </w:p>
          <w:p>
            <w:pPr>
              <w:pStyle w:val="BodyText"/>
            </w:pPr>
            <m:oMathPara>
              <m:oMathParaPr>
                <m:jc m:val="center"/>
              </m:oMathParaPr>
              <m:oMath>
                <m:r>
                  <m:t>g</m:t>
                </m:r>
                <m:d>
                  <m:dPr>
                    <m:begChr m:val="("/>
                    <m:sepChr m:val=""/>
                    <m:endChr m:val=")"/>
                    <m:grow/>
                  </m:dPr>
                  <m:e>
                    <m:r>
                      <m:t>x</m:t>
                    </m:r>
                  </m:e>
                </m:d>
                <m:r>
                  <m:rPr>
                    <m:sty m:val="p"/>
                  </m:rPr>
                  <m:t>≠</m:t>
                </m:r>
                <m:r>
                  <m:t>0</m:t>
                </m:r>
              </m:oMath>
            </m:oMathPara>
          </w:p>
          <w:p>
            <w:pPr>
              <w:pStyle w:val="FirstParagraph"/>
            </w:pPr>
            <w:pPr>
              <w:spacing w:after="16"/>
            </w:pPr>
            <w:r>
              <w:t xml:space="preserve">The</w:t>
            </w:r>
            <w:r>
              <w:t xml:space="preserve"> </w:t>
            </w:r>
            <w:r>
              <w:rPr>
                <w:b/>
                <w:bCs/>
              </w:rPr>
              <w:t xml:space="preserve">restricted values</w:t>
            </w:r>
            <w:r>
              <w:t xml:space="preserve"> </w:t>
            </w:r>
            <w:r>
              <w:t xml:space="preserve">are the values of</w:t>
            </w:r>
            <w:r>
              <w:t xml:space="preserve"> </w:t>
            </w:r>
            <m:oMath>
              <m:r>
                <m:t>x</m:t>
              </m:r>
            </m:oMath>
            <w:r>
              <w:t xml:space="preserve"> </w:t>
            </w:r>
            <w:r>
              <w:t xml:space="preserve">that make</w:t>
            </w:r>
            <w:r>
              <w:t xml:space="preserve"> </w:t>
            </w:r>
            <m:oMath>
              <m:r>
                <m:t>g</m:t>
              </m:r>
              <m:d>
                <m:dPr>
                  <m:begChr m:val="("/>
                  <m:sepChr m:val=""/>
                  <m:endChr m:val=")"/>
                  <m:grow/>
                </m:dPr>
                <m:e>
                  <m:r>
                    <m:t>x</m:t>
                  </m:r>
                </m:e>
              </m:d>
              <m:r>
                <m:rPr>
                  <m:sty m:val="p"/>
                </m:rPr>
                <m:t>=</m:t>
              </m:r>
              <m:r>
                <m:t>0</m:t>
              </m:r>
            </m:oMath>
            <w:r>
              <w:t xml:space="preserve">. At these points, the fraction is said to be</w:t>
            </w:r>
            <w:r>
              <w:t xml:space="preserve"> </w:t>
            </w:r>
            <w:r>
              <w:rPr>
                <w:b/>
                <w:bCs/>
              </w:rPr>
              <w:t xml:space="preserve">undefined</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is</w:t>
            </w:r>
          </w:p>
          <w:p>
            <w:pPr>
              <w:pStyle w:val="BodyText"/>
            </w:pPr>
            <m:oMathPara>
              <m:oMathParaPr>
                <m:jc m:val="center"/>
              </m:oMathParaPr>
              <m:oMath>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p>
          <w:p>
            <w:pPr>
              <w:pStyle w:val="BodyText"/>
            </w:pPr>
            <m:oMathPara>
              <m:oMathParaPr>
                <m:jc m:val="center"/>
              </m:oMathParaPr>
              <m:oMath>
                <m:r>
                  <m:t>x</m:t>
                </m:r>
                <m:r>
                  <m:rPr>
                    <m:sty m:val="p"/>
                  </m:rPr>
                  <m:t>≠</m:t>
                </m:r>
                <m:r>
                  <m:t>3</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oMath>
            </m:oMathPara>
          </w:p>
          <w:p>
            <w:pPr>
              <w:pStyle w:val="FirstParagraph"/>
            </w:pPr>
            <w:pPr>
              <w:spacing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w:t>
            </w:r>
          </w:p>
        </w:tc>
      </w:tr>
    </w:tbl>
    <w:bookmarkEnd w:id="33"/>
    <w:bookmarkStart w:id="38"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1"/>
              </w:numPr>
            </w:pPr>
            <w:r>
              <w:t xml:space="preserve">Multiplying the numerator and denominator by the same expression (not equal to zero).</w:t>
            </w:r>
          </w:p>
          <w:p>
            <w:pPr>
              <w:pStyle w:val="Compact"/>
              <w:numPr>
                <w:ilvl w:val="0"/>
                <w:numId w:val="1001"/>
              </w:numPr>
            </w:pPr>
            <w:r>
              <w:t xml:space="preserve">Dividing the numerator and denominator by the same common factor.</w:t>
            </w:r>
          </w:p>
          <w:p>
            <w:pPr>
              <w:pStyle w:val="FirstParagraph"/>
            </w:pPr>
            <w:pPr>
              <w:spacing w:after="16"/>
            </w:pPr>
            <w:r>
              <w:t xml:space="preserve">A simplified fraction is an equivalent fraction of one of its unsimplified forms.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by a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by a common factor:</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by a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Writing a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38"/>
    <w:bookmarkStart w:id="50"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To simplify an algebraic fraction:</w:t>
            </w:r>
          </w:p>
          <w:p>
            <w:pPr>
              <w:pStyle w:val="Compact"/>
              <w:numPr>
                <w:ilvl w:val="0"/>
                <w:numId w:val="1002"/>
              </w:numPr>
            </w:pPr>
            <w:r>
              <w:t xml:space="preserve">Factorize the numerator and the denominator completely.</w:t>
            </w:r>
          </w:p>
          <w:p>
            <w:pPr>
              <w:pStyle w:val="Compact"/>
              <w:numPr>
                <w:ilvl w:val="0"/>
                <w:numId w:val="1002"/>
              </w:numPr>
            </w:pPr>
            <w:r>
              <w:t xml:space="preserve">State the restrictions on the denominator, if any exist.</w:t>
            </w:r>
          </w:p>
          <w:p>
            <w:pPr>
              <w:pStyle w:val="Compact"/>
              <w:numPr>
                <w:ilvl w:val="0"/>
                <w:numId w:val="1002"/>
              </w:numPr>
            </w:pPr>
            <w:r>
              <w:t xml:space="preserve">Cancel any common factors that appear in both the numerator and the denominator.</w:t>
            </w:r>
          </w:p>
          <w:p>
            <w:pPr>
              <w:pStyle w:val="Compact"/>
              <w:numPr>
                <w:ilvl w:val="0"/>
                <w:numId w:val="1002"/>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 factors, not terms.</w:t>
            </w:r>
          </w:p>
          <w:p>
            <w:pPr>
              <w:pStyle w:val="Compact"/>
              <w:numPr>
                <w:ilvl w:val="0"/>
                <w:numId w:val="1003"/>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3"/>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pPr>
              <w:spacing w:after="16"/>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 As long as</w:t>
            </w:r>
            <w: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bookmarkEnd w:id="50"/>
    <w:bookmarkStart w:id="51" w:name="quick-check-problems"/>
    <w:p>
      <w:pPr>
        <w:pStyle w:val="Heading1"/>
      </w:pPr>
      <w:r>
        <w:t xml:space="preserve">Quick check problems</w:t>
      </w:r>
    </w:p>
    <w:p>
      <w:pPr>
        <w:pStyle w:val="Compact"/>
        <w:numPr>
          <w:ilvl w:val="0"/>
          <w:numId w:val="1004"/>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5"/>
        </w:numPr>
      </w:pPr>
      <m:oMath>
        <m:r>
          <m:t>x</m:t>
        </m:r>
        <m:r>
          <m:rPr>
            <m:sty m:val="p"/>
          </m:rPr>
          <m:t>=</m:t>
        </m:r>
        <m:r>
          <m:t>0</m:t>
        </m:r>
      </m:oMath>
    </w:p>
    <w:p>
      <w:pPr>
        <w:numPr>
          <w:ilvl w:val="0"/>
          <w:numId w:val="1005"/>
        </w:numPr>
      </w:pPr>
      <m:oMath>
        <m:r>
          <m:t>x</m:t>
        </m:r>
        <m:r>
          <m:rPr>
            <m:sty m:val="p"/>
          </m:rPr>
          <m:t>=</m:t>
        </m:r>
        <m:r>
          <m:t>2</m:t>
        </m:r>
      </m:oMath>
    </w:p>
    <w:p>
      <w:pPr>
        <w:numPr>
          <w:ilvl w:val="0"/>
          <w:numId w:val="1005"/>
        </w:numPr>
      </w:pPr>
      <m:oMath>
        <m:r>
          <m:t>x</m:t>
        </m:r>
        <m:r>
          <m:rPr>
            <m:sty m:val="p"/>
          </m:rPr>
          <m:t>=</m:t>
        </m:r>
        <m:r>
          <m:rPr>
            <m:sty m:val="p"/>
          </m:rPr>
          <m:t>−</m:t>
        </m:r>
        <m:r>
          <m:t>2</m:t>
        </m:r>
      </m:oMath>
    </w:p>
    <w:p>
      <w:pPr>
        <w:numPr>
          <w:ilvl w:val="0"/>
          <w:numId w:val="1005"/>
        </w:numPr>
      </w:pPr>
      <w:r>
        <w:t xml:space="preserve">There are no restricted values</w:t>
      </w:r>
    </w:p>
    <w:p>
      <w:pPr>
        <w:pStyle w:val="Compact"/>
        <w:numPr>
          <w:ilvl w:val="0"/>
          <w:numId w:val="1006"/>
        </w:numPr>
      </w:pPr>
      <w:r>
        <w:t xml:space="preserve">Which of the following fractions is equivalent to</w:t>
      </w:r>
      <w:r>
        <w:t xml:space="preserve"> </w:t>
      </w:r>
      <m:oMath>
        <m:f>
          <m:fPr>
            <m:type m:val="bar"/>
          </m:fPr>
          <m:num>
            <m:r>
              <m:t>4</m:t>
            </m:r>
          </m:num>
          <m:den>
            <m:r>
              <m:t>x</m:t>
            </m:r>
          </m:den>
        </m:f>
      </m:oMath>
      <w:r>
        <w:t xml:space="preserve">?</w:t>
      </w:r>
    </w:p>
    <w:p>
      <w:pPr>
        <w:numPr>
          <w:ilvl w:val="0"/>
          <w:numId w:val="1007"/>
        </w:numPr>
      </w:pPr>
      <m:oMath>
        <m:f>
          <m:fPr>
            <m:type m:val="bar"/>
          </m:fPr>
          <m:num>
            <m:r>
              <m:t>4</m:t>
            </m:r>
            <m:r>
              <m:t>x</m:t>
            </m:r>
          </m:num>
          <m:den>
            <m:sSup>
              <m:e>
                <m:r>
                  <m:t>x</m:t>
                </m:r>
              </m:e>
              <m:sup>
                <m:r>
                  <m:t>2</m:t>
                </m:r>
              </m:sup>
            </m:sSup>
          </m:den>
        </m:f>
      </m:oMath>
    </w:p>
    <w:p>
      <w:pPr>
        <w:numPr>
          <w:ilvl w:val="0"/>
          <w:numId w:val="1007"/>
        </w:numPr>
      </w:pPr>
      <m:oMath>
        <m:f>
          <m:fPr>
            <m:type m:val="bar"/>
          </m:fPr>
          <m:num>
            <m:r>
              <m:t>8</m:t>
            </m:r>
          </m:num>
          <m:den>
            <m:r>
              <m:t>4</m:t>
            </m:r>
            <m:r>
              <m:t>x</m:t>
            </m:r>
          </m:den>
        </m:f>
      </m:oMath>
    </w:p>
    <w:p>
      <w:pPr>
        <w:numPr>
          <w:ilvl w:val="0"/>
          <w:numId w:val="1007"/>
        </w:numPr>
      </w:pPr>
      <m:oMath>
        <m:f>
          <m:fPr>
            <m:type m:val="bar"/>
          </m:fPr>
          <m:num>
            <m:r>
              <m:t>4</m:t>
            </m:r>
          </m:num>
          <m:den>
            <m:r>
              <m:t>x</m:t>
            </m:r>
            <m:r>
              <m:rPr>
                <m:sty m:val="p"/>
              </m:rPr>
              <m:t>+</m:t>
            </m:r>
            <m:r>
              <m:t>1</m:t>
            </m:r>
          </m:den>
        </m:f>
      </m:oMath>
    </w:p>
    <w:p>
      <w:pPr>
        <w:numPr>
          <w:ilvl w:val="0"/>
          <w:numId w:val="1007"/>
        </w:numPr>
      </w:pPr>
      <m:oMath>
        <m:f>
          <m:fPr>
            <m:type m:val="bar"/>
          </m:fPr>
          <m:num>
            <m:r>
              <m:t>x</m:t>
            </m:r>
          </m:num>
          <m:den>
            <m:r>
              <m:t>4</m:t>
            </m:r>
          </m:den>
        </m:f>
      </m:oMath>
    </w:p>
    <w:p>
      <w:pPr>
        <w:pStyle w:val="Compact"/>
        <w:numPr>
          <w:ilvl w:val="0"/>
          <w:numId w:val="1008"/>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09"/>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0"/>
        </w:numPr>
      </w:pPr>
      <m:oMath>
        <m:r>
          <m:t>x</m:t>
        </m:r>
        <m:r>
          <m:rPr>
            <m:sty m:val="p"/>
          </m:rPr>
          <m:t>=</m:t>
        </m:r>
        <m:r>
          <m:t>0</m:t>
        </m:r>
      </m:oMath>
      <w:r>
        <w:t xml:space="preserve"> </w:t>
      </w:r>
      <w:r>
        <w:t xml:space="preserve">only</w:t>
      </w:r>
    </w:p>
    <w:p>
      <w:pPr>
        <w:numPr>
          <w:ilvl w:val="0"/>
          <w:numId w:val="1010"/>
        </w:numPr>
      </w:pPr>
      <m:oMath>
        <m:r>
          <m:t>x</m:t>
        </m:r>
        <m:r>
          <m:rPr>
            <m:sty m:val="p"/>
          </m:rPr>
          <m:t>=</m:t>
        </m:r>
        <m:r>
          <m:t>4</m:t>
        </m:r>
      </m:oMath>
      <w:r>
        <w:t xml:space="preserve"> </w:t>
      </w:r>
      <w:r>
        <w:t xml:space="preserve">only</w:t>
      </w:r>
    </w:p>
    <w:p>
      <w:pPr>
        <w:numPr>
          <w:ilvl w:val="0"/>
          <w:numId w:val="1010"/>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0"/>
        </w:numPr>
      </w:pPr>
      <w:r>
        <w:t xml:space="preserve">There are no restricted values</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algebraic fractions.</w:t>
        </w:r>
      </w:hyperlink>
    </w:p>
    <w:p>
      <w:pPr>
        <w:pStyle w:val="BodyText"/>
      </w:pPr>
      <w:hyperlink r:id="rId53">
        <w:r>
          <w:rPr>
            <w:rStyle w:val="Hyperlink"/>
          </w:rPr>
          <w:t xml:space="preserve">To learn how to perform arithmetic on algebraic fractions, please see Guide: Arithmetic on algebraic fractions.</w:t>
        </w:r>
      </w:hyperlink>
    </w:p>
    <w:bookmarkStart w:id="5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2026-01-23T11:40:01Z</dcterms:created>
  <dcterms:modified xsi:type="dcterms:W3CDTF">2026-01-23T11:40:01Z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