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0"/>
    <w:bookmarkStart w:id="32"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t>i</m:t>
              </m:r>
              <m:sSup>
                <m:e>
                  <m:r>
                    <m:t>j</m:t>
                  </m:r>
                </m:e>
                <m:sup>
                  <m:r>
                    <m:t>t</m:t>
                  </m:r>
                  <m:r>
                    <m:t>h</m:t>
                  </m:r>
                </m:sup>
              </m:sSup>
            </m:oMath>
            <w:r>
              <w:t xml:space="preserve"> </w:t>
            </w:r>
            <w:r>
              <w:t xml:space="preserve">entry of your matrix, that is the number in the</w:t>
            </w:r>
            <w:r>
              <w:t xml:space="preserve"> </w:t>
            </w:r>
            <m:oMath>
              <m:sSup>
                <m:e>
                  <m:r>
                    <m:t>i</m:t>
                  </m:r>
                </m:e>
                <m:sup>
                  <m:r>
                    <m:t>t</m:t>
                  </m:r>
                  <m:r>
                    <m:t>h</m:t>
                  </m:r>
                </m:sup>
              </m:sSup>
            </m:oMath>
            <w:r>
              <w:rPr>
                <w:b/>
                <w:bCs/>
              </w:rPr>
              <w:t xml:space="preserve"> </w:t>
            </w:r>
            <w:r>
              <w:rPr>
                <w:b/>
                <w:bCs/>
              </w:rPr>
              <w:t xml:space="preserve">row and the</w:t>
            </w:r>
            <w:r>
              <w:rPr>
                <w:b/>
                <w:bCs/>
              </w:rPr>
              <w:t xml:space="preserve"> </w:t>
            </w:r>
            <m:oMath>
              <m:sSup>
                <m:e>
                  <m:r>
                    <m:t>j</m:t>
                  </m:r>
                </m:e>
                <m:sup>
                  <m:r>
                    <m:t>t</m:t>
                  </m:r>
                  <m:r>
                    <m:t>h</m:t>
                  </m:r>
                </m:sup>
              </m:sSup>
            </m:oMath>
            <w:r>
              <w:rPr>
                <w:b/>
                <w:bCs/>
              </w:rPr>
              <w:t xml:space="preserve"> </w:t>
            </w:r>
            <w:r>
              <w:rPr>
                <w:b/>
                <w:bCs/>
              </w:rPr>
              <w:t xml:space="preserve">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pPr>
              <w:spacing w:after="16"/>
            </w:pPr>
            <w:r>
              <w:t xml:space="preserve">You can specify the</w:t>
            </w:r>
            <w:r>
              <w:t xml:space="preserve"> </w:t>
            </w:r>
            <m:oMath>
              <m:r>
                <m:t>i</m:t>
              </m:r>
              <m:sSup>
                <m:e>
                  <m:r>
                    <m:t>j</m:t>
                  </m:r>
                </m:e>
                <m:sup>
                  <m:r>
                    <m:t>t</m:t>
                  </m:r>
                  <m:r>
                    <m:t>h</m:t>
                  </m:r>
                </m:sup>
              </m:sSup>
            </m:oMath>
            <w:r>
              <w:t xml:space="preserve"> </w:t>
            </w:r>
            <w:r>
              <w:t xml:space="preserve">entry 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rPr>
                              <m:sty m:val="p"/>
                            </m:rPr>
                            <m:t>−</m:t>
                          </m:r>
                          <m:r>
                            <m:t>π</m:t>
                          </m:r>
                        </m:e>
                        <m:e>
                          <m:r>
                            <m:t>4</m:t>
                          </m:r>
                          <m:r>
                            <m:rPr>
                              <m:sty m:val="p"/>
                            </m:rPr>
                            <m:t>/</m:t>
                          </m:r>
                          <m:r>
                            <m:t>9</m:t>
                          </m:r>
                        </m:e>
                      </m:mr>
                      <m:mr>
                        <m:e>
                          <m:r>
                            <m:t>7</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 [Guide: Introduction to vectors].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For example the</w:t>
            </w:r>
            <w:r>
              <w:t xml:space="preserve"> </w:t>
            </w:r>
            <m:oMath>
              <m:r>
                <m:t>3</m:t>
              </m:r>
              <m:r>
                <m:rPr>
                  <m:sty m:val="p"/>
                </m:rPr>
                <m:t>×</m:t>
              </m:r>
              <m:r>
                <m:t>2</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r>
                      <m:e>
                        <m:r>
                          <m:t>1</m:t>
                        </m:r>
                      </m:e>
                      <m:e>
                        <m:r>
                          <m:t>1</m:t>
                        </m:r>
                      </m:e>
                    </m:mr>
                  </m:m>
                </m:e>
              </m:d>
            </m:oMath>
            <w:r>
              <w:t xml:space="preserve"> </w:t>
            </w:r>
            <w:r>
              <w:t xml:space="preserve">could be written as</w:t>
            </w:r>
            <w:r>
              <w:t xml:space="preserve"> </w:t>
            </w:r>
            <m:oMath>
              <m:sSub>
                <m:e>
                  <m:d>
                    <m:dPr>
                      <m:begChr m:val="["/>
                      <m:sepChr m:val=""/>
                      <m:endChr m:val="]"/>
                      <m:grow/>
                    </m:dPr>
                    <m:e>
                      <m:r>
                        <m:t>1</m:t>
                      </m:r>
                    </m:e>
                  </m:d>
                </m:e>
                <m:sub>
                  <m:r>
                    <m:t>32</m:t>
                  </m:r>
                </m:sub>
              </m:sSub>
            </m:oMath>
            <w:r>
              <w:t xml:space="preserve">.</w:t>
            </w:r>
          </w:p>
        </w:tc>
      </w:tr>
    </w:tbl>
    <w:bookmarkEnd w:id="32"/>
    <w:bookmarkStart w:id="41" w:name="special-matrices"/>
    <w:p>
      <w:pPr>
        <w:pStyle w:val="Heading1"/>
      </w:pPr>
      <w:r>
        <w:t xml:space="preserve">Special matrices</w:t>
      </w:r>
    </w:p>
    <w:p>
      <w:pPr>
        <w:pStyle w:val="FirstParagraph"/>
      </w:pPr>
      <w:r>
        <w:t xml:space="preserve">There are special matrices</w:t>
      </w:r>
    </w:p>
    <w:bookmarkStart w:id="33" w:name="zero-matrix"/>
    <w:p>
      <w:pPr>
        <w:pStyle w:val="Heading2"/>
      </w:pPr>
      <w:r>
        <w:t xml:space="preserve">Zero matrix</w:t>
      </w:r>
    </w:p>
    <w:bookmarkEnd w:id="33"/>
    <w:bookmarkStart w:id="34" w:name="identity-matrix"/>
    <w:p>
      <w:pPr>
        <w:pStyle w:val="Heading2"/>
      </w:pPr>
      <w:r>
        <w:t xml:space="preserve">Identity matrix</w:t>
      </w:r>
    </w:p>
    <w:bookmarkEnd w:id="34"/>
    <w:bookmarkStart w:id="39" w:name="diagonal-matrix"/>
    <w:p>
      <w:pPr>
        <w:pStyle w:val="Heading2"/>
      </w:pPr>
      <w:r>
        <w:t xml:space="preserve">Diagonal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 matrix</w:t>
            </w:r>
            <w:r>
              <w:t xml:space="preserve"> </w:t>
            </w:r>
            <m:oMath>
              <m:r>
                <m:t>A</m:t>
              </m:r>
              <m:r>
                <m:rPr>
                  <m:sty m:val="p"/>
                </m:rPr>
                <m:t>=</m:t>
              </m:r>
              <m:sSub>
                <m:e>
                  <m:d>
                    <m:dPr>
                      <m:begChr m:val="["/>
                      <m:sepChr m:val=""/>
                      <m:endChr m:val="]"/>
                      <m:grow/>
                    </m:dPr>
                    <m:e>
                      <m:sSub>
                        <m:e>
                          <m:r>
                            <m:t>a</m:t>
                          </m:r>
                        </m:e>
                        <m:sub>
                          <m:r>
                            <m:t>i</m:t>
                          </m:r>
                          <m:r>
                            <m:t>j</m:t>
                          </m:r>
                        </m:sub>
                      </m:sSub>
                    </m:e>
                  </m:d>
                </m:e>
                <m:sub>
                  <m:r>
                    <m:t>m</m:t>
                  </m:r>
                  <m:r>
                    <m:t>n</m:t>
                  </m:r>
                </m:sub>
              </m:sSub>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You can define the</w:t>
            </w:r>
            <w:r>
              <w:t xml:space="preserve"> </w:t>
            </w:r>
            <w:r>
              <w:rPr>
                <w:b/>
                <w:bCs/>
              </w:rPr>
              <w:t xml:space="preserve">main diagonal</w:t>
            </w:r>
            <w:r>
              <w:t xml:space="preserve"> </w:t>
            </w:r>
            <w:r>
              <w:t xml:space="preserve">like so:</w:t>
            </w:r>
          </w:p>
          <w:p>
            <w:pPr>
              <w:pStyle w:val="BodyText"/>
            </w:pPr>
            <w:pPr>
              <w:spacing w:after="16"/>
            </w:pPr>
          </w:p>
          <w:p>
            <w:pPr>
              <w:pStyle w:val="BodyText"/>
            </w:pPr>
            <m:oMathPara>
              <m:oMathParaPr>
                <m:jc m:val="center"/>
              </m:oMathParaPr>
              <m:oMath>
                <m:r>
                  <m:rPr>
                    <m:nor/>
                    <m:sty m:val="p"/>
                    <m:scr m:val="sans-serif"/>
                  </m:rPr>
                  <m:t>diag</m:t>
                </m:r>
                <m:r>
                  <m:t>A</m:t>
                </m:r>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the matrices in Example 1, the main diagonals are:</w:t>
            </w:r>
          </w:p>
          <w:p>
            <w:pPr>
              <w:pStyle w:val="BodyText"/>
            </w:pPr>
            <m:oMath>
              <m:r>
                <m:rPr>
                  <m:nor/>
                  <m:sty m:val="p"/>
                  <m:scr m:val="sans-serif"/>
                </m:rPr>
                <m:t>diag</m:t>
              </m:r>
              <m:r>
                <m:t>A</m:t>
              </m:r>
              <m:r>
                <m:rPr>
                  <m:sty m:val="p"/>
                </m:rPr>
                <m:t>=</m:t>
              </m:r>
              <m:d>
                <m:dPr>
                  <m:begChr m:val="("/>
                  <m:sepChr m:val=""/>
                  <m:endChr m:val=")"/>
                  <m:grow/>
                </m:dPr>
                <m:e>
                  <m:r>
                    <m:t>0</m:t>
                  </m:r>
                  <m:r>
                    <m:rPr>
                      <m:sty m:val="p"/>
                    </m:rPr>
                    <m:t>,</m:t>
                  </m:r>
                  <m:r>
                    <m:t>5</m:t>
                  </m:r>
                </m:e>
              </m:d>
            </m:oMath>
          </w:p>
          <w:p>
            <w:pPr>
              <w:pStyle w:val="BodyText"/>
            </w:pPr>
            <m:oMath>
              <m:r>
                <m:rPr>
                  <m:nor/>
                  <m:sty m:val="p"/>
                  <m:scr m:val="sans-serif"/>
                </m:rPr>
                <m:t>diag</m:t>
              </m:r>
              <m:r>
                <m:t>B</m:t>
              </m:r>
              <m:r>
                <m:rPr>
                  <m:sty m:val="p"/>
                </m:rPr>
                <m:t>=</m:t>
              </m:r>
              <m:d>
                <m:dPr>
                  <m:begChr m:val="("/>
                  <m:sepChr m:val=""/>
                  <m:endChr m:val=")"/>
                  <m:grow/>
                </m:dPr>
                <m:e>
                  <m:r>
                    <m:rPr>
                      <m:sty m:val="p"/>
                    </m:rPr>
                    <m:t>−</m:t>
                  </m:r>
                  <m:r>
                    <m:t>1</m:t>
                  </m:r>
                </m:e>
              </m:d>
            </m:oMath>
          </w:p>
          <w:p>
            <w:pPr>
              <w:pStyle w:val="BodyText"/>
            </w:pPr>
            <m:oMath>
              <m:r>
                <m:rPr>
                  <m:nor/>
                  <m:sty m:val="p"/>
                  <m:scr m:val="sans-serif"/>
                </m:rPr>
                <m:t>diag</m:t>
              </m:r>
              <m:r>
                <m:t>C</m:t>
              </m:r>
              <m:r>
                <m:rPr>
                  <m:sty m:val="p"/>
                </m:rPr>
                <m:t>=</m:t>
              </m:r>
              <m:d>
                <m:dPr>
                  <m:begChr m:val="("/>
                  <m:sepChr m:val=""/>
                  <m:endChr m:val=")"/>
                  <m:grow/>
                </m:dPr>
                <m:e>
                  <m:rad>
                    <m:radPr>
                      <m:degHide m:val="on"/>
                    </m:radPr>
                    <m:deg/>
                    <m:e>
                      <m:r>
                        <m:t>2</m:t>
                      </m:r>
                    </m:e>
                  </m:rad>
                </m:e>
              </m:d>
            </m:oMath>
          </w:p>
          <w:p>
            <w:pPr>
              <w:pStyle w:val="BodyText"/>
            </w:pPr>
            <w:pPr>
              <w:spacing w:after="16"/>
            </w:pPr>
            <m:oMath>
              <m:r>
                <m:rPr>
                  <m:nor/>
                  <m:sty m:val="p"/>
                  <m:scr m:val="sans-serif"/>
                </m:rPr>
                <m:t>diag</m:t>
              </m:r>
              <m:r>
                <m:t>D</m:t>
              </m:r>
              <m:r>
                <m:rPr>
                  <m:sty m:val="p"/>
                </m:rPr>
                <m:t>=</m:t>
              </m:r>
              <m:d>
                <m:dPr>
                  <m:begChr m:val="("/>
                  <m:sepChr m:val=""/>
                  <m:endChr m:val=")"/>
                  <m:grow/>
                </m:dPr>
                <m:e>
                  <m:r>
                    <m:rPr>
                      <m:sty m:val="p"/>
                    </m:rPr>
                    <m:t>−</m:t>
                  </m:r>
                  <m:r>
                    <m:t>5</m:t>
                  </m:r>
                  <m:r>
                    <m:rPr>
                      <m:sty m:val="p"/>
                    </m:rPr>
                    <m:t>,</m:t>
                  </m:r>
                  <m:r>
                    <m:rPr>
                      <m:sty m:val="p"/>
                    </m:rPr>
                    <m:t>−</m:t>
                  </m:r>
                  <m:r>
                    <m:t>π</m:t>
                  </m:r>
                  <m:r>
                    <m:rPr>
                      <m:sty m:val="p"/>
                    </m:rPr>
                    <m:t>,</m:t>
                  </m:r>
                  <m:r>
                    <m:rPr>
                      <m:sty m:val="p"/>
                    </m:rPr>
                    <m:t>−</m:t>
                  </m:r>
                  <m:rad>
                    <m:radPr>
                      <m:degHide m:val="on"/>
                    </m:radPr>
                    <m:deg/>
                    <m:e>
                      <m:r>
                        <m:t>3</m:t>
                      </m:r>
                    </m:e>
                  </m:rad>
                </m:e>
              </m:d>
            </m:oMath>
          </w:p>
        </w:tc>
      </w:tr>
    </w:tbl>
    <w:bookmarkEnd w:id="39"/>
    <w:bookmarkStart w:id="40" w:name="upper-and-lower-triangular-matrices"/>
    <w:p>
      <w:pPr>
        <w:pStyle w:val="Heading2"/>
      </w:pPr>
      <w:r>
        <w:t xml:space="preserve">Upper and lower triangular matrices</w:t>
      </w:r>
    </w:p>
    <w:bookmarkEnd w:id="40"/>
    <w:bookmarkEnd w:id="41"/>
    <w:bookmarkStart w:id="53"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matrices of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w:r>
              <w:br/>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1"/>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1"/>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53"/>
    <w:bookmarkStart w:id="62" w:name="scalar-multiplication"/>
    <w:p>
      <w:pPr>
        <w:pStyle w:val="Heading1"/>
      </w:pPr>
      <w:r>
        <w:t xml:space="preserve">Scalar multiplication</w:t>
      </w:r>
    </w:p>
    <w:p>
      <w:pPr>
        <w:pStyle w:val="FirstParagraph"/>
      </w:pPr>
      <w:r>
        <w:t xml:space="preserve">Sometimes you will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multiply this matrix by</w:t>
            </w:r>
            <w:r>
              <w:t xml:space="preserve"> </w:t>
            </w:r>
            <m:oMath>
              <m:r>
                <m:t>3</m:t>
              </m:r>
            </m:oMath>
            <w:r>
              <w:t xml:space="preserve">, you multiply each element by</w:t>
            </w:r>
            <w:r>
              <w:t xml:space="preserve"> </w:t>
            </w:r>
            <m:oMath>
              <m:r>
                <m:t>3</m:t>
              </m:r>
            </m:oMath>
            <w:r>
              <w:t xml:space="preserve">:</w:t>
            </w:r>
          </w:p>
          <w:p>
            <w:pPr>
              <w:pStyle w:val="BodyText"/>
            </w:pPr>
            <w:pPr>
              <w:spacing w:after="16"/>
            </w:pP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r>
                  <m:t>1</m:t>
                </m:r>
                <m:r>
                  <m:rPr>
                    <m:sty m:val="p"/>
                  </m:rPr>
                  <m:t>/</m:t>
                </m:r>
                <m:r>
                  <m:t>2</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r>
                            <m:rPr>
                              <m:sty m:val="p"/>
                            </m:rPr>
                            <m:t>/</m:t>
                          </m:r>
                          <m:r>
                            <m:t>2</m:t>
                          </m:r>
                          <m:r>
                            <m:rPr>
                              <m:sty m:val="p"/>
                            </m:rPr>
                            <m:t>⋅</m:t>
                          </m:r>
                          <m:r>
                            <m:rPr>
                              <m:sty m:val="p"/>
                            </m:rPr>
                            <m:t>−</m:t>
                          </m:r>
                          <m:r>
                            <m:t>6</m:t>
                          </m:r>
                        </m:e>
                        <m:e>
                          <m:r>
                            <m:rPr>
                              <m:sty m:val="p"/>
                            </m:rPr>
                            <m:t>−</m:t>
                          </m:r>
                          <m:r>
                            <m:t>1</m:t>
                          </m:r>
                          <m:r>
                            <m:rPr>
                              <m:sty m:val="p"/>
                            </m:rPr>
                            <m:t>/</m:t>
                          </m:r>
                          <m:r>
                            <m:t>2</m:t>
                          </m:r>
                          <m:r>
                            <m:rPr>
                              <m:sty m:val="p"/>
                            </m:rPr>
                            <m:t>⋅</m:t>
                          </m:r>
                          <m:r>
                            <m:t>7</m:t>
                          </m:r>
                          <m:r>
                            <m:rPr>
                              <m:sty m:val="p"/>
                            </m:rPr>
                            <m:t>/</m:t>
                          </m:r>
                          <m:r>
                            <m:t>3</m:t>
                          </m:r>
                        </m:e>
                        <m:e>
                          <m:r>
                            <m:rPr>
                              <m:sty m:val="p"/>
                            </m:rPr>
                            <m:t>−</m:t>
                          </m:r>
                          <m:r>
                            <m:t>1</m:t>
                          </m:r>
                          <m:r>
                            <m:rPr>
                              <m:sty m:val="p"/>
                            </m:rPr>
                            <m:t>/</m:t>
                          </m:r>
                          <m:r>
                            <m:t>2</m:t>
                          </m:r>
                          <m:r>
                            <m:rPr>
                              <m:sty m:val="p"/>
                            </m:rPr>
                            <m:t>⋅</m:t>
                          </m:r>
                          <m:r>
                            <m:t>π</m:t>
                          </m:r>
                        </m:e>
                        <m:e>
                          <m:r>
                            <m:rPr>
                              <m:sty m:val="p"/>
                            </m:rPr>
                            <m:t>−</m:t>
                          </m:r>
                          <m:r>
                            <m:t>1</m:t>
                          </m:r>
                          <m:r>
                            <m:rPr>
                              <m:sty m:val="p"/>
                            </m:rPr>
                            <m:t>/</m:t>
                          </m:r>
                          <m:r>
                            <m:t>2</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combine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bookmarkEnd w:id="62"/>
    <w:bookmarkStart w:id="63"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63"/>
    <w:bookmarkStart w:id="66"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6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64" Target="https://creativecommons.org/licenses/by-nc-sa/4.0/?ref=chooser-v1" TargetMode="External" /><Relationship Type="http://schemas.openxmlformats.org/officeDocument/2006/relationships/hyperlink" Id="rId27" Target="introtocomplexnumbers.qmd" TargetMode="External" /></Relationships>
</file>

<file path=word/_rels/footnotes.xml.rels><?xml version="1.0" encoding="UTF-8"?><Relationships xmlns="http://schemas.openxmlformats.org/package/2006/relationships"><Relationship Type="http://schemas.openxmlformats.org/officeDocument/2006/relationships/hyperlink" Id="rId64" Target="https://creativecommons.org/licenses/by-nc-sa/4.0/?ref=chooser-v1" TargetMode="External" /><Relationship Type="http://schemas.openxmlformats.org/officeDocument/2006/relationships/hyperlink" Id="rId27" Target="introtocomplexnumbe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2026-01-23T11:33:17Z</dcterms:created>
  <dcterms:modified xsi:type="dcterms:W3CDTF">2026-01-23T11:33:17Z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