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0.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numerical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pStyle w:val="Compact"/>
              <w:numPr>
                <w:ilvl w:val="0"/>
                <w:numId w:val="1002"/>
              </w:numPr>
            </w:pPr>
            <w:r>
              <w:t xml:space="preserve">Suppose a recipe asks for one quarter of a kilogram of flour. If you do not use fractions and guess, you might add a whole cup, making your cake dry and crumbly!</w:t>
            </w:r>
          </w:p>
          <w:p>
            <w:pPr>
              <w:pStyle w:val="Compact"/>
              <w:numPr>
                <w:ilvl w:val="0"/>
                <w:numId w:val="1002"/>
              </w:numPr>
            </w:pPr>
            <w:r>
              <w:t xml:space="preserve">If £10 is split between four people, each person gets a quarter of £10 which is £2.50. If you do not use fractions and guess, some of your friends might be unhappy!</w:t>
            </w:r>
          </w:p>
          <w:p>
            <w:pPr>
              <w:pStyle w:val="Compact"/>
              <w:numPr>
                <w:ilvl w:val="0"/>
                <w:numId w:val="1002"/>
              </w:numPr>
            </w:pPr>
            <w:r>
              <w:t xml:space="preserve">If your boss says</w:t>
            </w:r>
            <w:r>
              <w:t xml:space="preserve"> </w:t>
            </w:r>
            <w:r>
              <w:t xml:space="preserve">“I will meet you here in half an hour”</w:t>
            </w:r>
            <w:r>
              <w:t xml:space="preserve">, they are using a fraction. They mean they are expecting you to arrive in 30 minutes. If you do not use fractions, you might be late, and your boss might not be happy!</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equal to, or greater than one, there are three different types of fractions you can use.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640080" cy="1321653"/>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640080" cy="1321653"/>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4810205" cy="2973721"/>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4810205" cy="2973721"/>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eating a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2743200" cy="1690487"/>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2743200" cy="1690487"/>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3"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p>
          <w:p>
            <w:pPr>
              <w:pStyle w:val="BodyText"/>
            </w:pPr>
            <m:oMathPara>
              <m:oMathParaPr>
                <m:jc m:val="center"/>
              </m:oMathParaPr>
              <m:oMath>
                <m:f>
                  <m:fPr>
                    <m:type m:val="bar"/>
                  </m:fPr>
                  <m:num>
                    <m:r>
                      <m:t>7</m:t>
                    </m:r>
                  </m:num>
                  <m:den>
                    <m:r>
                      <m:t>20</m:t>
                    </m:r>
                  </m:den>
                </m:f>
              </m:oMath>
            </m:oMathPara>
          </w:p>
          <w:p>
            <w:pPr>
              <w:pStyle w:val="FirstParagraph"/>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3895805" cy="3565391"/>
            <wp:effectExtent b="0" l="0" r="0" t="0"/>
            <wp:docPr descr="The process of simplifying fractions, represented by shaded parts of two circles." title="" id="84" name="Picture"/>
            <a:graphic>
              <a:graphicData uri="http://schemas.openxmlformats.org/drawingml/2006/picture">
                <pic:pic>
                  <pic:nvPicPr>
                    <pic:cNvPr descr="FiguresPNG/introtonumericalfractions-fig7.png" id="85" name="Picture"/>
                    <pic:cNvPicPr>
                      <a:picLocks noChangeArrowheads="1" noChangeAspect="1"/>
                    </pic:cNvPicPr>
                  </pic:nvPicPr>
                  <pic:blipFill>
                    <a:blip r:embed="rId83"/>
                    <a:stretch>
                      <a:fillRect/>
                    </a:stretch>
                  </pic:blipFill>
                  <pic:spPr bwMode="auto">
                    <a:xfrm>
                      <a:off x="0" y="0"/>
                      <a:ext cx="3895805" cy="3565391"/>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tip.png" id="8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warning.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arises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Therefore, remembering to simplify your fractions is a good habit to develop, and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3"/>
    <w:bookmarkStart w:id="94"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Classify the fraction</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4"/>
    <w:bookmarkStart w:id="98" w:name="further-reading"/>
    <w:p>
      <w:pPr>
        <w:pStyle w:val="Heading1"/>
      </w:pPr>
      <w:r>
        <w:t xml:space="preserve">Further reading</w:t>
      </w:r>
    </w:p>
    <w:p>
      <w:pPr>
        <w:pStyle w:val="FirstParagraph"/>
      </w:pPr>
      <w:hyperlink r:id="rId95">
        <w:r>
          <w:rPr>
            <w:rStyle w:val="Hyperlink"/>
          </w:rPr>
          <w:t xml:space="preserve">For more questions on the subject, please go to Questions: Introduction to numerical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97"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6">
        <w:r>
          <w:rPr>
            <w:rStyle w:val="Hyperlink"/>
          </w:rPr>
          <w:t xml:space="preserve">This work is licensed under CC BY-NC-SA 4.0.</w:t>
        </w:r>
      </w:hyperlink>
    </w:p>
    <w:bookmarkEnd w:id="97"/>
    <w:bookmarkEnd w:id="9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0" Target="media/rId90.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hyperlink" Id="rId95"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6"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95"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6"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numerical fractions</dc:title>
  <dc:creator>Donald Campbell</dc:creator>
  <cp:keywords/>
  <dcterms:created xsi:type="dcterms:W3CDTF">2026-01-23T11:38:10Z</dcterms:created>
  <dcterms:modified xsi:type="dcterms:W3CDTF">2026-01-23T11:38:10Z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