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 [Proof sheet: Rules of differentiation.]</w:t>
      </w:r>
    </w:p>
    <w:bookmarkEnd w:id="32"/>
    <w:bookmarkStart w:id="4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39">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7"/>
    <w:bookmarkStart w:id="6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1">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5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4"/>
    <w:bookmarkEnd w:id="65"/>
    <w:bookmarkStart w:id="6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6"/>
    <w:bookmarkStart w:id="71" w:name="further-reading"/>
    <w:p>
      <w:pPr>
        <w:pStyle w:val="Heading1"/>
      </w:pPr>
      <w:r>
        <w:t xml:space="preserve">Further reading</w:t>
      </w:r>
    </w:p>
    <w:p>
      <w:pPr>
        <w:pStyle w:val="FirstParagraph"/>
      </w:pPr>
      <w:hyperlink r:id="rId6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0">
        <w:r>
          <w:rPr>
            <w:rStyle w:val="Hyperlink"/>
          </w:rPr>
          <w:t xml:space="preserve">Guide: The product rule</w:t>
        </w:r>
      </w:hyperlink>
      <w:r>
        <w:t xml:space="preserve">, and</w:t>
      </w:r>
      <w:r>
        <w:t xml:space="preserve"> </w:t>
      </w:r>
      <w:hyperlink r:id="rId5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68">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8" Target="../proofsheets/ps-rulesofdifferentiation.qmd" TargetMode="External" /><Relationship Type="http://schemas.openxmlformats.org/officeDocument/2006/relationships/hyperlink" Id="rId67" Target="../questions/qs-quotientrule.qmd" TargetMode="External" /><Relationship Type="http://schemas.openxmlformats.org/officeDocument/2006/relationships/hyperlink" Id="rId59"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9" Target="lawsofindices.qmd" TargetMode="External" /><Relationship Type="http://schemas.openxmlformats.org/officeDocument/2006/relationships/hyperlink" Id="rId40" Target="productrule.qmd" TargetMode="External" /><Relationship Type="http://schemas.openxmlformats.org/officeDocument/2006/relationships/hyperlink" Id="rId51" Target="trigonometricidentities-radians.qmd" TargetMode="External" /><Relationship Type="http://schemas.openxmlformats.org/officeDocument/2006/relationships/hyperlink" Id="rId4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2026-01-23T11:42:12Z</dcterms:created>
  <dcterms:modified xsi:type="dcterms:W3CDTF">2026-01-23T11:42:12Z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