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20">
        <w:r>
          <w:rPr>
            <w:rStyle w:val="Hyperlink"/>
            <w:i/>
            <w:iCs/>
          </w:rPr>
          <w:t xml:space="preserve">Guide: Introduction to</w:t>
        </w:r>
      </w:hyperlink>
      <w:r>
        <w:t xml:space="preserve"> </w:t>
      </w:r>
      <w:hyperlink r:id="rId20">
        <m:oMath>
          <m:r>
            <m:t>t</m:t>
          </m:r>
        </m:oMath>
        <w:r>
          <w:rPr>
            <w:rStyle w:val="Hyperlink"/>
          </w:rPr>
          <w:t xml:space="preserve">-testing</w:t>
        </w:r>
      </w:hyperlink>
      <w:r>
        <w:t xml:space="preserve">.</w:t>
      </w:r>
    </w:p>
    <w:bookmarkStart w:id="21" w:name="q1"/>
    <w:p>
      <w:pPr>
        <w:pStyle w:val="Heading2"/>
      </w:pPr>
      <w:r>
        <w:t xml:space="preserve">Q1</w:t>
      </w:r>
    </w:p>
    <w:p>
      <w:pPr>
        <w:pStyle w:val="FirstParagraph"/>
      </w:pPr>
      <w:r>
        <w:rPr>
          <w:b/>
          <w:bCs/>
        </w:rPr>
        <w:t xml:space="preserve">1.1.</w:t>
      </w:r>
      <w:r>
        <w:t xml:space="preserve"> </w:t>
      </w:r>
      <w:r>
        <w:t xml:space="preserve">What is the rule of thumb for sample size in</w:t>
      </w:r>
      <w:r>
        <w:t xml:space="preserve"> </w:t>
      </w:r>
      <m:oMath>
        <m:r>
          <m:t>t</m:t>
        </m:r>
      </m:oMath>
      <w:r>
        <w:t xml:space="preserve">-testing?</w:t>
      </w:r>
    </w:p>
    <w:p>
      <w:pPr>
        <w:pStyle w:val="BodyText"/>
      </w:pPr>
      <w:r>
        <w:rPr>
          <w:b/>
          <w:bCs/>
        </w:rPr>
        <w:t xml:space="preserve">1.2.</w:t>
      </w:r>
      <w:r>
        <w:t xml:space="preserve"> </w:t>
      </w:r>
      <w:r>
        <w:t xml:space="preserve">What is the definition of a t test?</w:t>
      </w:r>
    </w:p>
    <w:p>
      <w:pPr>
        <w:pStyle w:val="BodyText"/>
      </w:pPr>
      <w:r>
        <w:rPr>
          <w:b/>
          <w:bCs/>
        </w:rPr>
        <w:t xml:space="preserve">1.3.</w:t>
      </w:r>
      <w:r>
        <w:t xml:space="preserve"> </w:t>
      </w:r>
      <w:r>
        <w:t xml:space="preserve">What is the definition of a Student’s t test?</w:t>
      </w:r>
    </w:p>
    <w:p>
      <w:pPr>
        <w:pStyle w:val="BodyText"/>
      </w:pPr>
      <w:r>
        <w:rPr>
          <w:b/>
          <w:bCs/>
        </w:rPr>
        <w:t xml:space="preserve">1.4.</w:t>
      </w:r>
      <w:r>
        <w:t xml:space="preserve"> </w:t>
      </w:r>
      <w:r>
        <w:t xml:space="preserve">What is the definition of a Welch’s t test?</w:t>
      </w:r>
    </w:p>
    <w:bookmarkEnd w:id="21"/>
    <w:bookmarkStart w:id="22"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22"/>
    <w:bookmarkStart w:id="23"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d>
          <m:dPr>
            <m:begChr m:val="("/>
            <m:sepChr m:val=""/>
            <m:endChr m:val=")"/>
            <m:grow/>
          </m:dPr>
          <m:e>
            <m:sSub>
              <m:e>
                <m:r>
                  <m:t>μ</m:t>
                </m:r>
              </m:e>
              <m:sub>
                <m:r>
                  <m:t>1</m:t>
                </m:r>
              </m:sub>
            </m:sSub>
          </m:e>
        </m:d>
      </m:oMath>
      <w:r>
        <w:t xml:space="preserve"> </w:t>
      </w:r>
      <w:r>
        <w:t xml:space="preserve">to Lovelace’s Lollies’</w:t>
      </w:r>
      <w:r>
        <w:t xml:space="preserve"> </w:t>
      </w:r>
      <m:oMath>
        <m:d>
          <m:dPr>
            <m:begChr m:val="("/>
            <m:sepChr m:val=""/>
            <m:endChr m:val=")"/>
            <m:grow/>
          </m:dPr>
          <m:e>
            <m:sSub>
              <m:e>
                <m:r>
                  <m:t>μ</m:t>
                </m:r>
              </m:e>
              <m:sub>
                <m:r>
                  <m:t>2</m:t>
                </m:r>
              </m:sub>
            </m:sSub>
          </m:e>
        </m:d>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d>
          <m:dPr>
            <m:begChr m:val="("/>
            <m:sepChr m:val=""/>
            <m:endChr m:val=")"/>
            <m:grow/>
          </m:dPr>
          <m:e>
            <m:sSub>
              <m:e>
                <m:r>
                  <m:t>μ</m:t>
                </m:r>
              </m:e>
              <m:sub>
                <m:r>
                  <m:t>1</m:t>
                </m:r>
              </m:sub>
            </m:sSub>
          </m:e>
        </m:d>
      </m:oMath>
      <w:r>
        <w:t xml:space="preserve"> </w:t>
      </w:r>
      <w:r>
        <w:t xml:space="preserve">and weekend sales</w:t>
      </w:r>
      <w:r>
        <w:t xml:space="preserve"> </w:t>
      </w:r>
      <m:oMath>
        <m:d>
          <m:dPr>
            <m:begChr m:val="("/>
            <m:sepChr m:val=""/>
            <m:endChr m:val=")"/>
            <m:grow/>
          </m:dPr>
          <m:e>
            <m:sSub>
              <m:e>
                <m:r>
                  <m:t>μ</m:t>
                </m:r>
              </m:e>
              <m:sub>
                <m:r>
                  <m:t>2</m:t>
                </m:r>
              </m:sub>
            </m:sSub>
          </m:e>
        </m:d>
      </m:oMath>
      <w:r>
        <w:t xml:space="preserve"> </w:t>
      </w:r>
      <w:r>
        <w:t xml:space="preserve">to test if there is a difference.</w:t>
      </w:r>
    </w:p>
    <w:bookmarkEnd w:id="23"/>
    <w:bookmarkStart w:id="24"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24"/>
    <w:bookmarkStart w:id="26"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25">
        <w:r>
          <w:rPr>
            <w:rStyle w:val="Hyperlink"/>
          </w:rPr>
          <w:t xml:space="preserve">After attempting the questions above, please click this link to find the answers.</w:t>
        </w:r>
      </w:hyperlink>
    </w:p>
    <w:p>
      <w:r>
        <w:pict>
          <v:rect style="width:0;height:1.5pt" o:hralign="center" o:hrstd="t" o:hr="t"/>
        </w:pict>
      </w:r>
    </w:p>
    <w:bookmarkEnd w:id="26"/>
    <w:bookmarkStart w:id="28"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27">
        <w:r>
          <w:rPr>
            <w:rStyle w:val="Hyperlink"/>
          </w:rPr>
          <w:t xml:space="preserve">This work is licensed under CC BY-NC-SA 4.0.</w:t>
        </w:r>
      </w:hyperlink>
    </w:p>
    <w:bookmarkEnd w:id="2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5" Target="../answers/as-introtottesting.qmd" TargetMode="External" /><Relationship Type="http://schemas.openxmlformats.org/officeDocument/2006/relationships/hyperlink" Id="rId20" Target="../studyguides/introtottesting.qmd" TargetMode="External" /><Relationship Type="http://schemas.openxmlformats.org/officeDocument/2006/relationships/hyperlink" Id="rId27"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2026-04-16T12:42:30Z</dcterms:created>
  <dcterms:modified xsi:type="dcterms:W3CDTF">2026-04-16T12:42:30Z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