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83.png" ContentType="image/png"/>
  <Override PartName="/word/media/rId77.png" ContentType="image/png"/>
  <Override PartName="/word/media/rId89.png" ContentType="image/png"/>
  <Override PartName="/word/media/rId106.png" ContentType="image/png"/>
  <Override PartName="/word/media/rId71.png" ContentType="image/png"/>
  <Override PartName="/word/media/rId2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20" w:name="what-is-data-analysis"/>
    <w:p>
      <w:pPr>
        <w:pStyle w:val="Heading1"/>
      </w:pPr>
      <w:r>
        <w:t xml:space="preserve">What is data analysis?</w:t>
      </w:r>
    </w:p>
    <w:p>
      <w:pPr>
        <w:pStyle w:val="FirstParagraph"/>
      </w:pPr>
      <w:r>
        <w:t xml:space="preserve">From sports to shopping, data is now underpinning everything people do. This prompts the need to learn</w:t>
      </w:r>
      <w:r>
        <w:t xml:space="preserve"> </w:t>
      </w:r>
      <w:r>
        <w:rPr>
          <w:b/>
          <w:bCs/>
        </w:rPr>
        <w:t xml:space="preserve">data analysis</w:t>
      </w:r>
      <w:r>
        <w:t xml:space="preserve">, which is the process of inspecting and transforming data in order to extract useful insights.</w:t>
      </w:r>
    </w:p>
    <w:p>
      <w:pPr>
        <w:pStyle w:val="BodyText"/>
      </w:pPr>
      <w:r>
        <w:t xml:space="preserve">This guide introduces you to data analysis. First, a distinction will be made between how to present, transform, interpret data (known as</w:t>
      </w:r>
      <w:r>
        <w:t xml:space="preserve"> </w:t>
      </w:r>
      <w:r>
        <w:rPr>
          <w:b/>
          <w:bCs/>
        </w:rPr>
        <w:t xml:space="preserve">descriptive statistics</w:t>
      </w:r>
      <w:r>
        <w:t xml:space="preserve">), and how to draw conclusions from data (known as</w:t>
      </w:r>
      <w:r>
        <w:t xml:space="preserve"> </w:t>
      </w:r>
      <w:r>
        <w:rPr>
          <w:b/>
          <w:bCs/>
        </w:rPr>
        <w:t xml:space="preserve">inferential statistics</w:t>
      </w:r>
      <w:r>
        <w:t xml:space="preserve">). On the descriptive statistics side, you will learn about measures of central tendency and dispersion, alongside data visualization. On the other hand, the inferential statistics section will introduce hypothesis testing, statistical relationships, and confidence intervals. It will also cover PMFs, PDFs, and CDFs.</w:t>
      </w:r>
    </w:p>
    <w:bookmarkEnd w:id="20"/>
    <w:bookmarkStart w:id="21" w:name="what-do-you-want-to-do"/>
    <w:p>
      <w:pPr>
        <w:pStyle w:val="Heading1"/>
      </w:pPr>
      <w:r>
        <w:t xml:space="preserve">What do you want to do?</w:t>
      </w:r>
    </w:p>
    <w:p>
      <w:pPr>
        <w:pStyle w:val="FirstParagraph"/>
      </w:pPr>
      <w:r>
        <w:t xml:space="preserve">If you want to summarize or describe a set of data, then you need techniques from</w:t>
      </w:r>
      <w:r>
        <w:t xml:space="preserve"> </w:t>
      </w:r>
      <w:r>
        <w:rPr>
          <w:b/>
          <w:bCs/>
        </w:rPr>
        <w:t xml:space="preserve">descriptive statistics</w:t>
      </w:r>
      <w:r>
        <w:t xml:space="preserve">. For example, you could ask questons like:</w:t>
      </w:r>
    </w:p>
    <w:p>
      <w:pPr>
        <w:pStyle w:val="Compact"/>
        <w:numPr>
          <w:ilvl w:val="0"/>
          <w:numId w:val="1001"/>
        </w:numPr>
      </w:pPr>
      <w:r>
        <w:t xml:space="preserve">what is the</w:t>
      </w:r>
      <w:r>
        <w:t xml:space="preserve"> </w:t>
      </w:r>
      <w:r>
        <w:t xml:space="preserve">“middle value”</w:t>
      </w:r>
      <w:r>
        <w:t xml:space="preserve"> </w:t>
      </w:r>
      <w:r>
        <w:t xml:space="preserve">of the data?</w:t>
      </w:r>
    </w:p>
    <w:p>
      <w:pPr>
        <w:pStyle w:val="Compact"/>
        <w:numPr>
          <w:ilvl w:val="0"/>
          <w:numId w:val="1001"/>
        </w:numPr>
      </w:pPr>
      <w:r>
        <w:t xml:space="preserve">how spread out is the data?</w:t>
      </w:r>
    </w:p>
    <w:p>
      <w:pPr>
        <w:pStyle w:val="Compact"/>
        <w:numPr>
          <w:ilvl w:val="0"/>
          <w:numId w:val="1001"/>
        </w:numPr>
      </w:pPr>
      <w:r>
        <w:t xml:space="preserve">what does the data look like in visual form, and what is the best way tou can do this.</w:t>
      </w:r>
    </w:p>
    <w:p>
      <w:pPr>
        <w:pStyle w:val="FirstParagraph"/>
      </w:pPr>
      <w:r>
        <w:t xml:space="preserve">There are several techniques you can use to answer such questions, which will be explored further in this guide.</w:t>
      </w:r>
    </w:p>
    <w:p>
      <w:pPr>
        <w:pStyle w:val="BodyText"/>
      </w:pPr>
      <w:r>
        <w:t xml:space="preserve">If you want to draw statistical conclusions using</w:t>
      </w:r>
      <w:r>
        <w:t xml:space="preserve"> </w:t>
      </w:r>
      <w:r>
        <w:rPr>
          <w:b/>
          <w:bCs/>
        </w:rPr>
        <w:t xml:space="preserve">inferential statistics</w:t>
      </w:r>
      <w:r>
        <w:t xml:space="preserve">, it is useful to establish what a</w:t>
      </w:r>
      <w:r>
        <w:t xml:space="preserve"> </w:t>
      </w:r>
      <w:r>
        <w:rPr>
          <w:b/>
          <w:bCs/>
        </w:rPr>
        <w:t xml:space="preserve">sample</w:t>
      </w:r>
      <w:r>
        <w:t xml:space="preserve"> </w:t>
      </w:r>
      <w:r>
        <w:t xml:space="preserve">and</w:t>
      </w:r>
      <w:r>
        <w:t xml:space="preserve"> </w:t>
      </w:r>
      <w:r>
        <w:rPr>
          <w:b/>
          <w:bCs/>
        </w:rPr>
        <w:t xml:space="preserve">population</w:t>
      </w:r>
      <w:r>
        <w:t xml:space="preserve"> </w:t>
      </w:r>
      <w:r>
        <w:t xml:space="preserve">is. A</w:t>
      </w:r>
      <w:r>
        <w:t xml:space="preserve"> </w:t>
      </w:r>
      <w:r>
        <w:rPr>
          <w:b/>
          <w:bCs/>
        </w:rPr>
        <w:t xml:space="preserve">population</w:t>
      </w:r>
      <w:r>
        <w:t xml:space="preserve"> </w:t>
      </w:r>
      <w:r>
        <w:t xml:space="preserve">is the entirety of a group you want to study. Unfortunately, a population often contains too many individuals, so it is often inconvenient or sometimes even impossible to study every individual. Because of this, a</w:t>
      </w:r>
      <w:r>
        <w:t xml:space="preserve"> </w:t>
      </w:r>
      <w:r>
        <w:rPr>
          <w:b/>
          <w:bCs/>
        </w:rPr>
        <w:t xml:space="preserve">sample,</w:t>
      </w:r>
      <w:r>
        <w:t xml:space="preserve"> </w:t>
      </w:r>
      <w:r>
        <w:t xml:space="preserve">or a smaller subset of a population, is commonly taken for a statistical study.</w:t>
      </w:r>
    </w:p>
    <w:p>
      <w:pPr>
        <w:pStyle w:val="BodyText"/>
      </w:pPr>
      <w:r>
        <w:t xml:space="preserve">You can then use these samples to make inferences and predictions about the population. If so, techniques from</w:t>
      </w:r>
      <w:r>
        <w:t xml:space="preserve"> </w:t>
      </w:r>
      <w:r>
        <w:rPr>
          <w:b/>
          <w:bCs/>
        </w:rPr>
        <w:t xml:space="preserve">inferential statistics</w:t>
      </w:r>
      <w:r>
        <w:t xml:space="preserve"> </w:t>
      </w:r>
      <w:r>
        <w:t xml:space="preserve">can help you. This can be done by testing whether the values of two data samples are significantly different, examining whether two variables have a statistically significant relationship, and more that is beyond the scope of this study guide.</w:t>
      </w:r>
    </w:p>
    <w:bookmarkEnd w:id="21"/>
    <w:bookmarkStart w:id="94" w:name="descriptive-statistics"/>
    <w:p>
      <w:pPr>
        <w:pStyle w:val="Heading1"/>
      </w:pPr>
      <w:r>
        <w:t xml:space="preserve">Descriptive statistics</w:t>
      </w:r>
    </w:p>
    <w:bookmarkStart w:id="41" w:name="central-tendency"/>
    <w:p>
      <w:pPr>
        <w:pStyle w:val="Heading2"/>
      </w:pPr>
      <w:r>
        <w:t xml:space="preserve">Central tendency</w:t>
      </w:r>
    </w:p>
    <w:p>
      <w:pPr>
        <w:pStyle w:val="FirstParagraph"/>
      </w:pPr>
      <w:r>
        <w:t xml:space="preserve">The</w:t>
      </w:r>
      <w:r>
        <w:t xml:space="preserve"> </w:t>
      </w:r>
      <w:r>
        <w:rPr>
          <w:b/>
          <w:bCs/>
        </w:rPr>
        <w:t xml:space="preserve">central tendency</w:t>
      </w:r>
      <w:r>
        <w:t xml:space="preserve"> </w:t>
      </w:r>
      <w:r>
        <w:t xml:space="preserve">of data,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27"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in the data set divided by the number of values in the data set.</w:t>
            </w:r>
          </w:p>
          <w:p/>
        </w:tc>
      </w:tr>
    </w:tbl>
    <w:p>
      <w:pPr>
        <w:pStyle w:val="BodyText"/>
      </w:pPr>
      <w:r>
        <w:t xml:space="preserve">The mean can be denoted by two symbols, depending on whether the data used is a sample or the whole population:</w:t>
      </w:r>
    </w:p>
    <w:p>
      <w:pPr>
        <w:numPr>
          <w:ilvl w:val="0"/>
          <w:numId w:val="1002"/>
        </w:numPr>
      </w:pPr>
      <m:oMath>
        <m:bar>
          <m:barPr>
            <m:pos m:val="top"/>
          </m:barPr>
          <m:e>
            <m:r>
              <m:t>x</m:t>
            </m:r>
          </m:e>
        </m:bar>
      </m:oMath>
      <w:r>
        <w:t xml:space="preserve"> </w:t>
      </w:r>
      <w:r>
        <w:t xml:space="preserve">is used for a</w:t>
      </w:r>
      <w:r>
        <w:t xml:space="preserve"> </w:t>
      </w:r>
      <w:r>
        <w:rPr>
          <w:b/>
          <w:bCs/>
        </w:rPr>
        <w:t xml:space="preserve">sample mean</w:t>
      </w:r>
    </w:p>
    <w:p>
      <w:pPr>
        <w:numPr>
          <w:ilvl w:val="0"/>
          <w:numId w:val="1002"/>
        </w:numPr>
      </w:pPr>
      <m:oMath>
        <m:r>
          <m:t>μ</m:t>
        </m:r>
      </m:oMath>
      <w:r>
        <w:t xml:space="preserve"> </w:t>
      </w:r>
      <w:r>
        <w:t xml:space="preserve">is used for a</w:t>
      </w:r>
      <w:r>
        <w:t xml:space="preserve"> </w:t>
      </w:r>
      <w:r>
        <w:rPr>
          <w:b/>
          <w:bCs/>
        </w:rPr>
        <w:t xml:space="preserve">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46</m:t>
                </m:r>
              </m:oMath>
            </m:oMathPara>
          </w:p>
        </w:tc>
      </w:tr>
    </w:tbl>
    <w:bookmarkEnd w:id="27"/>
    <w:bookmarkStart w:id="34"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 that is ordered from smallest to largest.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3"/>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3"/>
              </w:numPr>
            </w:pPr>
            <w:r>
              <w:t xml:space="preserve">If the data set has an even number of values, the</w:t>
            </w:r>
            <w:r>
              <w:t xml:space="preserve"> </w:t>
            </w:r>
            <w:r>
              <w:rPr>
                <w:b/>
                <w:bCs/>
              </w:rPr>
              <w:t xml:space="preserve">median</w:t>
            </w:r>
            <w:r>
              <w:t xml:space="preserve"> </w:t>
            </w:r>
            <w:r>
              <w:t xml:space="preserve">would be the sum of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objects, which is an odd number. So to find the middle number in the data set, you can divide the total amount of numbers by 2 and round it up. In this case,</w:t>
            </w:r>
            <w:r>
              <w:t xml:space="preserve"> </w:t>
            </w:r>
            <m:oMath>
              <m:f>
                <m:fPr>
                  <m:type m:val="bar"/>
                </m:fPr>
                <m:num>
                  <m:r>
                    <m:t>7</m:t>
                  </m:r>
                </m:num>
                <m:den>
                  <m:r>
                    <m:t>2</m:t>
                  </m:r>
                </m:den>
              </m:f>
              <m:r>
                <m:rPr>
                  <m:sty m:val="p"/>
                </m:rPr>
                <m:t>=</m:t>
              </m:r>
              <m:r>
                <m:t>3.5</m:t>
              </m:r>
            </m:oMath>
            <w:r>
              <w:t xml:space="preserve">, which rounds up to</w:t>
            </w:r>
            <w:r>
              <w:t xml:space="preserve"> </w:t>
            </w:r>
            <m:oMath>
              <m:r>
                <m:t>4</m:t>
              </m:r>
            </m:oMath>
            <w:r>
              <w:t xml:space="preserve">.</w:t>
            </w:r>
          </w:p>
          <w:p>
            <w:pPr>
              <w:pStyle w:val="BodyText"/>
            </w:pPr>
            <w:pPr>
              <w:spacing w:after="16"/>
            </w:pPr>
            <w:r>
              <w:t xml:space="preserve">The fourth number in the set, which is also the</w:t>
            </w:r>
            <w:r>
              <w:t xml:space="preserve"> </w:t>
            </w:r>
            <w:r>
              <w:rPr>
                <w:b/>
                <w:bCs/>
              </w:rPr>
              <w:t xml:space="preserve">median</w:t>
            </w:r>
            <w:r>
              <w:t xml:space="preserve">, is 44.</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56</m:t>
              </m:r>
              <m:r>
                <m:rPr>
                  <m:sty m:val="p"/>
                </m:rPr>
                <m:t>,</m:t>
              </m:r>
              <m:r>
                <m:t>76</m:t>
              </m:r>
              <m:r>
                <m:rPr>
                  <m:sty m:val="p"/>
                </m:rPr>
                <m:t>}</m:t>
              </m:r>
            </m:oMath>
            <w:r>
              <w:t xml:space="preserve">.</w:t>
            </w:r>
          </w:p>
          <w:p>
            <w:pPr>
              <w:pStyle w:val="BodyText"/>
            </w:pPr>
            <w:r>
              <w:t xml:space="preserve">Notice that the list contains 6 objects, and</w:t>
            </w:r>
            <w:r>
              <w:t xml:space="preserve"> </w:t>
            </w:r>
            <m:oMath>
              <m:r>
                <m:t>6</m:t>
              </m:r>
            </m:oMath>
            <w:r>
              <w:t xml:space="preserve"> </w:t>
            </w:r>
            <w:r>
              <w:t xml:space="preserve">is an even number. So to find the two middle numbers, you can divide the number of numbers by 2. In this case,</w:t>
            </w:r>
            <w:r>
              <w:t xml:space="preserve"> </w:t>
            </w:r>
            <m:oMath>
              <m:f>
                <m:fPr>
                  <m:type m:val="bar"/>
                </m:fPr>
                <m:num>
                  <m:r>
                    <m:t>6</m:t>
                  </m:r>
                </m:num>
                <m:den>
                  <m:r>
                    <m:t>2</m:t>
                  </m:r>
                </m:den>
              </m:f>
              <m:r>
                <m:rPr>
                  <m:sty m:val="p"/>
                </m:rPr>
                <m:t>=</m:t>
              </m:r>
              <m:r>
                <m:t>3</m:t>
              </m:r>
            </m:oMath>
            <w:r>
              <w:t xml:space="preserve">. Then the two middle numbers would be the third and fourth numbers.</w:t>
            </w:r>
          </w:p>
          <w:p>
            <w:pPr>
              <w:pStyle w:val="BodyText"/>
            </w:pPr>
            <w:pPr>
              <w:spacing w:after="16"/>
            </w:pPr>
            <w:r>
              <w:t xml:space="preserve">The third number is 32, whereas the fourth number is 44. To find the median, you can sum these numbers together and divide them by 2. So the median is</w:t>
            </w:r>
            <w:r>
              <w:t xml:space="preserve"> </w:t>
            </w:r>
            <m:oMath>
              <m:f>
                <m:fPr>
                  <m:type m:val="bar"/>
                </m:fPr>
                <m:num>
                  <m:r>
                    <m:t>32</m:t>
                  </m:r>
                  <m:r>
                    <m:rPr>
                      <m:sty m:val="p"/>
                    </m:rPr>
                    <m:t>+</m:t>
                  </m:r>
                  <m:r>
                    <m:t>44</m:t>
                  </m:r>
                </m:num>
                <m:den>
                  <m:r>
                    <m:t>2</m:t>
                  </m:r>
                </m:den>
              </m:f>
              <m:r>
                <m:rPr>
                  <m:sty m:val="p"/>
                </m:rPr>
                <m:t>=</m:t>
              </m:r>
              <m:r>
                <m:t>38</m:t>
              </m:r>
            </m:oMath>
            <w:r>
              <w:t xml:space="preserve">.</w:t>
            </w:r>
          </w:p>
        </w:tc>
      </w:tr>
    </w:tbl>
    <w:bookmarkEnd w:id="34"/>
    <w:bookmarkStart w:id="39"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44</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 mode.</w:t>
            </w:r>
          </w:p>
        </w:tc>
      </w:tr>
    </w:tbl>
    <w:bookmarkEnd w:id="39"/>
    <w:bookmarkStart w:id="40"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centre of the data. Similarly, if there exist extremely small values in the data set, the mean might be</w:t>
      </w:r>
      <w:r>
        <w:t xml:space="preserve"> </w:t>
      </w:r>
      <w:r>
        <w:t xml:space="preserve">“pulled”</w:t>
      </w:r>
      <w:r>
        <w:t xml:space="preserve"> </w:t>
      </w:r>
      <w:r>
        <w:t xml:space="preserve">lower than the actual centre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centre of the data.</w:t>
      </w:r>
    </w:p>
    <w:bookmarkEnd w:id="40"/>
    <w:bookmarkEnd w:id="41"/>
    <w:bookmarkStart w:id="59"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46"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46"/>
    <w:bookmarkStart w:id="53"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4"/>
              </w:numPr>
            </w:pPr>
            <w:r>
              <w:t xml:space="preserve">The</w:t>
            </w:r>
            <w:r>
              <w:t xml:space="preserve"> </w:t>
            </w:r>
            <w:r>
              <w:rPr>
                <w:b/>
                <w:bCs/>
              </w:rPr>
              <w:t xml:space="preserve">upper quartile</w:t>
            </w:r>
            <w:r>
              <w:t xml:space="preserve"> </w:t>
            </w:r>
            <w:r>
              <w:t xml:space="preserve">is the median of the data set’s upper half.</w:t>
            </w:r>
          </w:p>
          <w:p>
            <w:pPr>
              <w:numPr>
                <w:ilvl w:val="0"/>
                <w:numId w:val="1004"/>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53"/>
    <w:bookmarkStart w:id="57"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d>
                <m:dPr>
                  <m:begChr m:val="("/>
                  <m:sepChr m:val=""/>
                  <m:endChr m:val=")"/>
                  <m:grow/>
                </m:dPr>
                <m:e>
                  <m:sSub>
                    <m:e>
                      <m:r>
                        <m:t>x</m:t>
                      </m:r>
                    </m:e>
                    <m:sub>
                      <m:r>
                        <m:t>i</m:t>
                      </m:r>
                    </m:sub>
                  </m:sSub>
                  <m:r>
                    <m:rPr>
                      <m:sty m:val="p"/>
                    </m:rPr>
                    <m:t>−</m:t>
                  </m:r>
                  <m:bar>
                    <m:barPr>
                      <m:pos m:val="top"/>
                    </m:barPr>
                    <m:e>
                      <m:r>
                        <m:t>x</m:t>
                      </m:r>
                    </m:e>
                  </m:bar>
                </m:e>
              </m:d>
            </m:oMath>
            <w:r>
              <w:t xml:space="preserve">:</w:t>
            </w:r>
          </w:p>
          <w:p>
            <w:pPr>
              <w:numPr>
                <w:ilvl w:val="0"/>
                <w:numId w:val="1005"/>
              </w:numPr>
            </w:pPr>
            <m:oMath>
              <m:sSup>
                <m:e>
                  <m:d>
                    <m:dPr>
                      <m:begChr m:val="("/>
                      <m:sepChr m:val=""/>
                      <m:endChr m:val=")"/>
                      <m:grow/>
                    </m:dPr>
                    <m:e>
                      <m:r>
                        <m:t>40</m:t>
                      </m:r>
                      <m:r>
                        <m:rPr>
                          <m:sty m:val="p"/>
                        </m:rPr>
                        <m:t>−</m:t>
                      </m:r>
                      <m:r>
                        <m:t>38.4</m:t>
                      </m:r>
                    </m:e>
                  </m:d>
                </m:e>
                <m:sup>
                  <m:r>
                    <m:t>2</m:t>
                  </m:r>
                </m:sup>
              </m:sSup>
              <m:r>
                <m:rPr>
                  <m:sty m:val="p"/>
                </m:rPr>
                <m:t>=</m:t>
              </m:r>
              <m:r>
                <m:t>2.56</m:t>
              </m:r>
            </m:oMath>
          </w:p>
          <w:p>
            <w:pPr>
              <w:numPr>
                <w:ilvl w:val="0"/>
                <w:numId w:val="1005"/>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5"/>
              </w:numPr>
            </w:pPr>
            <m:oMath>
              <m:sSup>
                <m:e>
                  <m:d>
                    <m:dPr>
                      <m:begChr m:val="("/>
                      <m:sepChr m:val=""/>
                      <m:endChr m:val=")"/>
                      <m:grow/>
                    </m:dPr>
                    <m:e>
                      <m:r>
                        <m:t>56</m:t>
                      </m:r>
                      <m:r>
                        <m:rPr>
                          <m:sty m:val="p"/>
                        </m:rPr>
                        <m:t>−</m:t>
                      </m:r>
                      <m:r>
                        <m:t>38.4</m:t>
                      </m:r>
                    </m:e>
                  </m:d>
                </m:e>
                <m:sup>
                  <m:r>
                    <m:t>2</m:t>
                  </m:r>
                </m:sup>
              </m:sSup>
              <m:r>
                <m:rPr>
                  <m:sty m:val="p"/>
                </m:rPr>
                <m:t>=</m:t>
              </m:r>
              <m:r>
                <m:t>309.76</m:t>
              </m:r>
            </m:oMath>
          </w:p>
          <w:p>
            <w:pPr>
              <w:numPr>
                <w:ilvl w:val="0"/>
                <w:numId w:val="1005"/>
              </w:numPr>
            </w:pPr>
            <m:oMath>
              <m:sSup>
                <m:e>
                  <m:d>
                    <m:dPr>
                      <m:begChr m:val="("/>
                      <m:sepChr m:val=""/>
                      <m:endChr m:val=")"/>
                      <m:grow/>
                    </m:dPr>
                    <m:e>
                      <m:r>
                        <m:t>76</m:t>
                      </m:r>
                      <m:r>
                        <m:rPr>
                          <m:sty m:val="p"/>
                        </m:rPr>
                        <m:t>−</m:t>
                      </m:r>
                      <m:r>
                        <m:t>38.4</m:t>
                      </m:r>
                    </m:e>
                  </m:d>
                </m:e>
                <m:sup>
                  <m:r>
                    <m:t>2</m:t>
                  </m:r>
                </m:sup>
              </m:sSup>
              <m:r>
                <m:rPr>
                  <m:sty m:val="p"/>
                </m:rPr>
                <m:t>=</m:t>
              </m:r>
              <m:r>
                <m:t>1413.76</m:t>
              </m:r>
            </m:oMath>
          </w:p>
          <w:p>
            <w:pPr>
              <w:numPr>
                <w:ilvl w:val="0"/>
                <w:numId w:val="1005"/>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5"/>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5"/>
              </w:numPr>
            </w:pPr>
            <m:oMath>
              <m:sSup>
                <m:e>
                  <m:d>
                    <m:dPr>
                      <m:begChr m:val="("/>
                      <m:sepChr m:val=""/>
                      <m:endChr m:val=")"/>
                      <m:grow/>
                    </m:dPr>
                    <m:e>
                      <m:r>
                        <m:t>50</m:t>
                      </m:r>
                      <m:r>
                        <m:rPr>
                          <m:sty m:val="p"/>
                        </m:rPr>
                        <m:t>−</m:t>
                      </m:r>
                      <m:r>
                        <m:t>38.4</m:t>
                      </m:r>
                    </m:e>
                  </m:d>
                </m:e>
                <m:sup>
                  <m:r>
                    <m:t>2</m:t>
                  </m:r>
                </m:sup>
              </m:sSup>
              <m:r>
                <m:rPr>
                  <m:sty m:val="p"/>
                </m:rPr>
                <m:t>=</m:t>
              </m:r>
              <m:r>
                <m:t>134.56</m:t>
              </m:r>
            </m:oMath>
          </w:p>
          <w:p>
            <w:pPr>
              <w:pStyle w:val="FirstParagraph"/>
            </w:pPr>
            <w:pPr>
              <w:spacing w:after="16"/>
            </w:pPr>
            <w:r>
              <w:t xml:space="preserve">To find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you can sum all the squared differences above.</w:t>
            </w:r>
          </w:p>
          <w:p>
            <w:pPr>
              <w:pStyle w:val="BodyText"/>
            </w:pPr>
            <m:oMathPara>
              <m:oMathParaPr>
                <m:jc m:val="center"/>
              </m:oMathParaPr>
              <m:oMath>
                <m:r>
                  <m:rPr>
                    <m:sty m:val="p"/>
                  </m:rPr>
                  <m:t>∑</m:t>
                </m:r>
                <m:d>
                  <m:dPr>
                    <m:begChr m:val="("/>
                    <m:sepChr m:val=""/>
                    <m:endChr m:val=")"/>
                    <m:grow/>
                  </m:dPr>
                  <m:e>
                    <m:sSub>
                      <m:e>
                        <m:r>
                          <m:t>x</m:t>
                        </m:r>
                      </m:e>
                      <m:sub>
                        <m:r>
                          <m:t>i</m:t>
                        </m:r>
                      </m:sub>
                    </m:sSub>
                    <m:r>
                      <m:rPr>
                        <m:sty m:val="p"/>
                      </m:rPr>
                      <m:t>−</m:t>
                    </m:r>
                    <m:bar>
                      <m:barPr>
                        <m:pos m:val="top"/>
                      </m:barPr>
                      <m:e>
                        <m:r>
                          <m:t>x</m:t>
                        </m:r>
                      </m:e>
                    </m:bar>
                  </m:e>
                </m:d>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r>
              <w:t xml:space="preserve">, you can divide the newly calculated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56">
        <w:r>
          <w:rPr>
            <w:rStyle w:val="Hyperlink"/>
          </w:rPr>
          <w:t xml:space="preserve">Guide: Expected value, variance, standard deviation.</w:t>
        </w:r>
      </w:hyperlink>
    </w:p>
    <w:bookmarkEnd w:id="57"/>
    <w:bookmarkStart w:id="58"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dive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58"/>
    <w:bookmarkEnd w:id="59"/>
    <w:bookmarkStart w:id="93"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five common data visualization types: bar charts, line graphs, histograms, pie charts, and scatter plots.</w:t>
      </w:r>
    </w:p>
    <w:bookmarkStart w:id="68"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blueberry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quickly compare candy sales across different categories, so they decided to plot this data in the form of a bar chart:</w:t>
            </w:r>
            <w:r>
              <w:t xml:space="preserve"> </w:t>
            </w:r>
            <w:r>
              <w:drawing>
                <wp:inline>
                  <wp:extent cx="5943600" cy="3766171"/>
                  <wp:effectExtent b="0" l="0" r="0" t="0"/>
                  <wp:docPr descr="" title="" id="63" name="Picture"/>
                  <a:graphic>
                    <a:graphicData uri="http://schemas.openxmlformats.org/drawingml/2006/picture">
                      <pic:pic>
                        <pic:nvPicPr>
                          <pic:cNvPr descr="./FiguresPNG/candysalesbarchart.png" id="64" name="Picture"/>
                          <pic:cNvPicPr>
                            <a:picLocks noChangeArrowheads="1" noChangeAspect="1"/>
                          </pic:cNvPicPr>
                        </pic:nvPicPr>
                        <pic:blipFill>
                          <a:blip r:embed="rId62"/>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cat &lt;- c(</w:t>
            </w:r>
            <w:r>
              <w:t xml:space="preserve">“Blueberry”</w:t>
            </w:r>
            <w:r>
              <w:t xml:space="preserve">,</w:t>
            </w:r>
            <w:r>
              <w:t xml:space="preserve">“Grape”</w:t>
            </w:r>
            <w:r>
              <w:t xml:space="preserve">,</w:t>
            </w:r>
            <w:r>
              <w:t xml:space="preserve">“Chocolate”</w:t>
            </w:r>
            <w:r>
              <w:t xml:space="preserve">,</w:t>
            </w:r>
            <w:r>
              <w:t xml:space="preserve">“Orange”</w:t>
            </w:r>
            <w:r>
              <w:t xml:space="preserve">)</w:t>
            </w:r>
          </w:p>
          <w:p>
            <w:pPr>
              <w:pStyle w:val="BodyText"/>
            </w:pPr>
            <w:pPr>
              <w:spacing w:after="16"/>
            </w:pPr>
            <w:r>
              <w:t xml:space="preserve">barplot(num, names.arg = cat, xlab =</w:t>
            </w:r>
            <w:r>
              <w:t xml:space="preserve">“Category”</w:t>
            </w:r>
            <w:r>
              <w:t xml:space="preserve">, ylab =</w:t>
            </w:r>
            <w:r>
              <w:t xml:space="preserve">“Number of Sales”</w:t>
            </w:r>
            <w:r>
              <w:t xml:space="preserve">, main =</w:t>
            </w:r>
            <w:r>
              <w:t xml:space="preserve">“Cantor’s Confectionery Candy Sales”</w:t>
            </w:r>
            <w:r>
              <w:t xml:space="preserve">, density=c(5,10,20,30) , angle=c(0,45,90,11)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bar charts do not have to be vertical. Bar charts are usually made to be vertical by default, but sometimes a horizontal format might be useful so that long label names do not overlap with each other.</w:t>
            </w:r>
          </w:p>
          <w:p/>
        </w:tc>
      </w:tr>
    </w:tbl>
    <w:bookmarkEnd w:id="68"/>
    <w:bookmarkStart w:id="74"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w:t>
            </w:r>
            <w:r>
              <w:t xml:space="preserve"> </w:t>
            </w:r>
            <w:r>
              <w:drawing>
                <wp:inline>
                  <wp:extent cx="5943600" cy="3766171"/>
                  <wp:effectExtent b="0" l="0" r="0" t="0"/>
                  <wp:docPr descr="" title="" id="72" name="Picture"/>
                  <a:graphic>
                    <a:graphicData uri="http://schemas.openxmlformats.org/drawingml/2006/picture">
                      <pic:pic>
                        <pic:nvPicPr>
                          <pic:cNvPr descr="./FiguresPNG/saleslinegraph.png" id="73" name="Picture"/>
                          <pic:cNvPicPr>
                            <a:picLocks noChangeArrowheads="1" noChangeAspect="1"/>
                          </pic:cNvPicPr>
                        </pic:nvPicPr>
                        <pic:blipFill>
                          <a:blip r:embed="rId71"/>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sales &lt;- c(40,32,56,76,32,32,50) plot(sales, type =</w:t>
            </w:r>
            <w:r>
              <w:t xml:space="preserve"> </w:t>
            </w:r>
            <w:r>
              <w:t xml:space="preserve">“o”</w:t>
            </w:r>
            <w:r>
              <w:t xml:space="preserve">, xlab =</w:t>
            </w:r>
            <w:r>
              <w:t xml:space="preserve"> </w:t>
            </w:r>
            <w:r>
              <w:t xml:space="preserve">“Day”</w:t>
            </w:r>
            <w:r>
              <w:t xml:space="preserve">, ylab =</w:t>
            </w:r>
            <w:r>
              <w:t xml:space="preserve"> </w:t>
            </w:r>
            <w:r>
              <w:t xml:space="preserve">“Sales”</w:t>
            </w:r>
            <w:r>
              <w:t xml:space="preserve">, main =</w:t>
            </w:r>
            <w:r>
              <w:t xml:space="preserve"> </w:t>
            </w:r>
            <w:r>
              <w:t xml:space="preserve">“Cantor’s Confectionery Sales Over the Past 7 Days”</w:t>
            </w:r>
            <w:r>
              <w:t xml:space="preserve">)</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74"/>
    <w:bookmarkStart w:id="80"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w:t>
            </w:r>
            <w:r>
              <w:t xml:space="preserve"> </w:t>
            </w:r>
            <w:r>
              <w:drawing>
                <wp:inline>
                  <wp:extent cx="5943600" cy="3766171"/>
                  <wp:effectExtent b="0" l="0" r="0" t="0"/>
                  <wp:docPr descr="" title="" id="78" name="Picture"/>
                  <a:graphic>
                    <a:graphicData uri="http://schemas.openxmlformats.org/drawingml/2006/picture">
                      <pic:pic>
                        <pic:nvPicPr>
                          <pic:cNvPr descr="./FiguresPNG/candyweightshistogram.png" id="79" name="Picture"/>
                          <pic:cNvPicPr>
                            <a:picLocks noChangeArrowheads="1" noChangeAspect="1"/>
                          </pic:cNvPicPr>
                        </pic:nvPicPr>
                        <pic:blipFill>
                          <a:blip r:embed="rId77"/>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num &lt;- c(21,21,31,31,31,41,41,41,41,41,51,51,51,51,61)</w:t>
            </w:r>
          </w:p>
          <w:p>
            <w:pPr>
              <w:pStyle w:val="BodyText"/>
            </w:pPr>
            <w:r>
              <w:t xml:space="preserve">hist(num,col=</w:t>
            </w:r>
            <w:r>
              <w:t xml:space="preserve">‘#3F68B7’</w:t>
            </w:r>
            <w:r>
              <w:t xml:space="preserve">,xlab=</w:t>
            </w:r>
            <w:r>
              <w:t xml:space="preserve">“Weights (in grams)”</w:t>
            </w:r>
            <w:r>
              <w:t xml:space="preserve">, main=</w:t>
            </w:r>
            <w:r>
              <w:t xml:space="preserve">“Cantor’s Confectionery Candy Weights”</w:t>
            </w:r>
            <w:r>
              <w:t xml:space="preserve">)</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80"/>
    <w:bookmarkStart w:id="86"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7"/>
              </w:numPr>
            </w:pPr>
            <w:r>
              <w:t xml:space="preserve">23 blueberry candies</w:t>
            </w:r>
          </w:p>
          <w:p>
            <w:pPr>
              <w:numPr>
                <w:ilvl w:val="0"/>
                <w:numId w:val="1007"/>
              </w:numPr>
            </w:pPr>
            <w:r>
              <w:t xml:space="preserve">49 grape candies</w:t>
            </w:r>
          </w:p>
          <w:p>
            <w:pPr>
              <w:numPr>
                <w:ilvl w:val="0"/>
                <w:numId w:val="1007"/>
              </w:numPr>
            </w:pPr>
            <w:r>
              <w:t xml:space="preserve">57 chocolate candies</w:t>
            </w:r>
          </w:p>
          <w:p>
            <w:pPr>
              <w:numPr>
                <w:ilvl w:val="0"/>
                <w:numId w:val="1007"/>
              </w:numPr>
            </w:pPr>
            <w:r>
              <w:t xml:space="preserve">16 orange candies</w:t>
            </w:r>
          </w:p>
          <w:p>
            <w:pPr>
              <w:pStyle w:val="FirstParagraph"/>
            </w:pPr>
            <w:r>
              <w:t xml:space="preserve">An employee wanted to visualize how each category compares to the whole and decided to plot this data in the form of a pie chart:</w:t>
            </w:r>
            <w:r>
              <w:t xml:space="preserve"> </w:t>
            </w:r>
            <w:r>
              <w:drawing>
                <wp:inline>
                  <wp:extent cx="5943600" cy="3766171"/>
                  <wp:effectExtent b="0" l="0" r="0" t="0"/>
                  <wp:docPr descr="" title="" id="84" name="Picture"/>
                  <a:graphic>
                    <a:graphicData uri="http://schemas.openxmlformats.org/drawingml/2006/picture">
                      <pic:pic>
                        <pic:nvPicPr>
                          <pic:cNvPr descr="./FiguresPNG/candysalespiechart.png" id="85" name="Picture"/>
                          <pic:cNvPicPr>
                            <a:picLocks noChangeArrowheads="1" noChangeAspect="1"/>
                          </pic:cNvPicPr>
                        </pic:nvPicPr>
                        <pic:blipFill>
                          <a:blip r:embed="rId83"/>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library(ggplot2)</w:t>
            </w:r>
          </w:p>
          <w:p>
            <w:pPr>
              <w:pStyle w:val="BodyText"/>
            </w:pPr>
            <w:r>
              <w:t xml:space="preserve">df &lt;- data.frame ( num = c(23,49,57,16), cat = c(</w:t>
            </w:r>
            <w:r>
              <w:t xml:space="preserve">“Blueberry”</w:t>
            </w:r>
            <w:r>
              <w:t xml:space="preserve">,</w:t>
            </w:r>
            <w:r>
              <w:t xml:space="preserve">“Grape”</w:t>
            </w:r>
            <w:r>
              <w:t xml:space="preserve">,</w:t>
            </w:r>
            <w:r>
              <w:t xml:space="preserve">“Chocolate”</w:t>
            </w:r>
            <w:r>
              <w:t xml:space="preserve">,</w:t>
            </w:r>
            <w:r>
              <w:t xml:space="preserve">“Orange”</w:t>
            </w:r>
            <w:r>
              <w:t xml:space="preserve">) )</w:t>
            </w:r>
          </w:p>
          <w:p>
            <w:pPr>
              <w:pStyle w:val="BodyText"/>
            </w:pPr>
            <w:r>
              <w:t xml:space="preserve">ggplot(data=df, aes(x=“</w:t>
            </w:r>
            <w:r>
              <w:t xml:space="preserve">“, y=num,fill=cat))+ labs(y=”</w:t>
            </w:r>
            <w:r>
              <w:t xml:space="preserve">Number of Sales”,fill=</w:t>
            </w:r>
            <w:r>
              <w:t xml:space="preserve">“Categories”</w:t>
            </w:r>
            <w:r>
              <w:t xml:space="preserve">,title=</w:t>
            </w:r>
            <w:r>
              <w:t xml:space="preserve">“Cantor’s Confectionery Candy Sales”</w:t>
            </w:r>
            <w:r>
              <w:t xml:space="preserve">)+ geom_bar(stat=</w:t>
            </w:r>
            <w:r>
              <w:t xml:space="preserve">“identity”</w:t>
            </w:r>
            <w:r>
              <w:t xml:space="preserve">) + coord_polar(</w:t>
            </w:r>
            <w:r>
              <w:t xml:space="preserve">“y”</w:t>
            </w:r>
            <w:r>
              <w:t xml:space="preserve">) + theme_void() + scale_fill_manual(values=c(</w:t>
            </w:r>
            <w:r>
              <w:t xml:space="preserve">“skyblue2”</w:t>
            </w:r>
            <w:r>
              <w:t xml:space="preserve">,</w:t>
            </w:r>
            <w:r>
              <w:t xml:space="preserve"> </w:t>
            </w:r>
            <w:r>
              <w:t xml:space="preserve">“tan4”</w:t>
            </w:r>
            <w:r>
              <w:t xml:space="preserve">,</w:t>
            </w:r>
            <w:r>
              <w:t xml:space="preserve"> </w:t>
            </w:r>
            <w:r>
              <w:t xml:space="preserve">“mediumpurple”</w:t>
            </w:r>
            <w:r>
              <w:t xml:space="preserve">,</w:t>
            </w:r>
            <w:r>
              <w:t xml:space="preserve"> </w:t>
            </w:r>
            <w:r>
              <w:t xml:space="preserve">“orange”</w:t>
            </w:r>
            <w:r>
              <w:t xml:space="preserve">))</w:t>
            </w:r>
          </w:p>
          <w:p>
            <w:pPr>
              <w:pStyle w:val="BodyText"/>
            </w:pPr>
            <w:pPr>
              <w:spacing w:after="16"/>
            </w:pPr>
            <w:r>
              <w:t xml:space="preserve">As you can see, chocolate takes up most of the pie chart, followed by grape, blueberry, and orange.</w:t>
            </w:r>
          </w:p>
        </w:tc>
      </w:tr>
    </w:tbl>
    <w:bookmarkEnd w:id="86"/>
    <w:bookmarkStart w:id="92" w:name="scatter-plots"/>
    <w:p>
      <w:pPr>
        <w:pStyle w:val="Heading3"/>
      </w:pPr>
      <w:r>
        <w:t xml:space="preserve">Scatter plots</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(This confectionery exclusively accepts a cryptocurrency named STARMASTs).</w:t>
            </w:r>
          </w:p>
          <w:p>
            <w:pPr>
              <w:pStyle w:val="BodyText"/>
            </w:pPr>
            <w:r>
              <w:t xml:space="preserve">The data is shown in the table below:</w:t>
            </w:r>
          </w:p>
          <w:tbl>
            <w:tblPr>
              <w:tblStyle w:val="Table"/>
              <w:tblW w:type="pct" w:w="5000"/>
              <w:tblLayout w:type="fixed"/>
              <w:tblLook w:firstRow="0" w:lastRow="0" w:firstColumn="0" w:lastColumn="0" w:noHBand="0" w:noVBand="0" w:val="0000"/>
            </w:tblPr>
            <w:tblGrid>
              <w:gridCol w:w="3148"/>
              <w:gridCol w:w="477"/>
              <w:gridCol w:w="477"/>
              <w:gridCol w:w="477"/>
              <w:gridCol w:w="477"/>
              <w:gridCol w:w="477"/>
              <w:gridCol w:w="477"/>
              <w:gridCol w:w="477"/>
              <w:gridCol w:w="477"/>
              <w:gridCol w:w="477"/>
              <w:gridCol w:w="477"/>
            </w:tblGrid>
            <w:tr>
              <w:tc>
                <w:tcPr/>
                <w:p>
                  <w:pPr>
                    <w:pStyle w:val="Compact"/>
                  </w:pPr>
                  <w:r>
                    <w:rPr>
                      <w:b/>
                      <w:bCs/>
                    </w:rPr>
                    <w:t xml:space="preserve">Candy Prices (in STARMASTs)</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w:t>
            </w:r>
            <w:r>
              <w:t xml:space="preserve"> </w:t>
            </w:r>
            <w:r>
              <w:drawing>
                <wp:inline>
                  <wp:extent cx="5943600" cy="3766171"/>
                  <wp:effectExtent b="0" l="0" r="0" t="0"/>
                  <wp:docPr descr="" title="" id="90" name="Picture"/>
                  <a:graphic>
                    <a:graphicData uri="http://schemas.openxmlformats.org/drawingml/2006/picture">
                      <pic:pic>
                        <pic:nvPicPr>
                          <pic:cNvPr descr="./FiguresPNG/cantorscatterplot.png" id="91" name="Picture"/>
                          <pic:cNvPicPr>
                            <a:picLocks noChangeArrowheads="1" noChangeAspect="1"/>
                          </pic:cNvPicPr>
                        </pic:nvPicPr>
                        <pic:blipFill>
                          <a:blip r:embed="rId89"/>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w:t>
            </w:r>
          </w:p>
          <w:p>
            <w:pPr>
              <w:pStyle w:val="BodyText"/>
            </w:pPr>
            <w:pPr>
              <w:spacing w:after="16"/>
            </w:pPr>
            <w:r>
              <w:t xml:space="preserve">From this scatter plot, there appears to be an inverse trend: when the candy price increases, the number of sales decreases.</w:t>
            </w:r>
          </w:p>
        </w:tc>
      </w:tr>
    </w:tbl>
    <w:bookmarkEnd w:id="92"/>
    <w:bookmarkEnd w:id="93"/>
    <w:bookmarkEnd w:id="94"/>
    <w:bookmarkStart w:id="133" w:name="inferential-statistics"/>
    <w:p>
      <w:pPr>
        <w:pStyle w:val="Heading1"/>
      </w:pPr>
      <w:r>
        <w:t xml:space="preserve">Inferential statistics</w:t>
      </w:r>
    </w:p>
    <w:p>
      <w:pPr>
        <w:pStyle w:val="FirstParagraph"/>
      </w:pPr>
      <w:r>
        <w:t xml:space="preserve">The bridge between descriptive and inferential statistics is</w:t>
      </w:r>
      <w:r>
        <w:t xml:space="preserve"> </w:t>
      </w:r>
      <w:r>
        <w:rPr>
          <w:b/>
          <w:bCs/>
        </w:rPr>
        <w:t xml:space="preserve">distributions</w:t>
      </w:r>
      <w:r>
        <w:t xml:space="preserve">. This refers to the</w:t>
      </w:r>
      <w:r>
        <w:t xml:space="preserve"> </w:t>
      </w:r>
      <w:r>
        <w:t xml:space="preserve">“shape”</w:t>
      </w:r>
      <w:r>
        <w:t xml:space="preserve"> </w:t>
      </w:r>
      <w:r>
        <w:t xml:space="preserve">of the data, or how the data points are spread out. Some common distributions include the normal distribution (as mentioned in the histogram section), binomial distribution, and Poisson distribution. For more information on common distributions, please read</w:t>
      </w:r>
      <w:r>
        <w:t xml:space="preserve"> </w:t>
      </w:r>
      <w:hyperlink r:id="rId95">
        <w:r>
          <w:rPr>
            <w:rStyle w:val="Hyperlink"/>
          </w:rPr>
          <w:t xml:space="preserve">Overview: Probability distributions.</w:t>
        </w:r>
      </w:hyperlink>
    </w:p>
    <w:p>
      <w:pPr>
        <w:pStyle w:val="BodyText"/>
      </w:pPr>
      <w:r>
        <w:t xml:space="preserve">If you know which distribution best</w:t>
      </w:r>
      <w:r>
        <w:t xml:space="preserve"> </w:t>
      </w:r>
      <w:r>
        <w:rPr>
          <w:b/>
          <w:bCs/>
        </w:rPr>
        <w:t xml:space="preserve">describes</w:t>
      </w:r>
      <w:r>
        <w:t xml:space="preserve"> </w:t>
      </w:r>
      <w:r>
        <w:t xml:space="preserve">your data, you would know what kind of</w:t>
      </w:r>
      <w:r>
        <w:t xml:space="preserve"> </w:t>
      </w:r>
      <w:r>
        <w:rPr>
          <w:b/>
          <w:bCs/>
        </w:rPr>
        <w:t xml:space="preserve">inferential statistics</w:t>
      </w:r>
      <w:r>
        <w:t xml:space="preserve"> </w:t>
      </w:r>
      <w:r>
        <w:t xml:space="preserve">techniques to use. For example, the PMFs, PDFs, or CDFs differ depending on the distribution you are working with, and the confidence interval formula that you will see below only works for normally distributed data.</w:t>
      </w:r>
    </w:p>
    <w:bookmarkStart w:id="103"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A hypothesis test involves two hypotheses:</w:t>
      </w:r>
    </w:p>
    <w:p>
      <w:pPr>
        <w:numPr>
          <w:ilvl w:val="0"/>
          <w:numId w:val="1008"/>
        </w:numPr>
      </w:pPr>
      <w:r>
        <w:t xml:space="preserve">Null hypothesis (</w:t>
      </w:r>
      <m:oMath>
        <m:sSub>
          <m:e>
            <m:r>
              <m:t>H</m:t>
            </m:r>
          </m:e>
          <m:sub>
            <m:r>
              <m:t>0</m:t>
            </m:r>
          </m:sub>
        </m:sSub>
      </m:oMath>
      <w:r>
        <w:t xml:space="preserve">): This hypothesis represents the</w:t>
      </w:r>
      <w:r>
        <w:t xml:space="preserve"> </w:t>
      </w:r>
      <w:r>
        <w:t xml:space="preserve">‘status quo’</w:t>
      </w:r>
      <w:r>
        <w:t xml:space="preserve"> </w:t>
      </w:r>
      <w:r>
        <w:t xml:space="preserve">or no effect. It is always a statement of equality.</w:t>
      </w:r>
    </w:p>
    <w:p>
      <w:pPr>
        <w:numPr>
          <w:ilvl w:val="0"/>
          <w:numId w:val="1008"/>
        </w:numPr>
      </w:pPr>
      <w:r>
        <w:t xml:space="preserve">Alternative hypothesis (</w:t>
      </w:r>
      <m:oMath>
        <m:sSub>
          <m:e>
            <m:r>
              <m:t>H</m:t>
            </m:r>
          </m:e>
          <m:sub>
            <m:r>
              <m:t>1</m:t>
            </m:r>
          </m:sub>
        </m:sSub>
      </m:oMath>
      <w:r>
        <w:t xml:space="preserve">): This is the hypothesis that you are trying to test. It is always a statement of inequality.</w:t>
      </w:r>
    </w:p>
    <w:p>
      <w:pPr>
        <w:pStyle w:val="FirstParagraph"/>
      </w:pPr>
      <w:r>
        <w:t xml:space="preserve">This hypothesis test will provide a</w:t>
      </w:r>
      <w:r>
        <w:t xml:space="preserve"> </w:t>
      </w:r>
      <w:r>
        <w:rPr>
          <w:b/>
          <w:bCs/>
        </w:rPr>
        <w:t xml:space="preserve">p-value</w:t>
      </w:r>
      <w:r>
        <w:t xml:space="preserve">: the probability of obtaining a test result as extreme as the observed outcome if the null hypothesis is true. So the lower the p-value is, the more statistical evidence there is against the null hypothesis.</w:t>
      </w:r>
    </w:p>
    <w:p>
      <w:pPr>
        <w:pStyle w:val="BodyText"/>
      </w:pPr>
      <w:r>
        <w:t xml:space="preserve">Before conducting the test, you should set a</w:t>
      </w:r>
      <w:r>
        <w:t xml:space="preserve"> </w:t>
      </w:r>
      <w:r>
        <w:rPr>
          <w:b/>
          <w:bCs/>
        </w:rPr>
        <w:t xml:space="preserve">significance level</w:t>
      </w:r>
      <w:r>
        <w:t xml:space="preserve">, which is the level of certainty you want to test your hypothesis with. A commonly used significance level is 5% or 0.05. In the case of a 5% significance level, if you conduct a hypothesis test with under a 5% chance of obtaining the outcome if the null hypothesis is true, then you would consider it sufficient evidence to reject the null hypothesis.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 With</w:t>
            </w:r>
            <w:r>
              <w:t xml:space="preserve"> </w:t>
            </w:r>
            <m:oMath>
              <m:r>
                <m:t>μ</m:t>
              </m:r>
            </m:oMath>
            <w:r>
              <w:t xml:space="preserve"> </w:t>
            </w:r>
            <w:r>
              <w:t xml:space="preserve">representing the population mean of candies per bag,</w:t>
            </w:r>
          </w:p>
          <w:p>
            <w:pPr>
              <w:numPr>
                <w:ilvl w:val="0"/>
                <w:numId w:val="1009"/>
              </w:numPr>
            </w:pPr>
            <m:oMath>
              <m:sSub>
                <m:e>
                  <m:r>
                    <m:t>H</m:t>
                  </m:r>
                </m:e>
                <m:sub>
                  <m:r>
                    <m:t>0</m:t>
                  </m:r>
                </m:sub>
              </m:sSub>
              <m:r>
                <m:rPr>
                  <m:sty m:val="p"/>
                </m:rPr>
                <m:t>:</m:t>
              </m:r>
              <m:r>
                <m:t>μ</m:t>
              </m:r>
              <m:r>
                <m:rPr>
                  <m:sty m:val="p"/>
                </m:rPr>
                <m:t>=</m:t>
              </m:r>
              <m:r>
                <m:t>20</m:t>
              </m:r>
            </m:oMath>
          </w:p>
          <w:p>
            <w:pPr>
              <w:numPr>
                <w:ilvl w:val="0"/>
                <w:numId w:val="1009"/>
              </w:numPr>
            </w:pPr>
            <m:oMath>
              <m:sSub>
                <m:e>
                  <m:r>
                    <m:t>H</m:t>
                  </m:r>
                </m:e>
                <m:sub>
                  <m:r>
                    <m:t>1</m:t>
                  </m:r>
                </m:sub>
              </m:sSub>
              <m:r>
                <m:rPr>
                  <m:sty m:val="p"/>
                </m:rPr>
                <m:t>:</m:t>
              </m:r>
              <m:r>
                <m:t>μ</m:t>
              </m:r>
              <m:r>
                <m:rPr>
                  <m:sty m:val="p"/>
                </m:rPr>
                <m:t>≠</m:t>
              </m:r>
              <m:r>
                <m:t>20</m:t>
              </m:r>
            </m:oMath>
          </w:p>
          <w:p>
            <w:pPr>
              <w:pStyle w:val="FirstParagraph"/>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 Let</w:t>
            </w:r>
            <w:r>
              <w:t xml:space="preserve"> </w:t>
            </w:r>
            <m:oMath>
              <m:sSub>
                <m:e>
                  <m:r>
                    <m:t>μ</m:t>
                  </m:r>
                </m:e>
                <m:sub>
                  <m:r>
                    <m:t>1</m:t>
                  </m:r>
                </m:sub>
              </m:sSub>
            </m:oMath>
            <w:r>
              <w:t xml:space="preserve"> </w:t>
            </w:r>
            <w:r>
              <w:t xml:space="preserve">be the population mean of sales before the marketing campaign, and</w:t>
            </w:r>
            <w:r>
              <w:t xml:space="preserve"> </w:t>
            </w:r>
            <m:oMath>
              <m:sSub>
                <m:e>
                  <m:r>
                    <m:t>μ</m:t>
                  </m:r>
                </m:e>
                <m:sub>
                  <m:r>
                    <m:t>2</m:t>
                  </m:r>
                </m:sub>
              </m:sSub>
            </m:oMath>
            <w:r>
              <w:t xml:space="preserve"> </w:t>
            </w:r>
            <w:r>
              <w:t xml:space="preserve">be the population mean of sales after the marketing campaign.</w:t>
            </w:r>
          </w:p>
          <w:p>
            <w:pPr>
              <w:numPr>
                <w:ilvl w:val="0"/>
                <w:numId w:val="1010"/>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10"/>
              </w:numPr>
            </w:pPr>
            <m:oMath>
              <m:sSub>
                <m:e>
                  <m:r>
                    <m:t>H</m:t>
                  </m:r>
                </m:e>
                <m:sub>
                  <m:r>
                    <m:t>1</m:t>
                  </m:r>
                </m:sub>
              </m:sSub>
              <m:r>
                <m:rPr>
                  <m:sty m:val="p"/>
                </m:rPr>
                <m:t>:</m:t>
              </m:r>
              <m:sSub>
                <m:e>
                  <m:r>
                    <m:t>μ</m:t>
                  </m:r>
                </m:e>
                <m:sub>
                  <m:r>
                    <m:t>1</m:t>
                  </m:r>
                </m:sub>
              </m:sSub>
              <m:r>
                <m:rPr>
                  <m:sty m:val="p"/>
                </m:rPr>
                <m:t>&lt;</m:t>
              </m:r>
              <m:sSub>
                <m:e>
                  <m:r>
                    <m:t>μ</m:t>
                  </m:r>
                </m:e>
                <m:sub>
                  <m:r>
                    <m:t>2</m:t>
                  </m:r>
                </m:sub>
              </m:sSub>
            </m:oMath>
          </w:p>
          <w:p>
            <w:pPr>
              <w:pStyle w:val="FirstParagraph"/>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tip.png" id="101"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Many hypothesis tests rely on certain assumptions. For instance, the t-test assumes that the sample being used comes from a normally distributed population.</w:t>
            </w:r>
          </w:p>
          <w:p>
            <w:pPr>
              <w:pStyle w:val="BodyText"/>
            </w:pPr>
            <w:pPr>
              <w:spacing w:after="16"/>
            </w:pPr>
            <w:r>
              <w:t xml:space="preserve">When your data set fails to meet the assumptions of a particular hypothesis test, there may exist other methods that you can use instead, like non-parametric tests. However, this material goes beyond the scope of this study guide.</w:t>
            </w:r>
          </w:p>
          <w:p/>
        </w:tc>
      </w:tr>
    </w:tbl>
    <w:p>
      <w:pPr>
        <w:pStyle w:val="BodyText"/>
      </w:pPr>
      <w:r>
        <w:t xml:space="preserve">For more information on hypothesis testing, please read</w:t>
      </w:r>
      <w:r>
        <w:t xml:space="preserve"> </w:t>
      </w:r>
      <w:hyperlink r:id="rId102">
        <w:r>
          <w:rPr>
            <w:rStyle w:val="Hyperlink"/>
          </w:rPr>
          <w:t xml:space="preserve">Guide: Introduction to hypothesis testing.</w:t>
        </w:r>
      </w:hyperlink>
    </w:p>
    <w:bookmarkEnd w:id="103"/>
    <w:bookmarkStart w:id="113" w:name="X9bd610d50f58bd05c3ec476c3545cc3cada0701"/>
    <w:p>
      <w:pPr>
        <w:pStyle w:val="Heading2"/>
      </w:pPr>
      <w:r>
        <w:t xml:space="preserve">Correlation tests and regression analysis</w:t>
      </w:r>
    </w:p>
    <w:p>
      <w:pPr>
        <w:pStyle w:val="FirstParagraph"/>
      </w:pPr>
      <w:r>
        <w:t xml:space="preserve">A</w:t>
      </w:r>
      <w:r>
        <w:t xml:space="preserve"> </w:t>
      </w:r>
      <w:r>
        <w:rPr>
          <w:b/>
          <w:bCs/>
        </w:rPr>
        <w:t xml:space="preserve">correlation test</w:t>
      </w:r>
      <w:r>
        <w:t xml:space="preserve"> </w:t>
      </w:r>
      <w:r>
        <w:t xml:space="preserve">is a type of hypothesis test that determines whether the relationship between two or more variables is statistically significant. In testing for a linear relationship between two variables, the</w:t>
      </w:r>
      <w:r>
        <w:t xml:space="preserve"> </w:t>
      </w:r>
      <w:r>
        <w:rPr>
          <w:b/>
          <w:bCs/>
        </w:rPr>
        <w:t xml:space="preserve">Pearson correlation coefficient</w:t>
      </w:r>
      <w:r>
        <w:t xml:space="preserve"> </w:t>
      </w:r>
      <w:r>
        <w:t xml:space="preserve">(often denoted by</w:t>
      </w:r>
      <w:r>
        <w:t xml:space="preserve"> </w:t>
      </w:r>
      <m:oMath>
        <m:r>
          <m:t>r</m:t>
        </m:r>
      </m:oMath>
      <w:r>
        <w:t xml:space="preserve">) is often used.</w:t>
      </w:r>
    </w:p>
    <w:p>
      <w:pPr>
        <w:pStyle w:val="BodyText"/>
      </w:pPr>
      <w:r>
        <w:t xml:space="preserve">The value of this coefficient, which ranges from -1 to 1, indicates the strength and direction of the relationship between the variables. There are two possible directions for the relationship:</w:t>
      </w:r>
    </w:p>
    <w:p>
      <w:pPr>
        <w:numPr>
          <w:ilvl w:val="0"/>
          <w:numId w:val="1011"/>
        </w:numPr>
      </w:pPr>
      <w:r>
        <w:t xml:space="preserve">Positive: when the value of one variable increases, the value of the other variable increases.</w:t>
      </w:r>
    </w:p>
    <w:p>
      <w:pPr>
        <w:numPr>
          <w:ilvl w:val="0"/>
          <w:numId w:val="1011"/>
        </w:numPr>
      </w:pPr>
      <w:r>
        <w:t xml:space="preserve">Negative: when the value of one variable increases, the value of the other variable decreases.</w:t>
      </w:r>
    </w:p>
    <w:p>
      <w:pPr>
        <w:pStyle w:val="FirstParagraph"/>
      </w:pPr>
      <w:r>
        <w:t xml:space="preserve">While there are some gray areas, the value of the Pearson correlation coefficient is approximately interpreted in this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Interpretation</w:t>
            </w:r>
          </w:p>
        </w:tc>
      </w:tr>
      <w:tr>
        <w:tc>
          <w:tcPr/>
          <w:p>
            <w:pPr>
              <w:pStyle w:val="Compact"/>
            </w:pPr>
            <w:r>
              <w:t xml:space="preserve">0.80 to 1.00</w:t>
            </w:r>
          </w:p>
        </w:tc>
        <w:tc>
          <w:tcPr/>
          <w:p>
            <w:pPr>
              <w:pStyle w:val="Compact"/>
            </w:pPr>
            <w:r>
              <w:t xml:space="preserve">Very strong positive correlation</w:t>
            </w:r>
          </w:p>
        </w:tc>
      </w:tr>
      <w:tr>
        <w:tc>
          <w:tcPr/>
          <w:p>
            <w:pPr>
              <w:pStyle w:val="Compact"/>
            </w:pPr>
            <w:r>
              <w:t xml:space="preserve">0.60 to 0.79</w:t>
            </w:r>
          </w:p>
        </w:tc>
        <w:tc>
          <w:tcPr/>
          <w:p>
            <w:pPr>
              <w:pStyle w:val="Compact"/>
            </w:pPr>
            <w:r>
              <w:t xml:space="preserve">Strong positive correlation</w:t>
            </w:r>
          </w:p>
        </w:tc>
      </w:tr>
      <w:tr>
        <w:tc>
          <w:tcPr/>
          <w:p>
            <w:pPr>
              <w:pStyle w:val="Compact"/>
            </w:pPr>
            <w:r>
              <w:t xml:space="preserve">0.40 to 0.59</w:t>
            </w:r>
          </w:p>
        </w:tc>
        <w:tc>
          <w:tcPr/>
          <w:p>
            <w:pPr>
              <w:pStyle w:val="Compact"/>
            </w:pPr>
            <w:r>
              <w:t xml:space="preserve">Moderate positive correlation</w:t>
            </w:r>
          </w:p>
        </w:tc>
      </w:tr>
      <w:tr>
        <w:tc>
          <w:tcPr/>
          <w:p>
            <w:pPr>
              <w:pStyle w:val="Compact"/>
            </w:pPr>
            <w:r>
              <w:t xml:space="preserve">0.20 to 0.39</w:t>
            </w:r>
          </w:p>
        </w:tc>
        <w:tc>
          <w:tcPr/>
          <w:p>
            <w:pPr>
              <w:pStyle w:val="Compact"/>
            </w:pPr>
            <w:r>
              <w:t xml:space="preserve">Weak positive correlation</w:t>
            </w:r>
          </w:p>
        </w:tc>
      </w:tr>
      <w:tr>
        <w:tc>
          <w:tcPr/>
          <w:p>
            <w:pPr>
              <w:pStyle w:val="Compact"/>
            </w:pPr>
            <w:r>
              <w:t xml:space="preserve">0.00 to 0.19</w:t>
            </w:r>
          </w:p>
        </w:tc>
        <w:tc>
          <w:tcPr/>
          <w:p>
            <w:pPr>
              <w:pStyle w:val="Compact"/>
            </w:pPr>
            <w:r>
              <w:t xml:space="preserve">Very weak positive correlation</w:t>
            </w:r>
          </w:p>
        </w:tc>
      </w:tr>
      <w:tr>
        <w:tc>
          <w:tcPr/>
          <w:p>
            <w:pPr>
              <w:pStyle w:val="Compact"/>
            </w:pPr>
            <w:r>
              <w:t xml:space="preserve">-0.19 to 0.00</w:t>
            </w:r>
          </w:p>
        </w:tc>
        <w:tc>
          <w:tcPr/>
          <w:p>
            <w:pPr>
              <w:pStyle w:val="Compact"/>
            </w:pPr>
            <w:r>
              <w:t xml:space="preserve">Very weak negative correlation</w:t>
            </w:r>
          </w:p>
        </w:tc>
      </w:tr>
      <w:tr>
        <w:tc>
          <w:tcPr/>
          <w:p>
            <w:pPr>
              <w:pStyle w:val="Compact"/>
            </w:pPr>
            <w:r>
              <w:t xml:space="preserve">-0.39 to -0.20</w:t>
            </w:r>
          </w:p>
        </w:tc>
        <w:tc>
          <w:tcPr/>
          <w:p>
            <w:pPr>
              <w:pStyle w:val="Compact"/>
            </w:pPr>
            <w:r>
              <w:t xml:space="preserve">Weak negative correlation</w:t>
            </w:r>
          </w:p>
        </w:tc>
      </w:tr>
      <w:tr>
        <w:tc>
          <w:tcPr/>
          <w:p>
            <w:pPr>
              <w:pStyle w:val="Compact"/>
            </w:pPr>
            <w:r>
              <w:t xml:space="preserve">-0.59 to -0.40</w:t>
            </w:r>
          </w:p>
        </w:tc>
        <w:tc>
          <w:tcPr/>
          <w:p>
            <w:pPr>
              <w:pStyle w:val="Compact"/>
            </w:pPr>
            <w:r>
              <w:t xml:space="preserve">Moderate negative correlation</w:t>
            </w:r>
          </w:p>
        </w:tc>
      </w:tr>
      <w:tr>
        <w:tc>
          <w:tcPr/>
          <w:p>
            <w:pPr>
              <w:pStyle w:val="Compact"/>
            </w:pPr>
            <w:r>
              <w:t xml:space="preserve">-0.79 to -0.60</w:t>
            </w:r>
          </w:p>
        </w:tc>
        <w:tc>
          <w:tcPr/>
          <w:p>
            <w:pPr>
              <w:pStyle w:val="Compact"/>
            </w:pPr>
            <w:r>
              <w:t xml:space="preserve">Strong negative correlation</w:t>
            </w:r>
          </w:p>
        </w:tc>
      </w:tr>
      <w:tr>
        <w:tc>
          <w:tcPr/>
          <w:p>
            <w:pPr>
              <w:pStyle w:val="Compact"/>
            </w:pPr>
            <w:r>
              <w:t xml:space="preserve">-0.80 to -1.00</w:t>
            </w:r>
          </w:p>
        </w:tc>
        <w:tc>
          <w:tcPr/>
          <w:p>
            <w:pPr>
              <w:pStyle w:val="Compact"/>
            </w:pPr>
            <w:r>
              <w:t xml:space="preserve">Very strong negative correlation</w:t>
            </w:r>
          </w:p>
        </w:tc>
      </w:tr>
    </w:tbl>
    <w:p>
      <w:pPr>
        <w:pStyle w:val="BodyText"/>
      </w:pPr>
      <w:r>
        <w:t xml:space="preserve">On the other hand,</w:t>
      </w:r>
      <w:r>
        <w:t xml:space="preserve"> </w:t>
      </w:r>
      <w:r>
        <w:rPr>
          <w:b/>
          <w:bCs/>
        </w:rPr>
        <w:t xml:space="preserve">regression analysis</w:t>
      </w:r>
      <w:r>
        <w:t xml:space="preserve"> </w:t>
      </w:r>
      <w:r>
        <w:t xml:space="preserve">uses a function to model the relationship between two or more variables. This would involve a</w:t>
      </w:r>
      <w:r>
        <w:t xml:space="preserve"> </w:t>
      </w:r>
      <w:r>
        <w:rPr>
          <w:b/>
          <w:bCs/>
        </w:rPr>
        <w:t xml:space="preserve">dependent variable</w:t>
      </w:r>
      <w:r>
        <w:t xml:space="preserve"> </w:t>
      </w:r>
      <w:r>
        <w:t xml:space="preserve">and one or more</w:t>
      </w:r>
      <w:r>
        <w:t xml:space="preserve"> </w:t>
      </w:r>
      <w:r>
        <w:rPr>
          <w:b/>
          <w:bCs/>
        </w:rPr>
        <w:t xml:space="preserve">independent variables</w:t>
      </w:r>
      <w:r>
        <w:t xml:space="preserve">. To provide some reasoning for the naming, the dependent variable is the output of the regression function, so it is dependent on the values of any independent variables that are input into the function. So a</w:t>
      </w:r>
      <w:r>
        <w:t xml:space="preserve"> </w:t>
      </w:r>
      <w:r>
        <w:rPr>
          <w:b/>
          <w:bCs/>
        </w:rPr>
        <w:t xml:space="preserve">regression model</w:t>
      </w:r>
      <w:r>
        <w:t xml:space="preserve"> </w:t>
      </w:r>
      <w:r>
        <w:t xml:space="preserve">would allow you to predict the value of the dependent variable based on the value of the independent variable(s).</w:t>
      </w:r>
    </w:p>
    <w:p>
      <w:pPr>
        <w:pStyle w:val="BodyText"/>
      </w:pPr>
      <w:r>
        <w:t xml:space="preserve">Regression analysis sometimes, but not always, deals with the linear relationship between two variables (one dependent variable and one independent variable). This would be known as</w:t>
      </w:r>
      <w:r>
        <w:t xml:space="preserve"> </w:t>
      </w:r>
      <w:r>
        <w:rPr>
          <w:b/>
          <w:bCs/>
        </w:rPr>
        <w:t xml:space="preserve">simple linear regression</w:t>
      </w:r>
      <w:r>
        <w:t xml:space="preserve">, where the relationship is modeled as a linear function in the form of</w:t>
      </w:r>
      <w:r>
        <w:t xml:space="preserve"> </w:t>
      </w:r>
      <m:oMath>
        <m:r>
          <m:t>y</m:t>
        </m:r>
        <m:r>
          <m:rPr>
            <m:sty m:val="p"/>
          </m:rPr>
          <m:t>=</m:t>
        </m:r>
        <m:r>
          <m:t>α</m:t>
        </m:r>
        <m:r>
          <m:t>x</m:t>
        </m:r>
        <m:r>
          <m:rPr>
            <m:sty m:val="p"/>
          </m:rPr>
          <m:t>+</m:t>
        </m:r>
        <m:r>
          <m:t>β</m:t>
        </m:r>
      </m:oMath>
      <w:r>
        <w:t xml:space="preserve">. The</w:t>
      </w:r>
      <w:r>
        <w:t xml:space="preserve"> </w:t>
      </w:r>
      <w:r>
        <w:rPr>
          <w:b/>
          <w:bCs/>
        </w:rPr>
        <w:t xml:space="preserve">coefficient of determination</w:t>
      </w:r>
      <w:r>
        <w:t xml:space="preserve"> </w:t>
      </w:r>
      <w:r>
        <w:t xml:space="preserve">(</w:t>
      </w:r>
      <m:oMath>
        <m:sSup>
          <m:e>
            <m:r>
              <m:t>R</m:t>
            </m:r>
          </m:e>
          <m:sup>
            <m:r>
              <m:t>2</m:t>
            </m:r>
          </m:sup>
        </m:sSup>
      </m:oMath>
      <w:r>
        <w:t xml:space="preserve"> </w:t>
      </w:r>
      <w:r>
        <w:t xml:space="preserve">or</w:t>
      </w:r>
      <w:r>
        <w:t xml:space="preserve"> </w:t>
      </w:r>
      <m:oMath>
        <m:sSup>
          <m:e>
            <m:r>
              <m:t>r</m:t>
            </m:r>
          </m:e>
          <m:sup>
            <m:r>
              <m:t>2</m:t>
            </m:r>
          </m:sup>
        </m:sSup>
      </m:oMath>
      <w:r>
        <w:t xml:space="preserve">) indicates how well the model’s independent variable explains the dependent variable, and the value of this ranges from 0 to 1. In simple linear regression specifically, the coefficient of determination is the squared value of the Pearson correlation coefficient.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simple linear regression for this purpose. This can be visualized below as a line of best fit overlaid on the scatter plot:</w:t>
            </w:r>
          </w:p>
          <w:p>
            <w:pPr>
              <w:pStyle w:val="BodyText"/>
            </w:pPr>
            <w:r>
              <w:drawing>
                <wp:inline>
                  <wp:extent cx="5943600" cy="3766171"/>
                  <wp:effectExtent b="0" l="0" r="0" t="0"/>
                  <wp:docPr descr="" title="" id="107" name="Picture"/>
                  <a:graphic>
                    <a:graphicData uri="http://schemas.openxmlformats.org/drawingml/2006/picture">
                      <pic:pic>
                        <pic:nvPicPr>
                          <pic:cNvPr descr="./FiguresPNG/cantorscatterplotwithline.png" id="108" name="Picture"/>
                          <pic:cNvPicPr>
                            <a:picLocks noChangeArrowheads="1" noChangeAspect="1"/>
                          </pic:cNvPicPr>
                        </pic:nvPicPr>
                        <pic:blipFill>
                          <a:blip r:embed="rId106"/>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 abline(lm(sales ~ price))</w:t>
            </w:r>
          </w:p>
          <w:p>
            <w:pPr>
              <w:pStyle w:val="BodyText"/>
            </w:pPr>
            <w:r>
              <w:t xml:space="preserve">This can be modeled as the linear function</w:t>
            </w:r>
            <w:r>
              <w:t xml:space="preserve"> </w:t>
            </w:r>
            <m:oMath>
              <m:r>
                <m:rPr>
                  <m:nor/>
                  <m:sty m:val="p"/>
                </m:rPr>
                <m:t>sales</m:t>
              </m:r>
              <m:r>
                <m:rPr>
                  <m:sty m:val="p"/>
                </m:rPr>
                <m:t>=</m:t>
              </m:r>
              <m:r>
                <m:rPr>
                  <m:sty m:val="p"/>
                </m:rPr>
                <m:t>−</m:t>
              </m:r>
              <m:r>
                <m:t>80.35</m:t>
              </m:r>
              <m:d>
                <m:dPr>
                  <m:begChr m:val="("/>
                  <m:sepChr m:val=""/>
                  <m:endChr m:val=")"/>
                  <m:grow/>
                </m:dPr>
                <m:e>
                  <m:r>
                    <m:rPr>
                      <m:nor/>
                      <m:sty m:val="p"/>
                    </m:rPr>
                    <m:t>price</m:t>
                  </m:r>
                </m:e>
              </m:d>
              <m:r>
                <m:rPr>
                  <m:sty m:val="p"/>
                </m:rPr>
                <m:t>+</m:t>
              </m:r>
              <m:r>
                <m:t>459.84</m:t>
              </m:r>
            </m:oMath>
            <w:r>
              <w:t xml:space="preserve">. The model’s coefficient of determination is 0.8319, indicating that the price explains the number of sales well.</w:t>
            </w:r>
          </w:p>
          <w:p>
            <w:pPr>
              <w:pStyle w:val="BodyText"/>
            </w:pPr>
            <w:pPr>
              <w:spacing w:after="16"/>
            </w:pPr>
            <w:r>
              <w:t xml:space="preserve">A Pearson correlation test indicated that the Pearson correlation coefficient is approximately -0.9121. This indicates a very strong negative relationship between the two variables. You can notice, also, that the coefficient of determination is the squared value of the Pearson correlation coefficient, as</w:t>
            </w:r>
            <w:r>
              <w:t xml:space="preserve"> </w:t>
            </w:r>
            <m:oMath>
              <m:sSup>
                <m:e>
                  <m:d>
                    <m:dPr>
                      <m:begChr m:val="("/>
                      <m:sepChr m:val=""/>
                      <m:endChr m:val=")"/>
                      <m:grow/>
                    </m:dPr>
                    <m:e>
                      <m:r>
                        <m:rPr>
                          <m:sty m:val="p"/>
                        </m:rPr>
                        <m:t>−</m:t>
                      </m:r>
                      <m:r>
                        <m:t>0.9121</m:t>
                      </m:r>
                    </m:e>
                  </m:d>
                </m:e>
                <m:sup>
                  <m:r>
                    <m:t>2</m:t>
                  </m:r>
                </m:sup>
              </m:sSup>
              <m:r>
                <m:rPr>
                  <m:sty m:val="p"/>
                </m:rPr>
                <m:t>≈</m:t>
              </m:r>
              <m:r>
                <m:t>0.8319</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tip.png" id="11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Correlation does not equal causation. For example, although candy prices and number of sales are strongly correlated, this does not necessarily show that one causes the other.</w:t>
            </w:r>
          </w:p>
          <w:p>
            <w:pPr>
              <w:pStyle w:val="BodyText"/>
            </w:pPr>
            <w:pPr>
              <w:spacing w:after="16"/>
            </w:pPr>
            <w:r>
              <w:t xml:space="preserve">A classic example is that there is a positive correlation between the number of ice cream sales and crime rates. Even so, it is likely not the case that ice cream sales cause crime rates to rise, or crime rates cause ice cream sales to increase. Rather, it is much more likely that there is a third variable (namely, the hot weather) that causes both ice cream sales and crime rates to increase!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is important to note that 10 data points makes up quite a small sample size, and that a bigger sample size might lead to a more accurate regression model!</w:t>
            </w:r>
          </w:p>
          <w:p/>
        </w:tc>
      </w:tr>
    </w:tbl>
    <w:p>
      <w:pPr>
        <w:pStyle w:val="BodyText"/>
      </w:pPr>
      <w:r>
        <w:t xml:space="preserve">For more information on regression, please read [Guide: Introduction to regression.]</w:t>
      </w:r>
    </w:p>
    <w:bookmarkEnd w:id="113"/>
    <w:bookmarkStart w:id="127" w:name="pmfs-pdfs-and-cdfs"/>
    <w:p>
      <w:pPr>
        <w:pStyle w:val="Heading2"/>
      </w:pPr>
      <w:r>
        <w:t xml:space="preserve">PMFs, PDFs, and CDFs</w:t>
      </w:r>
    </w:p>
    <w:p>
      <w:pPr>
        <w:pStyle w:val="FirstParagraph"/>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discrete random variable</w:t>
      </w:r>
      <w:r>
        <w:t xml:space="preserve"> </w:t>
      </w:r>
      <m:oMath>
        <m:r>
          <m:t>X</m:t>
        </m:r>
      </m:oMath>
      <w:r>
        <w:t xml:space="preserve"> </w:t>
      </w:r>
      <w:r>
        <w:t xml:space="preserve">will take on a specific countable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4" name="Picture"/>
                  <a:graphic>
                    <a:graphicData uri="http://schemas.openxmlformats.org/drawingml/2006/picture">
                      <pic:pic>
                        <pic:nvPicPr>
                          <pic:cNvPr descr="/Applications/quarto/share/formats/docx/note.png" id="11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exactly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0.052.</w:t>
            </w:r>
          </w:p>
        </w:tc>
      </w:tr>
    </w:tbl>
    <w:p>
      <w:pPr>
        <w:pStyle w:val="BodyText"/>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continuous random variable</w:t>
      </w:r>
      <w:r>
        <w:t xml:space="preserve"> </w:t>
      </w:r>
      <m:oMath>
        <m:r>
          <m:t>X</m:t>
        </m:r>
      </m:oMath>
      <w:r>
        <w:t xml:space="preserve"> </w:t>
      </w:r>
      <w:r>
        <w:t xml:space="preserve">will take on a value that lies between a certain interval. So it can be expressed as</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where</w:t>
      </w:r>
      <w:r>
        <w:t xml:space="preserve"> </w:t>
      </w:r>
      <m:oMath>
        <m:r>
          <m:t>a</m:t>
        </m:r>
      </m:oMath>
      <w:r>
        <w:t xml:space="preserve"> </w:t>
      </w:r>
      <w:r>
        <w:t xml:space="preserve">is the lower bound of the interval and</w:t>
      </w:r>
      <w:r>
        <w:t xml:space="preserve"> </w:t>
      </w:r>
      <m:oMath>
        <m:r>
          <m:t>b</m:t>
        </m:r>
      </m:oMath>
      <w:r>
        <w:t xml:space="preserve"> </w:t>
      </w:r>
      <w:r>
        <w:t xml:space="preserve">is the upper bound of the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6" name="Picture"/>
                  <a:graphic>
                    <a:graphicData uri="http://schemas.openxmlformats.org/drawingml/2006/picture">
                      <pic:pic>
                        <pic:nvPicPr>
                          <pic:cNvPr descr="/Applications/quarto/share/formats/docx/note.png" id="11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between 3 to 5 inches. To find this, the employee could use a PDF, which can be represented as</w:t>
            </w:r>
            <w:r>
              <w:t xml:space="preserve"> </w:t>
            </w:r>
            <m:oMath>
              <m:r>
                <m:rPr>
                  <m:sty m:val="p"/>
                  <m:scr m:val="double-struck"/>
                </m:rPr>
                <m:t>P</m:t>
              </m:r>
              <m:d>
                <m:dPr>
                  <m:begChr m:val="("/>
                  <m:sepChr m:val=""/>
                  <m:endChr m:val=")"/>
                  <m:grow/>
                </m:dPr>
                <m:e>
                  <m:r>
                    <m:t>3</m:t>
                  </m:r>
                  <m:r>
                    <m:rPr>
                      <m:sty m:val="p"/>
                    </m:rPr>
                    <m:t>≤</m:t>
                  </m:r>
                  <m:r>
                    <m:t>X</m:t>
                  </m:r>
                  <m:r>
                    <m:rPr>
                      <m:sty m:val="p"/>
                    </m:rPr>
                    <m:t>≤</m:t>
                  </m:r>
                  <m:r>
                    <m:t>5</m:t>
                  </m:r>
                </m:e>
              </m:d>
            </m:oMath>
            <w:r>
              <w:t xml:space="preserve">, approximately resulting in a probability of 0.29.</w:t>
            </w:r>
          </w:p>
        </w:tc>
      </w:tr>
    </w:tbl>
    <w:p>
      <w:pPr>
        <w:pStyle w:val="BodyText"/>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w:t>
      </w:r>
      <w:r>
        <w:t xml:space="preserve"> </w:t>
      </w:r>
      <m:oMath>
        <m:r>
          <m:t>X</m:t>
        </m:r>
      </m:oMath>
      <w:r>
        <w:t xml:space="preserve"> </w:t>
      </w:r>
      <w:r>
        <w:t xml:space="preserve">will take on a value that is less than or equal to a particular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8" name="Picture"/>
                  <a:graphic>
                    <a:graphicData uri="http://schemas.openxmlformats.org/drawingml/2006/picture">
                      <pic:pic>
                        <pic:nvPicPr>
                          <pic:cNvPr descr="/Applications/quarto/share/formats/docx/note.png" id="11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19</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less than or equal to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0.16.</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20</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less than or equal to 5 inches. To find this, the employee could use a CDF, which can be represented as</w:t>
            </w:r>
            <w:r>
              <w:t xml:space="preserve"> </w:t>
            </w:r>
            <m:oMath>
              <m:r>
                <m:rPr>
                  <m:sty m:val="p"/>
                  <m:scr m:val="double-struck"/>
                </m:rPr>
                <m:t>P</m:t>
              </m:r>
              <m:d>
                <m:dPr>
                  <m:begChr m:val="("/>
                  <m:sepChr m:val=""/>
                  <m:endChr m:val=")"/>
                  <m:grow/>
                </m:dPr>
                <m:e>
                  <m:r>
                    <m:t>X</m:t>
                  </m:r>
                  <m:r>
                    <m:rPr>
                      <m:sty m:val="p"/>
                    </m:rPr>
                    <m:t>≤</m:t>
                  </m:r>
                  <m:r>
                    <m:t>5</m:t>
                  </m:r>
                </m:e>
              </m:d>
            </m:oMath>
            <w:r>
              <w:t xml:space="preserve">, approximately resulting in a probability of 0.31.</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quarto/share/formats/docx/tip.png" id="123"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continuous distributions,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&lt;</m:t>
                  </m:r>
                  <m:r>
                    <m:t>x</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quarto/share/formats/docx/tip.png" id="12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some cases, you might want to find the probability that a random variable</w:t>
            </w:r>
            <w:r>
              <w:t xml:space="preserve"> </w:t>
            </w:r>
            <m:oMath>
              <m:r>
                <m:t>X</m:t>
              </m:r>
            </m:oMath>
            <w:r>
              <w:t xml:space="preserve"> </w:t>
            </w:r>
            <w:r>
              <w:t xml:space="preserve">will take on a value that is greater than or equal to a particular value</w:t>
            </w:r>
            <w:r>
              <w:t xml:space="preserve"> </w:t>
            </w:r>
            <m:oMath>
              <m:r>
                <m:t>x</m:t>
              </m:r>
            </m:oMath>
            <w:r>
              <w:t xml:space="preserve">. In other words, you want to find</w:t>
            </w:r>
            <w:r>
              <w:t xml:space="preserve"> </w:t>
            </w:r>
            <m:oMath>
              <m:r>
                <m:rPr>
                  <m:sty m:val="p"/>
                  <m:scr m:val="double-struck"/>
                </m:rPr>
                <m:t>P</m:t>
              </m:r>
              <m:d>
                <m:dPr>
                  <m:begChr m:val="("/>
                  <m:sepChr m:val=""/>
                  <m:endChr m:val=")"/>
                  <m:grow/>
                </m:dPr>
                <m:e>
                  <m:r>
                    <m:t>X</m:t>
                  </m:r>
                  <m:r>
                    <m:rPr>
                      <m:sty m:val="p"/>
                    </m:rPr>
                    <m:t>≥</m:t>
                  </m:r>
                  <m:r>
                    <m:t>x</m:t>
                  </m:r>
                </m:e>
              </m:d>
            </m:oMath>
            <w:r>
              <w:t xml:space="preserve">. Since 1 represents the total probability of all outcomes, you can subtract the CDF result from 1 to get the desired result.</w:t>
            </w:r>
          </w:p>
          <w:p>
            <w:pPr>
              <w:pStyle w:val="BodyText"/>
            </w:pPr>
            <w:r>
              <w:t xml:space="preserve">For continuous distributions, recall that</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m:oMathPara>
          </w:p>
          <w:p>
            <w:pPr>
              <w:pStyle w:val="FirstParagraph"/>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r>
                    <m:rPr>
                      <m:sty m:val="p"/>
                    </m:rPr>
                    <m:t>−</m:t>
                  </m:r>
                  <m:r>
                    <m:t>1</m:t>
                  </m:r>
                </m:e>
              </m:d>
            </m:oMath>
            <w:r>
              <w:t xml:space="preserve">, so:</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d>
                  <m:dPr>
                    <m:begChr m:val="("/>
                    <m:sepChr m:val=""/>
                    <m:endChr m:val=")"/>
                    <m:grow/>
                  </m:dPr>
                  <m:e>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e>
                </m:d>
                <m:r>
                  <m:rPr>
                    <m:sty m:val="p"/>
                  </m:rPr>
                  <m:t>=</m:t>
                </m:r>
                <m:r>
                  <m:t>1</m:t>
                </m:r>
                <m:r>
                  <m:rPr>
                    <m:sty m:val="p"/>
                  </m:rPr>
                  <m:t>−</m:t>
                </m:r>
                <m:r>
                  <m:rPr>
                    <m:sty m:val="p"/>
                    <m:scr m:val="double-struck"/>
                  </m:rPr>
                  <m:t>P</m:t>
                </m:r>
                <m:d>
                  <m:dPr>
                    <m:begChr m:val="("/>
                    <m:sepChr m:val=""/>
                    <m:endChr m:val=")"/>
                    <m:grow/>
                  </m:dPr>
                  <m:e>
                    <m:r>
                      <m:t>X</m:t>
                    </m:r>
                    <m:r>
                      <m:rPr>
                        <m:sty m:val="p"/>
                      </m:rPr>
                      <m:t>≤</m:t>
                    </m:r>
                    <m:r>
                      <m:t>x</m:t>
                    </m:r>
                    <m:r>
                      <m:rPr>
                        <m:sty m:val="p"/>
                      </m:rPr>
                      <m:t>−</m:t>
                    </m:r>
                    <m:r>
                      <m:t>1</m:t>
                    </m:r>
                  </m:e>
                </m:d>
              </m:oMath>
            </m:oMathPara>
          </w:p>
          <w:p/>
        </w:tc>
      </w:tr>
    </w:tbl>
    <w:p>
      <w:pPr>
        <w:pStyle w:val="FirstParagraph"/>
      </w:pPr>
      <w:r>
        <w:t xml:space="preserve">For more information on PMFs, PDFs, and CDFs, please read</w:t>
      </w:r>
      <w:r>
        <w:t xml:space="preserve"> </w:t>
      </w:r>
      <w:hyperlink r:id="rId126">
        <w:r>
          <w:rPr>
            <w:rStyle w:val="Hyperlink"/>
          </w:rPr>
          <w:t xml:space="preserve">Guide: PMFs, PDFs, and CDFs.</w:t>
        </w:r>
      </w:hyperlink>
    </w:p>
    <w:bookmarkEnd w:id="127"/>
    <w:bookmarkStart w:id="132" w:name="confidence-intervals"/>
    <w:p>
      <w:pPr>
        <w:pStyle w:val="Heading2"/>
      </w:pPr>
      <w:r>
        <w:t xml:space="preserve">Confidence intervals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While the confidence interval formula differs depending on the distribution, here is the commonly used confidence interval formula for normally distributed data:</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12"/>
        </w:numPr>
      </w:pPr>
      <m:oMath>
        <m:bar>
          <m:barPr>
            <m:pos m:val="top"/>
          </m:barPr>
          <m:e>
            <m:r>
              <m:t>x</m:t>
            </m:r>
          </m:e>
        </m:bar>
      </m:oMath>
      <w:r>
        <w:t xml:space="preserve"> </w:t>
      </w:r>
      <w:r>
        <w:t xml:space="preserve">= sample mean</w:t>
      </w:r>
    </w:p>
    <w:p>
      <w:pPr>
        <w:numPr>
          <w:ilvl w:val="0"/>
          <w:numId w:val="1012"/>
        </w:numPr>
      </w:pPr>
      <m:oMath>
        <m:r>
          <m:t>z</m:t>
        </m:r>
      </m:oMath>
      <w:r>
        <w:t xml:space="preserve"> </w:t>
      </w:r>
      <w:r>
        <w:t xml:space="preserve">= z-score or confidence level value</w:t>
      </w:r>
    </w:p>
    <w:p>
      <w:pPr>
        <w:numPr>
          <w:ilvl w:val="0"/>
          <w:numId w:val="1012"/>
        </w:numPr>
      </w:pPr>
      <m:oMath>
        <m:r>
          <m:t>s</m:t>
        </m:r>
      </m:oMath>
      <w:r>
        <w:t xml:space="preserve"> </w:t>
      </w:r>
      <w:r>
        <w:t xml:space="preserve">= sample standard deviation</w:t>
      </w:r>
    </w:p>
    <w:p>
      <w:pPr>
        <w:numPr>
          <w:ilvl w:val="0"/>
          <w:numId w:val="1012"/>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0" name="Picture"/>
                  <a:graphic>
                    <a:graphicData uri="http://schemas.openxmlformats.org/drawingml/2006/picture">
                      <pic:pic>
                        <pic:nvPicPr>
                          <pic:cNvPr descr="/Applications/quarto/share/formats/docx/note.png" id="1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21</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w:pPr>
              <w:spacing w:after="16"/>
            </w:pP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tc>
      </w:tr>
    </w:tbl>
    <w:p>
      <w:pPr>
        <w:pStyle w:val="BodyText"/>
      </w:pPr>
      <w:r>
        <w:t xml:space="preserve">For more information on regression, please read [Guide: Introduction to confidence intervals.]</w:t>
      </w:r>
    </w:p>
    <w:bookmarkEnd w:id="132"/>
    <w:bookmarkEnd w:id="133"/>
    <w:bookmarkStart w:id="134" w:name="quick-check-problems"/>
    <w:p>
      <w:pPr>
        <w:pStyle w:val="Heading1"/>
      </w:pPr>
      <w:r>
        <w:t xml:space="preserve">Quick check problems</w:t>
      </w:r>
    </w:p>
    <w:p>
      <w:pPr>
        <w:numPr>
          <w:ilvl w:val="0"/>
          <w:numId w:val="1013"/>
        </w:numPr>
      </w:pPr>
      <w:r>
        <w:t xml:space="preserve">What is the median of this data set?</w:t>
      </w:r>
      <w:r>
        <w:t xml:space="preserve"> </w:t>
      </w:r>
      <m:oMath>
        <m:r>
          <m:rPr>
            <m:sty m:val="p"/>
          </m:rPr>
          <m:t>{</m:t>
        </m:r>
        <m:r>
          <m:t>3</m:t>
        </m:r>
        <m:r>
          <m:rPr>
            <m:sty m:val="p"/>
          </m:rPr>
          <m:t>,</m:t>
        </m:r>
        <m:r>
          <m:t>1</m:t>
        </m:r>
        <m:r>
          <m:rPr>
            <m:sty m:val="p"/>
          </m:rPr>
          <m:t>,</m:t>
        </m:r>
        <m:r>
          <m:t>2</m:t>
        </m:r>
        <m:r>
          <m:rPr>
            <m:sty m:val="p"/>
          </m:rPr>
          <m:t>,</m:t>
        </m:r>
        <m:r>
          <m:t>4</m:t>
        </m:r>
        <m:r>
          <m:rPr>
            <m:sty m:val="p"/>
          </m:rPr>
          <m:t>,</m:t>
        </m:r>
        <m:r>
          <m:t>4</m:t>
        </m:r>
        <m:r>
          <m:rPr>
            <m:sty m:val="p"/>
          </m:rPr>
          <m:t>}</m:t>
        </m:r>
      </m:oMath>
    </w:p>
    <w:p>
      <w:pPr>
        <w:numPr>
          <w:ilvl w:val="0"/>
          <w:numId w:val="1013"/>
        </w:numPr>
      </w:pPr>
      <w:r>
        <w:t xml:space="preserve">What is the range of this data set?</w:t>
      </w:r>
      <w:r>
        <w:t xml:space="preserve"> </w:t>
      </w:r>
      <m:oMath>
        <m:r>
          <m:rPr>
            <m:sty m:val="p"/>
          </m:rPr>
          <m:t>{</m:t>
        </m:r>
        <m:r>
          <m:t>16</m:t>
        </m:r>
        <m:r>
          <m:rPr>
            <m:sty m:val="p"/>
          </m:rPr>
          <m:t>,</m:t>
        </m:r>
        <m:r>
          <m:t>7</m:t>
        </m:r>
        <m:r>
          <m:rPr>
            <m:sty m:val="p"/>
          </m:rPr>
          <m:t>,</m:t>
        </m:r>
        <m:r>
          <m:t>900</m:t>
        </m:r>
        <m:r>
          <m:rPr>
            <m:sty m:val="p"/>
          </m:rPr>
          <m:t>,</m:t>
        </m:r>
        <m:r>
          <m:t>4</m:t>
        </m:r>
        <m:r>
          <m:rPr>
            <m:sty m:val="p"/>
          </m:rPr>
          <m:t>,</m:t>
        </m:r>
        <m:r>
          <m:t>3</m:t>
        </m:r>
        <m:r>
          <m:rPr>
            <m:sty m:val="p"/>
          </m:rPr>
          <m:t>}</m:t>
        </m:r>
      </m:oMath>
      <w:r>
        <w:t xml:space="preserve">.</w:t>
      </w:r>
    </w:p>
    <w:p>
      <w:pPr>
        <w:numPr>
          <w:ilvl w:val="0"/>
          <w:numId w:val="1013"/>
        </w:numPr>
      </w:pPr>
      <w:r>
        <w:t xml:space="preserve">A student wants to visualize their budget, seeing how the percentage of each spending category compares to the whole budget. What type of data visualization would suit this best?</w:t>
      </w:r>
    </w:p>
    <w:p>
      <w:pPr>
        <w:numPr>
          <w:ilvl w:val="0"/>
          <w:numId w:val="1013"/>
        </w:numPr>
      </w:pPr>
      <w:r>
        <w:t xml:space="preserve">You are given three statements below. Decide whether they are true or false.</w:t>
      </w:r>
    </w:p>
    <w:p>
      <w:pPr>
        <w:numPr>
          <w:ilvl w:val="0"/>
          <w:numId w:val="1014"/>
        </w:numPr>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w:r>
        <w:t xml:space="preserve">.</w:t>
      </w:r>
    </w:p>
    <w:p>
      <w:pPr>
        <w:numPr>
          <w:ilvl w:val="0"/>
          <w:numId w:val="1014"/>
        </w:numPr>
      </w:pPr>
      <w:r>
        <w:t xml:space="preserve">The smaller the sample size, the likelier it will be that the regression model is accurate.</w:t>
      </w:r>
    </w:p>
    <w:p>
      <w:pPr>
        <w:numPr>
          <w:ilvl w:val="0"/>
          <w:numId w:val="1014"/>
        </w:numPr>
      </w:pPr>
      <w:r>
        <w:t xml:space="preserve">A significant difference between the mean and median can indicate the presence of an outlier.</w:t>
      </w:r>
    </w:p>
    <w:bookmarkEnd w:id="134"/>
    <w:bookmarkStart w:id="138" w:name="further-reading"/>
    <w:p>
      <w:pPr>
        <w:pStyle w:val="Heading1"/>
      </w:pPr>
      <w:r>
        <w:t xml:space="preserve">Further reading</w:t>
      </w:r>
    </w:p>
    <w:p>
      <w:pPr>
        <w:pStyle w:val="FirstParagraph"/>
      </w:pPr>
      <w:hyperlink r:id="rId135">
        <w:r>
          <w:rPr>
            <w:rStyle w:val="Hyperlink"/>
          </w:rPr>
          <w:t xml:space="preserve">For more questions on the subject, please go to Questions: Introduction to probability.</w:t>
        </w:r>
      </w:hyperlink>
    </w:p>
    <w:bookmarkStart w:id="137" w:name="version-history"/>
    <w:p>
      <w:pPr>
        <w:pStyle w:val="Heading2"/>
      </w:pPr>
      <w:r>
        <w:t xml:space="preserve">Version history</w:t>
      </w:r>
    </w:p>
    <w:p>
      <w:pPr>
        <w:pStyle w:val="FirstParagraph"/>
      </w:pPr>
      <w:r>
        <w:t xml:space="preserve">v1.0: initial version created 9/25 by Michelle Arnetta as part of a University of St Andrews VIP project.</w:t>
      </w:r>
    </w:p>
    <w:p>
      <w:pPr>
        <w:pStyle w:val="BodyText"/>
      </w:pPr>
      <w:hyperlink r:id="rId136">
        <w:r>
          <w:rPr>
            <w:rStyle w:val="Hyperlink"/>
          </w:rPr>
          <w:t xml:space="preserve">This work is licensed under CC BY-NC-SA 4.0.</w:t>
        </w:r>
      </w:hyperlink>
    </w:p>
    <w:bookmarkEnd w:id="137"/>
    <w:bookmarkEnd w:id="13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89" Target="media/rId89.png" /><Relationship Type="http://schemas.openxmlformats.org/officeDocument/2006/relationships/image" Id="rId106" Target="media/rId106.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65" Target="media/rId65.png" /><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2026-04-16T12:27:20Z</dcterms:created>
  <dcterms:modified xsi:type="dcterms:W3CDTF">2026-04-16T12:27:20Z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