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Continuous uniform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continuous uniform distribution.</w:t>
      </w:r>
    </w:p>
    <w:p>
      <w:pPr>
        <w:pStyle w:val="CaptionedFigure"/>
      </w:pPr>
      <w:r>
        <w:drawing>
          <wp:inline>
            <wp:extent cx="4754880" cy="5154367"/>
            <wp:effectExtent b="0" l="0" r="0" t="0"/>
            <wp:docPr descr="An example of the continuous uniform distribution with a = -10 and b = 20." title="" id="10" name="Picture"/>
            <a:graphic>
              <a:graphicData uri="http://schemas.openxmlformats.org/drawingml/2006/picture">
                <pic:pic>
                  <pic:nvPicPr>
                    <pic:cNvPr descr="./FiguresPNG/f-contunifdist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154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continuous uniform distribution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continuous uniform distribution is used when all continuous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equally likely. The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represents the outcome.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U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Two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 where</w:t>
      </w:r>
    </w:p>
    <w:p>
      <w:pPr>
        <w:numPr>
          <w:ilvl w:val="0"/>
          <w:numId w:val="1001"/>
        </w:numPr>
      </w:pPr>
      <m:oMath>
        <m:r>
          <m:t>a</m:t>
        </m:r>
      </m:oMath>
      <w:r>
        <w:t xml:space="preserve"> </w:t>
      </w:r>
      <w:r>
        <w:t xml:space="preserve">is the minimum value of an outcome,</w:t>
      </w:r>
    </w:p>
    <w:p>
      <w:pPr>
        <w:numPr>
          <w:ilvl w:val="0"/>
          <w:numId w:val="1001"/>
        </w:numPr>
      </w:pPr>
      <m:oMath>
        <m:r>
          <m:t>b</m:t>
        </m:r>
      </m:oMath>
      <w:r>
        <w:t xml:space="preserve"> </w:t>
      </w:r>
      <w:r>
        <w:t xml:space="preserve">is the maximum value of an outcome.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12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a</m:t>
                            </m:r>
                          </m:den>
                        </m:f>
                      </m:e>
                      <m:e>
                        <m:r>
                          <m:rPr>
                            <m:nor/>
                            <m:scr m:val="sans-serif"/>
                            <m:sty m:val="p"/>
                          </m:rPr>
                          <m:t>if 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b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nor/>
                            <m:scr m:val="sans-serif"/>
                            <m:sty m:val="p"/>
                          </m:rPr>
                          <m:t>otherwise</m:t>
                        </m:r>
                      </m:e>
                    </m:mr>
                  </m:m>
                </m:e>
              </m:d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nor/>
                            <m:scr m:val="sans-serif"/>
                            <m:sty m:val="p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a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a</m:t>
                            </m:r>
                          </m:num>
                          <m:den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a</m:t>
                            </m:r>
                          </m:den>
                        </m:f>
                      </m:e>
                      <m:e>
                        <m:r>
                          <m:rPr>
                            <m:nor/>
                            <m:scr m:val="sans-serif"/>
                            <m:sty m:val="p"/>
                          </m:rPr>
                          <m:t>if 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b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nor/>
                            <m:scr m:val="sans-serif"/>
                            <m:sty m:val="p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b</m:t>
                        </m:r>
                      </m:e>
                    </m:mr>
                  </m:m>
                </m:e>
              </m:d>
            </m:oMath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A machine from Cantor’s Confectionery is programmed to chop long candy bars into pieces, each with a length between 30 millimetres to 50 millimetres. Due to variations in the machine, each continuous value between this interval is equally likely.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U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)</m:t>
        </m:r>
      </m:oMath>
      <w:r>
        <w:t xml:space="preserve">. It means 30 is the minimum value and 50 is the maximum value, where all continuous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50</m:t>
        </m:r>
      </m:oMath>
      <w:r>
        <w:t xml:space="preserve"> </w:t>
      </w:r>
      <w:r>
        <w:t xml:space="preserve">are equally likely.</w:t>
      </w:r>
    </w:p>
    <w:bookmarkStart w:id="15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This interactive element appears in</w:t>
      </w:r>
      <w:r>
        <w:t xml:space="preserve"> </w:t>
      </w:r>
      <w:hyperlink r:id="rId12">
        <w:r>
          <w:rPr>
            <w:rStyle w:val="Hyperlink"/>
          </w:rPr>
          <w:t xml:space="preserve">Overview: Probability distributions.</w:t>
        </w:r>
      </w:hyperlink>
    </w:p>
    <w:bookmarkStart w:id="14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08/25 by tdhc.</w:t>
      </w:r>
    </w:p>
    <w:p>
      <w:pPr>
        <w:pStyle w:val="BodyText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../overviews/o-distribu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overviews/o-distribu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Continuous uniform distribution</dc:title>
  <dc:creator>Michelle Arnetta and Tom Coleman</dc:creator>
  <cp:keywords/>
  <dcterms:created xsi:type="dcterms:W3CDTF">2026-07-20T09:11:07Z</dcterms:created>
  <dcterms:modified xsi:type="dcterms:W3CDTF">2026-07-20T09:11:07Z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continuous uniform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