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1"/>
      </w:pPr>
      <w:r>
        <w:t xml:space="preserve">Q1</w:t>
      </w:r>
    </w:p>
    <w:bookmarkStart w:id="21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21"/>
    <w:bookmarkStart w:id="22" w:name="section-1"/>
    <w:p>
      <w:pPr>
        <w:pStyle w:val="Heading2"/>
      </w:pPr>
      <w:r>
        <w:t xml:space="preserve">1.2.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2"/>
    <w:bookmarkStart w:id="23" w:name="section-2"/>
    <w:p>
      <w:pPr>
        <w:pStyle w:val="Heading2"/>
      </w:pPr>
      <w:r>
        <w:t xml:space="preserve">1.3.</w:t>
      </w:r>
    </w:p>
    <w:p>
      <w:pPr>
        <w:pStyle w:val="FirstParagraph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br/>
      </w:r>
    </w:p>
    <w:bookmarkEnd w:id="23"/>
    <w:bookmarkEnd w:id="24"/>
    <w:bookmarkStart w:id="25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25"/>
    <w:bookmarkStart w:id="28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all square, but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isn’t.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upper triangular, but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lower triangular,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diagonal,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2026-04-03T09:07:47Z</dcterms:created>
  <dcterms:modified xsi:type="dcterms:W3CDTF">2026-04-03T09:07:47Z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