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20">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21"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21"/>
    <w:bookmarkStart w:id="27"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d>
                  <m:dPr>
                    <m:begChr m:val="("/>
                    <m:sepChr m:val=""/>
                    <m:endChr m:val=")"/>
                    <m:grow/>
                  </m:dPr>
                  <m:e>
                    <m:r>
                      <m:t>5</m:t>
                    </m:r>
                  </m:e>
                </m:d>
                <m:d>
                  <m:dPr>
                    <m:begChr m:val="("/>
                    <m:sepChr m:val=""/>
                    <m:endChr m:val=")"/>
                    <m:grow/>
                  </m:dPr>
                  <m:e>
                    <m:r>
                      <m:t>9</m:t>
                    </m:r>
                  </m:e>
                </m:d>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27"/>
    <w:bookmarkStart w:id="31"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30"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r>
            <m:t> </m:t>
          </m:r>
          <m:d>
            <m:dPr>
              <m:begChr m:val="("/>
              <m:sepChr m:val=""/>
              <m:endChr m:val=")"/>
              <m:grow/>
            </m:dPr>
            <m:e>
              <m:r>
                <m:t>a</m:t>
              </m:r>
              <m:r>
                <m:rPr>
                  <m:sty m:val="p"/>
                </m:rPr>
                <m:t>&gt;</m:t>
              </m:r>
              <m:r>
                <m:t>b</m:t>
              </m:r>
            </m:e>
          </m:d>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30"/>
    <w:bookmarkEnd w:id="31"/>
    <w:bookmarkStart w:id="36"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34"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34"/>
    <w:bookmarkStart w:id="35" w:name="interactive-circle"/>
    <w:p>
      <w:pPr>
        <w:pStyle w:val="Heading2"/>
      </w:pPr>
      <w:r>
        <w:t xml:space="preserve">Interactive Circle</w:t>
      </w:r>
    </w:p>
    <w:bookmarkEnd w:id="35"/>
    <w:bookmarkEnd w:id="36"/>
    <w:bookmarkStart w:id="43"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42"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sSup>
            <m:e>
              <m:d>
                <m:dPr>
                  <m:begChr m:val="("/>
                  <m:sepChr m:val=""/>
                  <m:endChr m:val=")"/>
                  <m:grow/>
                </m:dPr>
                <m:e>
                  <m:r>
                    <m:t>x</m:t>
                  </m:r>
                  <m:r>
                    <m:rPr>
                      <m:sty m:val="p"/>
                    </m:rPr>
                    <m:t>−</m:t>
                  </m:r>
                  <m:r>
                    <m:t>h</m:t>
                  </m:r>
                </m:e>
              </m:d>
            </m:e>
            <m:sup>
              <m:r>
                <m:t>2</m:t>
              </m:r>
            </m:sup>
          </m:sSup>
          <m:r>
            <m:rPr>
              <m:sty m:val="p"/>
            </m:rPr>
            <m:t>=</m:t>
          </m:r>
          <m:r>
            <m:t>4</m:t>
          </m:r>
          <m:r>
            <m:t>p</m:t>
          </m:r>
          <m:d>
            <m:dPr>
              <m:begChr m:val="("/>
              <m:sepChr m:val=""/>
              <m:endChr m:val=")"/>
              <m:grow/>
            </m:dPr>
            <m:e>
              <m:r>
                <m:t>y</m:t>
              </m:r>
              <m:r>
                <m:rPr>
                  <m:sty m:val="p"/>
                </m:rPr>
                <m:t>−</m:t>
              </m:r>
              <m:r>
                <m:t>k</m:t>
              </m:r>
            </m:e>
          </m:d>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sSup>
            <m:e>
              <m:d>
                <m:dPr>
                  <m:begChr m:val="("/>
                  <m:sepChr m:val=""/>
                  <m:endChr m:val=")"/>
                  <m:grow/>
                </m:dPr>
                <m:e>
                  <m:r>
                    <m:t>y</m:t>
                  </m:r>
                  <m:r>
                    <m:rPr>
                      <m:sty m:val="p"/>
                    </m:rPr>
                    <m:t>−</m:t>
                  </m:r>
                  <m:r>
                    <m:t>k</m:t>
                  </m:r>
                </m:e>
              </m:d>
            </m:e>
            <m:sup>
              <m:r>
                <m:t>2</m:t>
              </m:r>
            </m:sup>
          </m:sSup>
          <m:r>
            <m:rPr>
              <m:sty m:val="p"/>
            </m:rPr>
            <m:t>=</m:t>
          </m:r>
          <m:r>
            <m:t>4</m:t>
          </m:r>
          <m:r>
            <m:t>p</m:t>
          </m:r>
          <m:d>
            <m:dPr>
              <m:begChr m:val="("/>
              <m:sepChr m:val=""/>
              <m:endChr m:val=")"/>
              <m:grow/>
            </m:dPr>
            <m:e>
              <m:r>
                <m:t>x</m:t>
              </m:r>
              <m:r>
                <m:rPr>
                  <m:sty m:val="p"/>
                </m:rPr>
                <m:t>−</m:t>
              </m:r>
              <m:r>
                <m:t>h</m:t>
              </m:r>
            </m:e>
          </m:d>
        </m:oMath>
      </m:oMathPara>
    </w:p>
    <w:p>
      <w:pPr>
        <w:pStyle w:val="FirstParagraph"/>
      </w:pPr>
      <w:r>
        <w:t xml:space="preserve">Where:</w:t>
      </w:r>
      <w:r>
        <w:t xml:space="preserve"> </w:t>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d>
                <m:dPr>
                  <m:begChr m:val="|"/>
                  <m:sepChr m:val=""/>
                  <m:endChr m:val="|"/>
                  <m:grow/>
                </m:dPr>
                <m:e>
                  <m:r>
                    <m:t>p</m:t>
                  </m:r>
                </m:e>
              </m:d>
            </m:oMath>
            <w:r>
              <w:t xml:space="preserve"> </w:t>
            </w:r>
            <w:r>
              <w:t xml:space="preserve">increases, the parabola becomes</w:t>
            </w:r>
            <w:r>
              <w:t xml:space="preserve"> </w:t>
            </w:r>
            <w:r>
              <w:rPr>
                <w:b/>
                <w:bCs/>
              </w:rPr>
              <w:t xml:space="preserve">wider</w:t>
            </w:r>
            <w:r>
              <w:t xml:space="preserve">, and when</w:t>
            </w:r>
            <w:r>
              <w:t xml:space="preserve"> </w:t>
            </w:r>
            <m:oMath>
              <m:d>
                <m:dPr>
                  <m:begChr m:val="|"/>
                  <m:sepChr m:val=""/>
                  <m:endChr m:val="|"/>
                  <m:grow/>
                </m:dPr>
                <m:e>
                  <m:r>
                    <m:t>p</m:t>
                  </m:r>
                </m:e>
              </m:d>
            </m:oMath>
            <w:r>
              <w:t xml:space="preserve"> </w:t>
            </w:r>
            <w:r>
              <w:t xml:space="preserve">decreases, it becomes</w:t>
            </w:r>
            <w:r>
              <w:t xml:space="preserve"> </w:t>
            </w:r>
            <w:r>
              <w:rPr>
                <w:b/>
                <w:bCs/>
              </w:rPr>
              <w:t xml:space="preserve">narrower</w:t>
            </w:r>
            <w:r>
              <w:t xml:space="preserve">.</w:t>
            </w:r>
            <w:r>
              <w:br/>
            </w:r>
            <w:r>
              <w:t xml:space="preserve">This parameter controls how</w:t>
            </w:r>
            <w:r>
              <w:t xml:space="preserve"> </w:t>
            </w:r>
            <w:r>
              <w:t xml:space="preserve">“steep”</w:t>
            </w:r>
            <w:r>
              <w:t xml:space="preserve"> </w:t>
            </w:r>
            <w:r>
              <w:t xml:space="preserve">or</w:t>
            </w:r>
            <w:r>
              <w:t xml:space="preserve"> </w:t>
            </w:r>
            <w:r>
              <w:t xml:space="preserve">“flat”</w:t>
            </w:r>
            <w:r>
              <w:t xml:space="preserve"> </w:t>
            </w:r>
            <w:r>
              <w:t xml:space="preserve">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42"/>
    <w:bookmarkEnd w:id="43"/>
    <w:bookmarkStart w:id="47"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46"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sSup>
                <m:e>
                  <m:d>
                    <m:dPr>
                      <m:begChr m:val="("/>
                      <m:sepChr m:val=""/>
                      <m:endChr m:val=")"/>
                      <m:grow/>
                    </m:dPr>
                    <m:e>
                      <m:r>
                        <m:t>y</m:t>
                      </m:r>
                      <m:r>
                        <m:rPr>
                          <m:sty m:val="p"/>
                        </m:rPr>
                        <m:t>−</m:t>
                      </m:r>
                      <m:r>
                        <m:t>k</m:t>
                      </m:r>
                    </m:e>
                  </m:d>
                </m:e>
                <m:sup>
                  <m:r>
                    <m:t>2</m:t>
                  </m:r>
                </m:sup>
              </m:sSup>
            </m:num>
            <m:den>
              <m:sSup>
                <m:e>
                  <m:r>
                    <m:t>a</m:t>
                  </m:r>
                </m:e>
                <m:sup>
                  <m:r>
                    <m:t>2</m:t>
                  </m:r>
                </m:sup>
              </m:sSup>
            </m:den>
          </m:f>
          <m:r>
            <m:rPr>
              <m:sty m:val="p"/>
            </m:rPr>
            <m:t>−</m:t>
          </m:r>
          <m:f>
            <m:fPr>
              <m:type m:val="bar"/>
            </m:fPr>
            <m:num>
              <m:sSup>
                <m:e>
                  <m:d>
                    <m:dPr>
                      <m:begChr m:val="("/>
                      <m:sepChr m:val=""/>
                      <m:endChr m:val=")"/>
                      <m:grow/>
                    </m:dPr>
                    <m:e>
                      <m:r>
                        <m:t>x</m:t>
                      </m:r>
                      <m:r>
                        <m:rPr>
                          <m:sty m:val="p"/>
                        </m:rPr>
                        <m:t>−</m:t>
                      </m:r>
                      <m:r>
                        <m:t>h</m:t>
                      </m:r>
                    </m:e>
                  </m:d>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d>
          <m:dPr>
            <m:begChr m:val="("/>
            <m:sepChr m:val=""/>
            <m:endChr m:val=")"/>
            <m:grow/>
          </m:dPr>
          <m:e>
            <m:r>
              <m:t>h</m:t>
            </m:r>
            <m:r>
              <m:rPr>
                <m:sty m:val="p"/>
              </m:rPr>
              <m:t>+</m:t>
            </m:r>
            <m:r>
              <m:t>a</m:t>
            </m:r>
            <m:r>
              <m:rPr>
                <m:sty m:val="p"/>
              </m:rPr>
              <m:t>,</m:t>
            </m:r>
            <m:r>
              <m:t>k</m:t>
            </m:r>
          </m:e>
        </m:d>
      </m:oMath>
      <w:r>
        <w:t xml:space="preserve"> </w:t>
      </w:r>
      <w:r>
        <w:t xml:space="preserve">and</w:t>
      </w:r>
      <w:r>
        <w:t xml:space="preserve"> </w:t>
      </w:r>
      <m:oMath>
        <m:d>
          <m:dPr>
            <m:begChr m:val="("/>
            <m:sepChr m:val=""/>
            <m:endChr m:val=")"/>
            <m:grow/>
          </m:dPr>
          <m:e>
            <m:r>
              <m:t>h</m:t>
            </m:r>
            <m:r>
              <m:rPr>
                <m:sty m:val="p"/>
              </m:rPr>
              <m:t>−</m:t>
            </m:r>
            <m:r>
              <m:t>a</m:t>
            </m:r>
            <m:r>
              <m:rPr>
                <m:sty m:val="p"/>
              </m:rPr>
              <m:t>,</m:t>
            </m:r>
            <m:r>
              <m:t>k</m:t>
            </m:r>
          </m:e>
        </m:d>
      </m:oMath>
      <w:r>
        <w:br/>
      </w:r>
      <w:r>
        <w:t xml:space="preserve">-</w:t>
      </w:r>
      <w:r>
        <w:t xml:space="preserve"> </w:t>
      </w:r>
      <w:r>
        <w:rPr>
          <w:b/>
          <w:bCs/>
        </w:rPr>
        <w:t xml:space="preserve">Vertical hyperbola:</w:t>
      </w:r>
      <w:r>
        <w:t xml:space="preserve"> </w:t>
      </w:r>
      <w:r>
        <w:t xml:space="preserve">vertices at</w:t>
      </w:r>
      <w:r>
        <w:t xml:space="preserve"> </w:t>
      </w:r>
      <m:oMath>
        <m:d>
          <m:dPr>
            <m:begChr m:val="("/>
            <m:sepChr m:val=""/>
            <m:endChr m:val=")"/>
            <m:grow/>
          </m:dPr>
          <m:e>
            <m:r>
              <m:t>h</m:t>
            </m:r>
            <m:r>
              <m:rPr>
                <m:sty m:val="p"/>
              </m:rPr>
              <m:t>,</m:t>
            </m:r>
            <m:r>
              <m:t>k</m:t>
            </m:r>
            <m:r>
              <m:rPr>
                <m:sty m:val="p"/>
              </m:rPr>
              <m:t>+</m:t>
            </m:r>
            <m:r>
              <m:t>a</m:t>
            </m:r>
          </m:e>
        </m:d>
      </m:oMath>
      <w:r>
        <w:t xml:space="preserve"> </w:t>
      </w:r>
      <w:r>
        <w:t xml:space="preserve">and</w:t>
      </w:r>
      <w:r>
        <w:t xml:space="preserve"> </w:t>
      </w:r>
      <m:oMath>
        <m:d>
          <m:dPr>
            <m:begChr m:val="("/>
            <m:sepChr m:val=""/>
            <m:endChr m:val=")"/>
            <m:grow/>
          </m:dPr>
          <m:e>
            <m:r>
              <m:t>h</m:t>
            </m:r>
            <m:r>
              <m:rPr>
                <m:sty m:val="p"/>
              </m:rPr>
              <m:t>,</m:t>
            </m:r>
            <m:r>
              <m:t>k</m:t>
            </m:r>
            <m:r>
              <m:rPr>
                <m:sty m:val="p"/>
              </m:rPr>
              <m:t>−</m:t>
            </m:r>
            <m:r>
              <m:t>a</m:t>
            </m:r>
          </m:e>
        </m:d>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w:t>
            </w:r>
            <w:r>
              <w:t xml:space="preserve"> </w:t>
            </w:r>
            <w:r>
              <w:t xml:space="preserve">“open”</w:t>
            </w:r>
            <w:r>
              <w:t xml:space="preserve"> </w:t>
            </w:r>
            <w:r>
              <w:t xml:space="preserve">or</w:t>
            </w:r>
            <w:r>
              <w:t xml:space="preserve"> </w:t>
            </w:r>
            <w:r>
              <w:t xml:space="preserve">“narrow”</w:t>
            </w:r>
            <w:r>
              <w:t xml:space="preserve"> </w:t>
            </w:r>
            <w:r>
              <w:t xml:space="preserve">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w:t>
            </w:r>
            <w:r>
              <w:t xml:space="preserve"> </w:t>
            </w:r>
            <w:r>
              <w:t xml:space="preserve">“X”</w:t>
            </w:r>
            <w:r>
              <w:t xml:space="preserve"> </w:t>
            </w:r>
            <w:r>
              <w:t xml:space="preserve">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d>
                  <m:dPr>
                    <m:begChr m:val="("/>
                    <m:sepChr m:val=""/>
                    <m:endChr m:val=")"/>
                    <m:grow/>
                  </m:dPr>
                  <m:e>
                    <m:r>
                      <m:t>x</m:t>
                    </m:r>
                    <m:r>
                      <m:rPr>
                        <m:sty m:val="p"/>
                      </m:rPr>
                      <m:t>−</m:t>
                    </m:r>
                    <m:r>
                      <m:t>h</m:t>
                    </m:r>
                  </m:e>
                </m:d>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d>
                  <m:dPr>
                    <m:begChr m:val="("/>
                    <m:sepChr m:val=""/>
                    <m:endChr m:val=")"/>
                    <m:grow/>
                  </m:dPr>
                  <m:e>
                    <m:r>
                      <m:t>x</m:t>
                    </m:r>
                    <m:r>
                      <m:rPr>
                        <m:sty m:val="p"/>
                      </m:rPr>
                      <m:t>−</m:t>
                    </m:r>
                    <m:r>
                      <m:t>h</m:t>
                    </m:r>
                  </m:e>
                </m:d>
              </m:oMath>
            </m:oMathPara>
          </w:p>
          <w:p/>
        </w:tc>
      </w:tr>
    </w:tbl>
    <w:bookmarkEnd w:id="46"/>
    <w:bookmarkEnd w:id="47"/>
    <w:bookmarkStart w:id="52"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d>
                  <m:dPr>
                    <m:begChr m:val="("/>
                    <m:sepChr m:val=""/>
                    <m:endChr m:val=")"/>
                    <m:grow/>
                  </m:dPr>
                  <m:e>
                    <m:r>
                      <m:t>1</m:t>
                    </m:r>
                  </m:e>
                </m:d>
                <m:d>
                  <m:dPr>
                    <m:begChr m:val="("/>
                    <m:sepChr m:val=""/>
                    <m:endChr m:val=")"/>
                    <m:grow/>
                  </m:dPr>
                  <m:e>
                    <m:r>
                      <m:t>1</m:t>
                    </m:r>
                  </m:e>
                </m:d>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d>
                  <m:dPr>
                    <m:begChr m:val="("/>
                    <m:sepChr m:val=""/>
                    <m:endChr m:val=")"/>
                    <m:grow/>
                  </m:dPr>
                  <m:e>
                    <m:sSup>
                      <m:e>
                        <m:r>
                          <m:t>x</m:t>
                        </m:r>
                      </m:e>
                      <m:sup>
                        <m:r>
                          <m:t>2</m:t>
                        </m:r>
                      </m:sup>
                    </m:sSup>
                    <m:r>
                      <m:rPr>
                        <m:sty m:val="p"/>
                      </m:rPr>
                      <m:t>−</m:t>
                    </m:r>
                    <m:r>
                      <m:t>4</m:t>
                    </m:r>
                    <m:r>
                      <m:t>x</m:t>
                    </m:r>
                  </m:e>
                </m:d>
                <m:r>
                  <m:rPr>
                    <m:sty m:val="p"/>
                  </m:rPr>
                  <m:t>+</m:t>
                </m:r>
                <m:d>
                  <m:dPr>
                    <m:begChr m:val="("/>
                    <m:sepChr m:val=""/>
                    <m:endChr m:val=")"/>
                    <m:grow/>
                  </m:dPr>
                  <m:e>
                    <m:sSup>
                      <m:e>
                        <m:r>
                          <m:t>y</m:t>
                        </m:r>
                      </m:e>
                      <m:sup>
                        <m:r>
                          <m:t>2</m:t>
                        </m:r>
                      </m:sup>
                    </m:sSup>
                    <m:r>
                      <m:rPr>
                        <m:sty m:val="p"/>
                      </m:rPr>
                      <m:t>+</m:t>
                    </m:r>
                    <m:r>
                      <m:t>6</m:t>
                    </m:r>
                    <m:r>
                      <m:t>y</m:t>
                    </m:r>
                  </m:e>
                </m:d>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6</m:t>
                </m:r>
                <m:r>
                  <m:t>y</m:t>
                </m:r>
                <m:r>
                  <m:rPr>
                    <m:sty m:val="p"/>
                  </m:rPr>
                  <m:t>+</m:t>
                </m:r>
                <m:r>
                  <m:t>9</m:t>
                </m:r>
                <m:r>
                  <m:rPr>
                    <m:sty m:val="p"/>
                  </m:rPr>
                  <m:t>=</m:t>
                </m:r>
                <m:sSup>
                  <m:e>
                    <m:d>
                      <m:dPr>
                        <m:begChr m:val="("/>
                        <m:sepChr m:val=""/>
                        <m:endChr m:val=")"/>
                        <m:grow/>
                      </m:dPr>
                      <m:e>
                        <m:r>
                          <m:t>y</m:t>
                        </m:r>
                        <m:r>
                          <m:rPr>
                            <m:sty m:val="p"/>
                          </m:rPr>
                          <m:t>+</m:t>
                        </m:r>
                        <m:r>
                          <m:t>3</m:t>
                        </m:r>
                      </m:e>
                    </m:d>
                  </m:e>
                  <m:sup>
                    <m:r>
                      <m:t>2</m:t>
                    </m:r>
                  </m:sup>
                </m:sSup>
              </m:oMath>
            </m:oMathPara>
          </w:p>
          <w:p>
            <w:pPr>
              <w:pStyle w:val="FirstParagraph"/>
            </w:pPr>
            <w:r>
              <w:t xml:space="preserve">Add 4 and 9 to the right side:</w:t>
            </w:r>
          </w:p>
          <w:p>
            <w:pPr>
              <w:pStyle w:val="BodyText"/>
            </w:pPr>
            <m:oMathPara>
              <m:oMathParaPr>
                <m:jc m:val="center"/>
              </m:oMathParaP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d>
                  <m:dPr>
                    <m:begChr m:val="("/>
                    <m:sepChr m:val=""/>
                    <m:endChr m:val=")"/>
                    <m:grow/>
                  </m:dPr>
                  <m:e>
                    <m:r>
                      <m:t>2</m:t>
                    </m:r>
                    <m:r>
                      <m:rPr>
                        <m:sty m:val="p"/>
                      </m:rPr>
                      <m:t>,</m:t>
                    </m:r>
                    <m:r>
                      <m:rPr>
                        <m:sty m:val="p"/>
                      </m:rPr>
                      <m:t>−</m:t>
                    </m:r>
                    <m:r>
                      <m:t>3</m:t>
                    </m:r>
                  </m:e>
                </m:d>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d>
                  <m:dPr>
                    <m:begChr m:val="("/>
                    <m:sepChr m:val=""/>
                    <m:endChr m:val=")"/>
                    <m:grow/>
                  </m:dPr>
                  <m:e>
                    <m:r>
                      <m:t>9</m:t>
                    </m:r>
                  </m:e>
                </m:d>
                <m:d>
                  <m:dPr>
                    <m:begChr m:val="("/>
                    <m:sepChr m:val=""/>
                    <m:endChr m:val=")"/>
                    <m:grow/>
                  </m:dPr>
                  <m:e>
                    <m:r>
                      <m:rPr>
                        <m:sty m:val="p"/>
                      </m:rPr>
                      <m:t>−</m:t>
                    </m:r>
                    <m:r>
                      <m:t>16</m:t>
                    </m:r>
                  </m:e>
                </m:d>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d>
                  <m:dPr>
                    <m:begChr m:val="("/>
                    <m:sepChr m:val=""/>
                    <m:endChr m:val=")"/>
                    <m:grow/>
                  </m:dPr>
                  <m:e>
                    <m:sSup>
                      <m:e>
                        <m:r>
                          <m:t>x</m:t>
                        </m:r>
                      </m:e>
                      <m:sup>
                        <m:r>
                          <m:t>2</m:t>
                        </m:r>
                      </m:sup>
                    </m:sSup>
                    <m:r>
                      <m:rPr>
                        <m:sty m:val="p"/>
                      </m:rPr>
                      <m:t>−</m:t>
                    </m:r>
                    <m:r>
                      <m:t>4</m:t>
                    </m:r>
                    <m:r>
                      <m:t>x</m:t>
                    </m:r>
                  </m:e>
                </m:d>
                <m:r>
                  <m:rPr>
                    <m:sty m:val="p"/>
                  </m:rPr>
                  <m:t>−</m:t>
                </m:r>
                <m:r>
                  <m:t>16</m:t>
                </m:r>
                <m:d>
                  <m:dPr>
                    <m:begChr m:val="("/>
                    <m:sepChr m:val=""/>
                    <m:endChr m:val=")"/>
                    <m:grow/>
                  </m:dPr>
                  <m:e>
                    <m:sSup>
                      <m:e>
                        <m:r>
                          <m:t>y</m:t>
                        </m:r>
                      </m:e>
                      <m:sup>
                        <m:r>
                          <m:t>2</m:t>
                        </m:r>
                      </m:sup>
                    </m:sSup>
                    <m:r>
                      <m:rPr>
                        <m:sty m:val="p"/>
                      </m:rPr>
                      <m:t>−</m:t>
                    </m:r>
                    <m:r>
                      <m:t>4</m:t>
                    </m:r>
                    <m:r>
                      <m:t>y</m:t>
                    </m:r>
                  </m:e>
                </m:d>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4</m:t>
                </m:r>
                <m:r>
                  <m:t>y</m:t>
                </m:r>
                <m:r>
                  <m:rPr>
                    <m:sty m:val="p"/>
                  </m:rPr>
                  <m:t>+</m:t>
                </m:r>
                <m:r>
                  <m:t>4</m:t>
                </m:r>
                <m:r>
                  <m:rPr>
                    <m:sty m:val="p"/>
                  </m:rPr>
                  <m:t>=</m:t>
                </m:r>
                <m:sSup>
                  <m:e>
                    <m:d>
                      <m:dPr>
                        <m:begChr m:val="("/>
                        <m:sepChr m:val=""/>
                        <m:endChr m:val=")"/>
                        <m:grow/>
                      </m:dPr>
                      <m:e>
                        <m:r>
                          <m:t>y</m:t>
                        </m:r>
                        <m:r>
                          <m:rPr>
                            <m:sty m:val="p"/>
                          </m:rPr>
                          <m:t>−</m:t>
                        </m:r>
                        <m:r>
                          <m:t>2</m:t>
                        </m:r>
                      </m:e>
                    </m:d>
                  </m:e>
                  <m:sup>
                    <m:r>
                      <m:t>2</m:t>
                    </m:r>
                  </m:sup>
                </m:sSup>
              </m:oMath>
            </m:oMathPara>
          </w:p>
          <w:p>
            <w:pPr>
              <w:pStyle w:val="FirstParagraph"/>
            </w:pPr>
            <w:r>
              <w:t xml:space="preserve">Adjust constants:</w:t>
            </w:r>
          </w:p>
          <w:p>
            <w:pPr>
              <w:pStyle w:val="BodyText"/>
            </w:pPr>
            <m:oMathPara>
              <m:oMathParaPr>
                <m:jc m:val="center"/>
              </m:oMathParaPr>
              <m:oMath>
                <m:r>
                  <m:t>9</m:t>
                </m:r>
                <m:d>
                  <m:dPr>
                    <m:begChr m:val="("/>
                    <m:sepChr m:val=""/>
                    <m:endChr m:val=")"/>
                    <m:grow/>
                  </m:dPr>
                  <m:e>
                    <m:sSup>
                      <m:e>
                        <m:d>
                          <m:dPr>
                            <m:begChr m:val="("/>
                            <m:sepChr m:val=""/>
                            <m:endChr m:val=")"/>
                            <m:grow/>
                          </m:dPr>
                          <m:e>
                            <m:r>
                              <m:t>x</m:t>
                            </m:r>
                            <m:r>
                              <m:rPr>
                                <m:sty m:val="p"/>
                              </m:rPr>
                              <m:t>−</m:t>
                            </m:r>
                            <m:r>
                              <m:t>2</m:t>
                            </m:r>
                          </m:e>
                        </m:d>
                      </m:e>
                      <m:sup>
                        <m:r>
                          <m:t>2</m:t>
                        </m:r>
                      </m:sup>
                    </m:sSup>
                    <m:r>
                      <m:rPr>
                        <m:sty m:val="p"/>
                      </m:rPr>
                      <m:t>−</m:t>
                    </m:r>
                    <m:r>
                      <m:t>4</m:t>
                    </m:r>
                  </m:e>
                </m:d>
                <m:r>
                  <m:rPr>
                    <m:sty m:val="p"/>
                  </m:rPr>
                  <m:t>−</m:t>
                </m:r>
                <m:r>
                  <m:t>16</m:t>
                </m:r>
                <m:d>
                  <m:dPr>
                    <m:begChr m:val="("/>
                    <m:sepChr m:val=""/>
                    <m:endChr m:val=")"/>
                    <m:grow/>
                  </m:dPr>
                  <m:e>
                    <m:sSup>
                      <m:e>
                        <m:d>
                          <m:dPr>
                            <m:begChr m:val="("/>
                            <m:sepChr m:val=""/>
                            <m:endChr m:val=")"/>
                            <m:grow/>
                          </m:dPr>
                          <m:e>
                            <m:r>
                              <m:t>y</m:t>
                            </m:r>
                            <m:r>
                              <m:rPr>
                                <m:sty m:val="p"/>
                              </m:rPr>
                              <m:t>−</m:t>
                            </m:r>
                            <m:r>
                              <m:t>2</m:t>
                            </m:r>
                          </m:e>
                        </m:d>
                      </m:e>
                      <m:sup>
                        <m:r>
                          <m:t>2</m:t>
                        </m:r>
                      </m:sup>
                    </m:sSup>
                    <m:r>
                      <m:rPr>
                        <m:sty m:val="p"/>
                      </m:rPr>
                      <m:t>−</m:t>
                    </m:r>
                    <m:r>
                      <m:t>4</m:t>
                    </m:r>
                  </m:e>
                </m:d>
                <m:r>
                  <m:rPr>
                    <m:sty m:val="p"/>
                  </m:rPr>
                  <m:t>=</m:t>
                </m:r>
                <m:r>
                  <m:t>100</m:t>
                </m:r>
              </m:oMath>
            </m:oMathPara>
          </w:p>
          <w:p>
            <w:pPr>
              <w:pStyle w:val="FirstParagraph"/>
            </w:pPr>
            <w:r>
              <w:t xml:space="preserve">Simplify:</w:t>
            </w:r>
          </w:p>
          <w:p>
            <w:pPr>
              <w:pStyle w:val="BodyText"/>
            </w:pPr>
            <m:oMathPara>
              <m:oMathParaPr>
                <m:jc m:val="center"/>
              </m:oMathParaP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2</m:t>
                        </m:r>
                      </m:e>
                    </m:d>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sSup>
                      <m:e>
                        <m:d>
                          <m:dPr>
                            <m:begChr m:val="("/>
                            <m:sepChr m:val=""/>
                            <m:endChr m:val=")"/>
                            <m:grow/>
                          </m:dPr>
                          <m:e>
                            <m:r>
                              <m:t>x</m:t>
                            </m:r>
                            <m:r>
                              <m:rPr>
                                <m:sty m:val="p"/>
                              </m:rPr>
                              <m:t>−</m:t>
                            </m:r>
                            <m:r>
                              <m:t>2</m:t>
                            </m:r>
                          </m:e>
                        </m:d>
                      </m:e>
                      <m:sup>
                        <m:r>
                          <m:t>2</m:t>
                        </m:r>
                      </m:sup>
                    </m:sSup>
                  </m:num>
                  <m:den>
                    <m:r>
                      <m:t>8</m:t>
                    </m:r>
                  </m:den>
                </m:f>
                <m:r>
                  <m:rPr>
                    <m:sty m:val="p"/>
                  </m:rPr>
                  <m:t>−</m:t>
                </m:r>
                <m:f>
                  <m:fPr>
                    <m:type m:val="bar"/>
                  </m:fPr>
                  <m:num>
                    <m:sSup>
                      <m:e>
                        <m:d>
                          <m:dPr>
                            <m:begChr m:val="("/>
                            <m:sepChr m:val=""/>
                            <m:endChr m:val=")"/>
                            <m:grow/>
                          </m:dPr>
                          <m:e>
                            <m:r>
                              <m:t>y</m:t>
                            </m:r>
                            <m:r>
                              <m:rPr>
                                <m:sty m:val="p"/>
                              </m:rPr>
                              <m:t>−</m:t>
                            </m:r>
                            <m:r>
                              <m:t>2</m:t>
                            </m:r>
                          </m:e>
                        </m:d>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d>
                <m:dPr>
                  <m:begChr m:val="("/>
                  <m:sepChr m:val=""/>
                  <m:endChr m:val=")"/>
                  <m:grow/>
                </m:dPr>
                <m:e>
                  <m:r>
                    <m:t>2</m:t>
                  </m:r>
                  <m:r>
                    <m:rPr>
                      <m:sty m:val="p"/>
                    </m:rPr>
                    <m:t>,</m:t>
                  </m:r>
                  <m:r>
                    <m:t>2</m:t>
                  </m:r>
                </m:e>
              </m:d>
            </m:oMath>
          </w:p>
          <w:p>
            <w:pPr>
              <w:pStyle w:val="Compact"/>
              <w:numPr>
                <w:ilvl w:val="0"/>
                <w:numId w:val="1006"/>
              </w:numPr>
            </w:pPr>
            <w:r>
              <w:t xml:space="preserve">Vertices:</w:t>
            </w:r>
            <w:r>
              <w:t xml:space="preserve"> </w:t>
            </w:r>
            <m:oMath>
              <m:d>
                <m:dPr>
                  <m:begChr m:val="("/>
                  <m:sepChr m:val=""/>
                  <m:endChr m:val=")"/>
                  <m:grow/>
                </m:dPr>
                <m:e>
                  <m:r>
                    <m:t>2</m:t>
                  </m:r>
                  <m:r>
                    <m:rPr>
                      <m:sty m:val="p"/>
                    </m:rPr>
                    <m:t>±</m:t>
                  </m:r>
                  <m:rad>
                    <m:radPr>
                      <m:degHide m:val="on"/>
                    </m:radPr>
                    <m:deg/>
                    <m:e>
                      <m:r>
                        <m:t>2</m:t>
                      </m:r>
                    </m:e>
                  </m:rad>
                  <m:r>
                    <m:rPr>
                      <m:sty m:val="p"/>
                    </m:rPr>
                    <m:t>,</m:t>
                  </m:r>
                  <m:r>
                    <m:t>2</m:t>
                  </m:r>
                </m:e>
              </m:d>
            </m:oMath>
          </w:p>
          <w:p>
            <w:pPr>
              <w:pStyle w:val="Compact"/>
              <w:numPr>
                <w:ilvl w:val="0"/>
                <w:numId w:val="1006"/>
              </w:numPr>
            </w:pPr>
            <w:r>
              <w:t xml:space="preserve">Foci:</w:t>
            </w:r>
            <w:r>
              <w:t xml:space="preserve"> </w:t>
            </w:r>
            <m:oMath>
              <m:d>
                <m:dPr>
                  <m:begChr m:val="("/>
                  <m:sepChr m:val=""/>
                  <m:endChr m:val=")"/>
                  <m:grow/>
                </m:dPr>
                <m:e>
                  <m:r>
                    <m:t>2</m:t>
                  </m:r>
                  <m:r>
                    <m:rPr>
                      <m:sty m:val="p"/>
                    </m:rPr>
                    <m:t>±</m:t>
                  </m:r>
                  <m:f>
                    <m:fPr>
                      <m:type m:val="bar"/>
                    </m:fPr>
                    <m:num>
                      <m:r>
                        <m:t>5</m:t>
                      </m:r>
                    </m:num>
                    <m:den>
                      <m:rad>
                        <m:radPr>
                          <m:degHide m:val="on"/>
                        </m:radPr>
                        <m:deg/>
                        <m:e>
                          <m:r>
                            <m:t>2</m:t>
                          </m:r>
                        </m:e>
                      </m:rad>
                    </m:den>
                  </m:f>
                  <m:r>
                    <m:rPr>
                      <m:sty m:val="p"/>
                    </m:rPr>
                    <m:t>,</m:t>
                  </m:r>
                  <m:r>
                    <m:t>2</m:t>
                  </m:r>
                </m:e>
              </m:d>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d>
                  <m:dPr>
                    <m:begChr m:val="("/>
                    <m:sepChr m:val=""/>
                    <m:endChr m:val=")"/>
                    <m:grow/>
                  </m:dPr>
                  <m:e>
                    <m:r>
                      <m:t>x</m:t>
                    </m:r>
                    <m:r>
                      <m:rPr>
                        <m:sty m:val="p"/>
                      </m:rPr>
                      <m:t>−</m:t>
                    </m:r>
                    <m:r>
                      <m:t>2</m:t>
                    </m:r>
                  </m:e>
                </m:d>
                <m:r>
                  <m:rPr>
                    <m:sty m:val="p"/>
                  </m:rPr>
                  <m:t>=</m:t>
                </m:r>
                <m:r>
                  <m:rPr>
                    <m:sty m:val="p"/>
                  </m:rPr>
                  <m:t>±</m:t>
                </m:r>
                <m:f>
                  <m:fPr>
                    <m:type m:val="bar"/>
                  </m:fPr>
                  <m:num>
                    <m:r>
                      <m:t>3</m:t>
                    </m:r>
                  </m:num>
                  <m:den>
                    <m:r>
                      <m:t>4</m:t>
                    </m:r>
                  </m:den>
                </m:f>
                <m:d>
                  <m:dPr>
                    <m:begChr m:val="("/>
                    <m:sepChr m:val=""/>
                    <m:endChr m:val=")"/>
                    <m:grow/>
                  </m:dPr>
                  <m:e>
                    <m:r>
                      <m:t>x</m:t>
                    </m:r>
                    <m:r>
                      <m:rPr>
                        <m:sty m:val="p"/>
                      </m:rPr>
                      <m:t>−</m:t>
                    </m:r>
                    <m:r>
                      <m:t>2</m:t>
                    </m:r>
                  </m:e>
                </m:d>
              </m:oMath>
            </m:oMathPara>
          </w:p>
          <w:p>
            <w:r>
              <w:pict>
                <v:rect style="width:0;height:1.5pt" o:hralign="center" o:hrstd="t" o:hr="t"/>
              </w:pict>
            </w:r>
          </w:p>
          <w:p>
            <w:pPr>
              <w:pStyle w:val="FirstParagraph"/>
            </w:pPr>
            <w:pPr>
              <w:spacing w:after="16"/>
            </w:pPr>
            <w:r>
              <w:rPr>
                <w:b/>
                <w:bCs/>
              </w:rPr>
              <w:t xml:space="preserve">Step 5: Graph</w:t>
            </w:r>
          </w:p>
        </w:tc>
      </w:tr>
    </w:tbl>
    <w:bookmarkEnd w:id="52"/>
    <w:bookmarkStart w:id="53" w:name="quick-check-problems"/>
    <w:p>
      <w:pPr>
        <w:pStyle w:val="Heading1"/>
      </w:pPr>
      <w:r>
        <w:t xml:space="preserve">Quick Check Problems</w:t>
      </w:r>
    </w:p>
    <w:p>
      <w:pPr>
        <w:numPr>
          <w:ilvl w:val="0"/>
          <w:numId w:val="1007"/>
        </w:numPr>
      </w:pPr>
      <w:r>
        <w:t xml:space="preserve">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2</m:t>
                </m:r>
              </m:e>
            </m:d>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5</m:t>
                </m:r>
              </m:e>
            </m:d>
          </m:e>
          <m:sup>
            <m:r>
              <m:t>2</m:t>
            </m:r>
          </m:sup>
        </m:sSup>
        <m:r>
          <m:rPr>
            <m:sty m:val="p"/>
          </m:rPr>
          <m:t>=</m:t>
        </m:r>
        <m:r>
          <m:t>16</m:t>
        </m:r>
      </m:oMath>
      <w:r>
        <w:t xml:space="preserve">.</w:t>
      </w:r>
    </w:p>
    <w:p>
      <w:pPr>
        <w:numPr>
          <w:ilvl w:val="0"/>
          <w:numId w:val="1007"/>
        </w:numPr>
      </w:pPr>
      <w:r>
        <w:t xml:space="preserve">Find the center of 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w:t>
      </w:r>
    </w:p>
    <w:bookmarkEnd w:id="53"/>
    <w:bookmarkStart w:id="56"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55"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54">
        <w:r>
          <w:rPr>
            <w:rStyle w:val="Hyperlink"/>
          </w:rPr>
          <w:t xml:space="preserve">This work is licensed under CC BY-NC-SA</w:t>
        </w:r>
        <w:r>
          <w:rPr>
            <w:rStyle w:val="Hyperlink"/>
          </w:rPr>
          <w:t xml:space="preserve"> </w:t>
        </w:r>
        <w:r>
          <w:rPr>
            <w:rStyle w:val="Hyperlink"/>
          </w:rPr>
          <w:t xml:space="preserve">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2026-04-03T09:18:23Z</dcterms:created>
  <dcterms:modified xsi:type="dcterms:W3CDTF">2026-04-03T09:18:23Z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