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21"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20">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1"/>
    <w:bookmarkStart w:id="39"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d>
                <m:dPr>
                  <m:begChr m:val="("/>
                  <m:sepChr m:val=""/>
                  <m:endChr m:val=")"/>
                  <m:grow/>
                </m:dPr>
                <m:e>
                  <m:r>
                    <m:t>i</m:t>
                  </m:r>
                  <m:r>
                    <m:rPr>
                      <m:sty m:val="p"/>
                    </m:rPr>
                    <m:t>,</m:t>
                  </m:r>
                  <m:r>
                    <m:t>j</m:t>
                  </m:r>
                </m:e>
              </m:d>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r>
              <w:t xml:space="preserve">You can specify the</w:t>
            </w:r>
            <w:r>
              <w:t xml:space="preserve"> </w:t>
            </w:r>
            <m:oMath>
              <m:d>
                <m:dPr>
                  <m:begChr m:val="("/>
                  <m:sepChr m:val=""/>
                  <m:endChr m:val=")"/>
                  <m:grow/>
                </m:dPr>
                <m:e>
                  <m:r>
                    <m:t>i</m:t>
                  </m:r>
                  <m:r>
                    <m:rPr>
                      <m:sty m:val="p"/>
                    </m:rPr>
                    <m:t>,</m:t>
                  </m:r>
                  <m:r>
                    <m:t>j</m:t>
                  </m:r>
                </m:e>
              </m:d>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8">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31">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d>
                <m:dPr>
                  <m:begChr m:val="["/>
                  <m:sepChr m:val=""/>
                  <m:endChr m:val="]"/>
                  <m:grow/>
                </m:dPr>
                <m:e>
                  <m:sSub>
                    <m:e>
                      <m:r>
                        <m:t>a</m:t>
                      </m:r>
                    </m:e>
                    <m:sub>
                      <m:r>
                        <m:t>i</m:t>
                      </m:r>
                      <m:r>
                        <m:t>j</m:t>
                      </m:r>
                    </m:sub>
                  </m:sSub>
                </m:e>
              </m:d>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e>
                </m:d>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e>
              </m:d>
              <m:r>
                <m:rPr>
                  <m:sty m:val="p"/>
                </m:rPr>
                <m:t>=</m:t>
              </m:r>
              <m:d>
                <m:dPr>
                  <m:begChr m:val="("/>
                  <m:sepChr m:val=""/>
                  <m:endChr m:val=")"/>
                  <m:grow/>
                </m:dPr>
                <m:e>
                  <m:r>
                    <m:t>0</m:t>
                  </m:r>
                  <m:r>
                    <m:rPr>
                      <m:sty m:val="p"/>
                    </m:rPr>
                    <m:t>,</m:t>
                  </m:r>
                  <m:r>
                    <m:t>5</m:t>
                  </m:r>
                </m:e>
              </m:d>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e>
              </m:d>
              <m:r>
                <m:rPr>
                  <m:sty m:val="p"/>
                </m:rPr>
                <m:t>=</m:t>
              </m:r>
              <m:d>
                <m:dPr>
                  <m:begChr m:val="("/>
                  <m:sepChr m:val=""/>
                  <m:endChr m:val=")"/>
                  <m:grow/>
                </m:dPr>
                <m:e>
                  <m:r>
                    <m:rPr>
                      <m:sty m:val="p"/>
                    </m:rPr>
                    <m:t>−</m:t>
                  </m:r>
                  <m:r>
                    <m:t>1</m:t>
                  </m:r>
                </m:e>
              </m:d>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ty m:val="p"/>
                    <m:scr m:val="sans-serif"/>
                  </m:rPr>
                  <m:t>diag</m:t>
                </m:r>
                <m:d>
                  <m:dPr>
                    <m:begChr m:val="("/>
                    <m:sepChr m:val=""/>
                    <m:endChr m:val=")"/>
                    <m:grow/>
                  </m:dPr>
                  <m:e>
                    <m:r>
                      <m:t>C</m:t>
                    </m:r>
                  </m:e>
                </m:d>
                <m:r>
                  <m:rPr>
                    <m:sty m:val="p"/>
                  </m:rPr>
                  <m:t>=</m:t>
                </m:r>
                <m:d>
                  <m:dPr>
                    <m:begChr m:val="("/>
                    <m:sepChr m:val=""/>
                    <m:endChr m:val=")"/>
                    <m:grow/>
                  </m:dPr>
                  <m:e>
                    <m:rad>
                      <m:radPr>
                        <m:degHide m:val="on"/>
                      </m:radPr>
                      <m:deg/>
                      <m:e>
                        <m:r>
                          <m:t>2</m:t>
                        </m:r>
                      </m:e>
                    </m:rad>
                  </m:e>
                </m:d>
                <m:r>
                  <m:t> </m:t>
                </m:r>
                <m:r>
                  <m:rPr>
                    <m:nor/>
                    <m:sty m:val="p"/>
                    <m:scr m:val="sans-serif"/>
                  </m:rPr>
                  <m:t>and</m:t>
                </m:r>
                <m:r>
                  <m:t> </m:t>
                </m:r>
                <m:r>
                  <m:rPr>
                    <m:nor/>
                    <m:sty m:val="p"/>
                    <m:scr m:val="sans-serif"/>
                  </m:rPr>
                  <m:t>diag</m:t>
                </m:r>
                <m:d>
                  <m:dPr>
                    <m:begChr m:val="("/>
                    <m:sepChr m:val=""/>
                    <m:endChr m:val=")"/>
                    <m:grow/>
                  </m:dPr>
                  <m:e>
                    <m:r>
                      <m:t>D</m:t>
                    </m:r>
                  </m:e>
                </m:d>
                <m:r>
                  <m:rPr>
                    <m:sty m:val="p"/>
                  </m:rPr>
                  <m:t>=</m:t>
                </m:r>
                <m:d>
                  <m:dPr>
                    <m:begChr m:val="("/>
                    <m:sepChr m:val=""/>
                    <m:endChr m:val=")"/>
                    <m:grow/>
                  </m:dPr>
                  <m:e>
                    <m:r>
                      <m:rPr>
                        <m:sty m:val="p"/>
                      </m:rPr>
                      <m:t>−</m:t>
                    </m:r>
                    <m:r>
                      <m:t>5</m:t>
                    </m:r>
                    <m:r>
                      <m:rPr>
                        <m:sty m:val="p"/>
                      </m:rPr>
                      <m:t>,</m:t>
                    </m:r>
                    <m:r>
                      <m:t>7</m:t>
                    </m:r>
                    <m:r>
                      <m:rPr>
                        <m:sty m:val="p"/>
                      </m:rPr>
                      <m:t>,</m:t>
                    </m:r>
                    <m:r>
                      <m:rPr>
                        <m:sty m:val="p"/>
                      </m:rPr>
                      <m:t>−</m:t>
                    </m:r>
                    <m:rad>
                      <m:radPr>
                        <m:degHide m:val="on"/>
                      </m:radPr>
                      <m:deg/>
                      <m:e>
                        <m:r>
                          <m:t>3</m:t>
                        </m:r>
                      </m:e>
                    </m:rad>
                  </m:e>
                </m:d>
                <m:r>
                  <m:rPr>
                    <m:sty m:val="p"/>
                  </m:rPr>
                  <m:t>.</m:t>
                </m:r>
              </m:oMath>
            </m:oMathPara>
          </w:p>
        </w:tc>
      </w:tr>
    </w:tbl>
    <w:bookmarkEnd w:id="39"/>
    <w:bookmarkStart w:id="74" w:name="special-matrices"/>
    <w:p>
      <w:pPr>
        <w:pStyle w:val="Heading1"/>
      </w:pPr>
      <w:r>
        <w:t xml:space="preserve">Special matrices</w:t>
      </w:r>
    </w:p>
    <w:p>
      <w:pPr>
        <w:pStyle w:val="FirstParagraph"/>
      </w:pPr>
      <w:r>
        <w:t xml:space="preserve">There are special matrices that often appear in mathematics and statistics.</w:t>
      </w:r>
    </w:p>
    <w:bookmarkStart w:id="48"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d>
          <m:dPr>
            <m:begChr m:val="("/>
            <m:sepChr m:val=""/>
            <m:endChr m:val=")"/>
            <m:grow/>
          </m:dPr>
          <m:e>
            <m:r>
              <m:t>m</m:t>
            </m:r>
            <m:r>
              <m:rPr>
                <m:sty m:val="p"/>
              </m:rPr>
              <m:t>,</m:t>
            </m:r>
            <m:r>
              <m:t>n</m:t>
            </m:r>
          </m:e>
        </m:d>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m</m:t>
                </m:r>
                <m:r>
                  <m:rPr>
                    <m:nor/>
                    <m:sty m:val="p"/>
                    <m:scr m:val="sans-serif"/>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48"/>
    <w:bookmarkStart w:id="53"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53"/>
    <w:bookmarkStart w:id="60"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d>
                  <m:dPr>
                    <m:begChr m:val="["/>
                    <m:sepChr m:val=""/>
                    <m:endChr m:val="]"/>
                    <m:grow/>
                  </m:dPr>
                  <m:e>
                    <m:sSub>
                      <m:e>
                        <m:r>
                          <m:t>b</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j</m:t>
                </m:r>
                <m:r>
                  <m:rPr>
                    <m:sty m:val="p"/>
                  </m:rPr>
                  <m:t>&lt;</m:t>
                </m:r>
                <m:r>
                  <m:t>i</m:t>
                </m:r>
                <m:r>
                  <m:rPr>
                    <m:sty m:val="p"/>
                  </m:rPr>
                  <m:t>≤</m:t>
                </m:r>
                <m:r>
                  <m:t>n</m:t>
                </m:r>
                <m:r>
                  <m:rPr>
                    <m:sty m:val="p"/>
                  </m:rPr>
                  <m:t>.</m:t>
                </m:r>
              </m:oMath>
            </m:oMathPara>
          </w:p>
          <w:p/>
        </w:tc>
      </w:tr>
    </w:tbl>
    <w:bookmarkEnd w:id="60"/>
    <w:bookmarkStart w:id="67"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j</m:t>
                </m:r>
                <m:r>
                  <m:rPr>
                    <m:sty m:val="p"/>
                  </m:rPr>
                  <m:t>≤</m:t>
                </m:r>
                <m:r>
                  <m:t>n</m:t>
                </m:r>
                <m:r>
                  <m:rPr>
                    <m:sty m:val="p"/>
                  </m:rPr>
                  <m:t>.</m:t>
                </m:r>
              </m:oMath>
            </m:oMathPara>
          </w:p>
          <w:p/>
        </w:tc>
      </w:tr>
    </w:tbl>
    <w:bookmarkEnd w:id="67"/>
    <w:bookmarkStart w:id="73"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72">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ty m:val="p"/>
                              <m:scr m:val="sans-serif"/>
                            </m:rPr>
                            <m:t> for </m:t>
                          </m:r>
                          <m:r>
                            <m:t>1</m:t>
                          </m:r>
                          <m:r>
                            <m:rPr>
                              <m:sty m:val="p"/>
                            </m:rPr>
                            <m:t>≤</m:t>
                          </m:r>
                          <m:r>
                            <m:t>i</m:t>
                          </m:r>
                          <m:r>
                            <m:rPr>
                              <m:sty m:val="p"/>
                            </m:rPr>
                            <m:t>=</m:t>
                          </m:r>
                          <m:r>
                            <m:t>j</m:t>
                          </m:r>
                          <m:r>
                            <m:rPr>
                              <m:sty m:val="p"/>
                            </m:rPr>
                            <m:t>≤</m:t>
                          </m:r>
                          <m:r>
                            <m:t>n</m:t>
                          </m:r>
                        </m:e>
                      </m:mr>
                      <m:mr>
                        <m:e>
                          <m:r>
                            <m:t>0</m:t>
                          </m:r>
                          <m:r>
                            <m:rPr>
                              <m:nor/>
                              <m:sty m:val="p"/>
                              <m:scr m:val="sans-serif"/>
                            </m:rPr>
                            <m:t> for </m:t>
                          </m:r>
                          <m:r>
                            <m:t>1</m:t>
                          </m:r>
                          <m:r>
                            <m:rPr>
                              <m:sty m:val="p"/>
                            </m:rPr>
                            <m:t>≤</m:t>
                          </m:r>
                          <m:r>
                            <m:t>i</m:t>
                          </m:r>
                          <m:r>
                            <m:rPr>
                              <m:sty m:val="p"/>
                            </m:rPr>
                            <m:t>≠</m:t>
                          </m:r>
                          <m:r>
                            <m:t>j</m:t>
                          </m:r>
                          <m:r>
                            <m:rPr>
                              <m:sty m:val="p"/>
                            </m:rPr>
                            <m:t>≤</m:t>
                          </m:r>
                          <m:r>
                            <m:t>n</m:t>
                          </m:r>
                          <m:r>
                            <m:rPr>
                              <m:sty m:val="p"/>
                            </m:rPr>
                            <m:t>.</m:t>
                          </m:r>
                        </m:e>
                      </m:mr>
                    </m:m>
                  </m:e>
                </m:d>
              </m:oMath>
            </m:oMathPara>
          </w:p>
          <w:p/>
        </w:tc>
      </w:tr>
    </w:tbl>
    <w:bookmarkEnd w:id="73"/>
    <w:bookmarkEnd w:id="74"/>
    <w:bookmarkStart w:id="86"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t>A</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e>
                  </m:mr>
                  <m:mr>
                    <m:e>
                      <m:r>
                        <m:t>B</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e>
                  </m:mr>
                </m:m>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86"/>
    <w:bookmarkStart w:id="97"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d>
                            <m:dPr>
                              <m:begChr m:val="("/>
                              <m:sepChr m:val=""/>
                              <m:endChr m:val=")"/>
                              <m:grow/>
                            </m:dPr>
                            <m:e>
                              <m:r>
                                <m:t>3</m:t>
                              </m:r>
                              <m:rad>
                                <m:radPr>
                                  <m:degHide m:val="on"/>
                                </m:radPr>
                                <m:deg/>
                                <m:e>
                                  <m:r>
                                    <m:t>2</m:t>
                                  </m:r>
                                </m:e>
                              </m:rad>
                            </m:e>
                          </m:d>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72">
              <w:r>
                <w:rPr>
                  <w:rStyle w:val="Hyperlink"/>
                </w:rPr>
                <w:t xml:space="preserve">Guide: Matrix multiplication</w:t>
              </w:r>
            </w:hyperlink>
            <w:r>
              <w:t xml:space="preserve"> </w:t>
            </w:r>
            <w:r>
              <w:t xml:space="preserve">for more.</w:t>
            </w:r>
          </w:p>
          <w:p/>
        </w:tc>
      </w:tr>
    </w:tbl>
    <w:bookmarkEnd w:id="97"/>
    <w:bookmarkStart w:id="9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d>
          <m:dPr>
            <m:begChr m:val="["/>
            <m:sepChr m:val=""/>
            <m:endChr m:val="]"/>
            <m:grow/>
          </m:dPr>
          <m:e>
            <m:sSub>
              <m:e>
                <m:r>
                  <m:t>c</m:t>
                </m:r>
              </m:e>
              <m:sub>
                <m:r>
                  <m:t>i</m:t>
                </m:r>
                <m:r>
                  <m:t>j</m:t>
                </m:r>
              </m:sub>
            </m:sSub>
          </m:e>
        </m:d>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d>
          <m:dPr>
            <m:begChr m:val="("/>
            <m:sepChr m:val=""/>
            <m:endChr m:val=")"/>
            <m:grow/>
          </m:dPr>
          <m:e>
            <m:r>
              <m:t>2</m:t>
            </m:r>
            <m:r>
              <m:rPr>
                <m:sty m:val="p"/>
              </m:rPr>
              <m:t>,</m:t>
            </m:r>
            <m:r>
              <m:t>2</m:t>
            </m:r>
          </m:e>
        </m:d>
      </m:oMath>
      <w:r>
        <w:t xml:space="preserve">th entry of the matrix</w:t>
      </w:r>
      <w:r>
        <w:t xml:space="preserve"> </w:t>
      </w:r>
      <m:oMath>
        <m:r>
          <m:t>D</m:t>
        </m:r>
        <m:r>
          <m:rPr>
            <m:sty m:val="p"/>
          </m:rPr>
          <m:t>−</m:t>
        </m:r>
        <m:r>
          <m:t>3</m:t>
        </m:r>
        <m:r>
          <m:t>E</m:t>
        </m:r>
      </m:oMath>
      <w:r>
        <w:t xml:space="preserve">.</w:t>
      </w:r>
    </w:p>
    <w:bookmarkEnd w:id="98"/>
    <w:bookmarkStart w:id="102" w:name="further-reading"/>
    <w:p>
      <w:pPr>
        <w:pStyle w:val="Heading1"/>
      </w:pPr>
      <w:r>
        <w:t xml:space="preserve">Further reading</w:t>
      </w:r>
    </w:p>
    <w:p>
      <w:pPr>
        <w:pStyle w:val="FirstParagraph"/>
      </w:pPr>
      <w:r>
        <w:t xml:space="preserve">For more questions on this topic, please go to</w:t>
      </w:r>
      <w:r>
        <w:t xml:space="preserve"> </w:t>
      </w:r>
      <w:hyperlink r:id="rId99">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72">
        <w:r>
          <w:rPr>
            <w:rStyle w:val="Hyperlink"/>
          </w:rPr>
          <w:t xml:space="preserve">Guide: Matrix multiplication</w:t>
        </w:r>
      </w:hyperlink>
      <w:r>
        <w:t xml:space="preserve"> </w:t>
      </w:r>
      <w:r>
        <w:t xml:space="preserve">and [Guide: Transposing matrices].</w:t>
      </w:r>
    </w:p>
    <w:bookmarkStart w:id="10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100">
        <w:r>
          <w:rPr>
            <w:rStyle w:val="Hyperlink"/>
          </w:rPr>
          <w:t xml:space="preserve">This work is licensed under CC BY-NC-SA 4.0.</w:t>
        </w:r>
      </w:hyperlink>
    </w:p>
    <w:bookmarkEnd w:id="101"/>
    <w:bookmarkEnd w:id="10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2026-04-03T09:13:38Z</dcterms:created>
  <dcterms:modified xsi:type="dcterms:W3CDTF">2026-04-03T09:13:38Z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FiguresPNG/introtomatrices-image.png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