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4.png" ContentType="image/png"/>
  <Override PartName="/word/media/rId41.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w:t>
      </w:r>
      <w:r>
        <w:rPr>
          <w:i/>
          <w:iCs/>
        </w:rPr>
        <w:t xml:space="preserve"> </w:t>
      </w:r>
      <w:hyperlink r:id="rId22">
        <w:r>
          <w:rPr>
            <w:rStyle w:val="Hyperlink"/>
            <w:i/>
            <w:iCs/>
          </w:rPr>
          <w:t xml:space="preserve">Guide: Expected value, variance, standard deviation</w:t>
        </w:r>
      </w:hyperlink>
      <w:r>
        <w:rPr>
          <w:i/>
          <w:iCs/>
        </w:rPr>
        <w:t xml:space="preserve">, and</w:t>
      </w:r>
      <w:r>
        <w:rPr>
          <w:i/>
          <w:iCs/>
        </w:rPr>
        <w:t xml:space="preserve"> </w:t>
      </w:r>
      <w:hyperlink r:id="rId23">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w:t>
      </w:r>
      <w:r>
        <w:t xml:space="preserve"> </w:t>
      </w:r>
      <w:r>
        <w:t xml:space="preserve">“Student”</w:t>
      </w:r>
      <w:r>
        <w:t xml:space="preserve">.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66"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20">
        <w:r>
          <w:rPr>
            <w:rStyle w:val="Hyperlink"/>
          </w:rPr>
          <w:t xml:space="preserve">Guide: Introduction to hypothesis testing</w:t>
        </w:r>
      </w:hyperlink>
      <w:r>
        <w:t xml:space="preserve"> </w:t>
      </w:r>
      <w:r>
        <w:t xml:space="preserve">and for more on</w:t>
      </w:r>
      <w:r>
        <w:t xml:space="preserve"> </w:t>
      </w:r>
      <m:oMath>
        <m:r>
          <m:t>t</m:t>
        </m:r>
      </m:oMath>
      <w:r>
        <w:t xml:space="preserve">-distributions, see [Factsheet: t-distribution]((../factsheets/t-dist.qmd).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p/>
        </w:tc>
      </w:tr>
    </w:tbl>
    <w:bookmarkStart w:id="46"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d>
                <m:dPr>
                  <m:begChr m:val="("/>
                  <m:sepChr m:val=""/>
                  <m:endChr m:val=")"/>
                  <m:grow/>
                </m:dPr>
                <m:e>
                  <m:sSup>
                    <m:e>
                      <m:r>
                        <m:t>σ</m:t>
                      </m:r>
                    </m:e>
                    <m:sup>
                      <m:r>
                        <m:t>2</m:t>
                      </m:r>
                    </m:sup>
                  </m:sSup>
                </m:e>
              </m:d>
            </m:oMath>
            <w:r>
              <w:t xml:space="preserve">.</w:t>
            </w:r>
          </w:p>
          <w:p/>
        </w:tc>
      </w:tr>
    </w:tbl>
    <w:bookmarkStart w:id="45" w:name="when-do-you-use-a-students-t-test"/>
    <w:p>
      <w:pPr>
        <w:pStyle w:val="Heading3"/>
      </w:pPr>
      <w:r>
        <w:t xml:space="preserve">When do you use a Student’s</w:t>
      </w:r>
      <w:r>
        <w:t xml:space="preserve"> </w:t>
      </w:r>
      <m:oMath>
        <m:r>
          <m:t>t</m:t>
        </m:r>
      </m:oMath>
      <w:r>
        <w:t xml:space="preserve">-test?</w:t>
      </w:r>
    </w:p>
    <w:bookmarkStart w:id="35"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p/>
        </w:tc>
      </w:tr>
    </w:tbl>
    <w:bookmarkEnd w:id="35"/>
    <w:bookmarkStart w:id="38"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p/>
        </w:tc>
      </w:tr>
    </w:tbl>
    <w:bookmarkEnd w:id="38"/>
    <w:bookmarkStart w:id="44"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4</w:t>
            </w:r>
          </w:p>
        </w:tc>
      </w:tr>
      <w:tr>
        <w:trPr>
          <w:cantSplit/>
        </w:trPr>
        <w:tc>
          <w:tcPr>
            <w:tcMar>
              <w:top w:w="108" w:type="dxa"/>
              <w:bottom w:w="108" w:type="dxa"/>
            </w:tcMar>
          </w:tcPr>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44"/>
    <w:bookmarkEnd w:id="45"/>
    <w:bookmarkEnd w:id="46"/>
    <w:bookmarkStart w:id="59"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d>
                <m:dPr>
                  <m:begChr m:val="("/>
                  <m:sepChr m:val=""/>
                  <m:endChr m:val=")"/>
                  <m:grow/>
                </m:dPr>
                <m:e>
                  <m:sSubSup>
                    <m:e>
                      <m:r>
                        <m:t>σ</m:t>
                      </m:r>
                    </m:e>
                    <m:sub>
                      <m:r>
                        <m:t>1</m:t>
                      </m:r>
                    </m:sub>
                    <m:sup>
                      <m:r>
                        <m:t>2</m:t>
                      </m:r>
                    </m:sup>
                  </m:sSubSup>
                </m:e>
              </m:d>
            </m:oMath>
            <w:r>
              <w:t xml:space="preserve"> </w:t>
            </w:r>
            <w:r>
              <w:t xml:space="preserve">and</w:t>
            </w:r>
            <w:r>
              <w:t xml:space="preserve"> </w:t>
            </w:r>
            <m:oMath>
              <m:d>
                <m:dPr>
                  <m:begChr m:val="("/>
                  <m:sepChr m:val=""/>
                  <m:endChr m:val=")"/>
                  <m:grow/>
                </m:dPr>
                <m:e>
                  <m:sSubSup>
                    <m:e>
                      <m:r>
                        <m:t>σ</m:t>
                      </m:r>
                    </m:e>
                    <m:sub>
                      <m:r>
                        <m:t>2</m:t>
                      </m:r>
                    </m:sub>
                    <m:sup>
                      <m:r>
                        <m:t>2</m:t>
                      </m:r>
                    </m:sup>
                  </m:sSubSup>
                </m:e>
              </m:d>
            </m:oMath>
            <w:r>
              <w:t xml:space="preserve">.</w:t>
            </w:r>
          </w:p>
          <w:p/>
        </w:tc>
      </w:tr>
    </w:tbl>
    <w:bookmarkStart w:id="54" w:name="when-do-you-use-a-welchs-t-test"/>
    <w:p>
      <w:pPr>
        <w:pStyle w:val="Heading3"/>
      </w:pPr>
      <w:r>
        <w:t xml:space="preserve">When do you use a Welch’s</w:t>
      </w:r>
      <w:r>
        <w:t xml:space="preserve"> </w:t>
      </w:r>
      <m:oMath>
        <m:r>
          <m:t>t</m:t>
        </m:r>
      </m:oMath>
      <w:r>
        <w:t xml:space="preserve">-test?</w:t>
      </w:r>
    </w:p>
    <w:bookmarkStart w:id="53"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5</w:t>
            </w:r>
          </w:p>
        </w:tc>
      </w:tr>
      <w:tr>
        <w:trPr>
          <w:cantSplit/>
        </w:trPr>
        <w:tc>
          <w:tcPr>
            <w:tcMar>
              <w:top w:w="108" w:type="dxa"/>
              <w:bottom w:w="108" w:type="dxa"/>
            </w:tcMar>
          </w:tcPr>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oe unknown variances, to each other</w:t>
            </w:r>
          </w:p>
          <w:p/>
        </w:tc>
      </w:tr>
    </w:tbl>
    <w:bookmarkEnd w:id="53"/>
    <w:bookmarkEnd w:id="54"/>
    <w:bookmarkStart w:id="58" w:name="X2f20101d1868fbb76c465eba952474fd164f16e"/>
    <w:p>
      <w:pPr>
        <w:pStyle w:val="Heading3"/>
      </w:pPr>
      <w:r>
        <w:t xml:space="preserve">What other assumptions are made when constructing a</w:t>
      </w:r>
      <w:r>
        <w:t xml:space="preserve"> </w:t>
      </w:r>
      <m:oMath>
        <m:r>
          <m:t>t</m:t>
        </m:r>
      </m:oMath>
      <w:r>
        <w:t xml:space="preserve">-test?</w:t>
      </w:r>
    </w:p>
    <w:bookmarkStart w:id="55"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55"/>
    <w:bookmarkStart w:id="57"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56">
        <w:r>
          <w:rPr>
            <w:rStyle w:val="Hyperlink"/>
          </w:rPr>
          <w:t xml:space="preserve">Factsheet: Simple random sampling</w:t>
        </w:r>
      </w:hyperlink>
      <w:r>
        <w:t xml:space="preserve">.</w:t>
      </w:r>
    </w:p>
    <w:bookmarkEnd w:id="57"/>
    <w:bookmarkEnd w:id="58"/>
    <w:bookmarkEnd w:id="59"/>
    <w:bookmarkStart w:id="65"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6</w:t>
            </w:r>
          </w:p>
        </w:tc>
      </w:tr>
      <w:tr>
        <w:trPr>
          <w:cantSplit/>
        </w:trPr>
        <w:tc>
          <w:tcPr>
            <w:tcMar>
              <w:top w:w="108" w:type="dxa"/>
              <w:bottom w:w="108" w:type="dxa"/>
            </w:tcMar>
          </w:tcPr>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p/>
        </w:tc>
      </w:tr>
    </w:tbl>
    <w:p>
      <w:pPr>
        <w:pStyle w:val="BodyText"/>
      </w:pPr>
      <w:r>
        <w:t xml:space="preserve">For more about one and two tailed tests and why they are used, see:</w:t>
      </w:r>
      <w:r>
        <w:t xml:space="preserve"> </w:t>
      </w:r>
      <w:hyperlink r:id="rId64">
        <w:r>
          <w:rPr>
            <w:rStyle w:val="Hyperlink"/>
          </w:rPr>
          <w:t xml:space="preserve">Guide: One and two-tailed tests</w:t>
        </w:r>
      </w:hyperlink>
      <w:r>
        <w:t xml:space="preserve">.</w:t>
      </w:r>
    </w:p>
    <w:bookmarkEnd w:id="65"/>
    <w:bookmarkEnd w:id="66"/>
    <w:bookmarkStart w:id="111" w:name="how-to-construct-a-t-test"/>
    <w:p>
      <w:pPr>
        <w:pStyle w:val="Heading1"/>
      </w:pPr>
      <w:r>
        <w:t xml:space="preserve">How to construct a</w:t>
      </w:r>
      <w:r>
        <w:t xml:space="preserve"> </w:t>
      </w:r>
      <m:oMath>
        <m:r>
          <m:t>t</m:t>
        </m:r>
      </m:oMath>
      <w:r>
        <w:t xml:space="preserve">-test</w:t>
      </w:r>
    </w:p>
    <w:bookmarkStart w:id="69"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68" w:name="t-test-flowchart-1"/>
    <w:p>
      <w:pPr>
        <w:pStyle w:val="Heading3"/>
      </w:pPr>
      <m:oMath>
        <m:r>
          <m:t>t</m:t>
        </m:r>
      </m:oMath>
      <w:r>
        <w:t xml:space="preserve">-test flowchart</w:t>
      </w:r>
    </w:p>
    <w:bookmarkStart w:id="67"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67"/>
    <w:bookmarkEnd w:id="68"/>
    <w:bookmarkEnd w:id="69"/>
    <w:bookmarkStart w:id="74"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8</w:t>
            </w:r>
          </w:p>
        </w:tc>
      </w:tr>
      <w:tr>
        <w:trPr>
          <w:cantSplit/>
        </w:trPr>
        <w:tc>
          <w:tcPr>
            <w:tcMar>
              <w:top w:w="108" w:type="dxa"/>
              <w:bottom w:w="108" w:type="dxa"/>
            </w:tcMar>
          </w:tcPr>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w:r>
              <w:t xml:space="preserve">$H_0: \mu = 9 \hspace{0.5cm} H_1: \mu &gt; 9$</w:t>
            </w:r>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\hspace{0.5cm} H_1: \mu_1 \neq \mu_2$</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9</w:t>
            </w:r>
          </w:p>
        </w:tc>
      </w:tr>
      <w:tr>
        <w:trPr>
          <w:cantSplit/>
        </w:trPr>
        <w:tc>
          <w:tcPr>
            <w:tcMar>
              <w:top w:w="108" w:type="dxa"/>
              <w:bottom w:w="108" w:type="dxa"/>
            </w:tcMar>
          </w:tcPr>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p/>
        </w:tc>
      </w:tr>
    </w:tbl>
    <w:bookmarkEnd w:id="74"/>
    <w:bookmarkStart w:id="75" w:name="Xa1b9c1378ec78fbd44f0a1c10b604f030198768"/>
    <w:p>
      <w:pPr>
        <w:pStyle w:val="Heading2"/>
      </w:pPr>
      <w:r>
        <w:t xml:space="preserve">Step 3: Define your significance level</w:t>
      </w:r>
      <w:r>
        <w:t xml:space="preserve"> </w:t>
      </w:r>
      <m:oMath>
        <m:d>
          <m:dPr>
            <m:begChr m:val="("/>
            <m:sepChr m:val=""/>
            <m:endChr m:val=")"/>
            <m:grow/>
          </m:dPr>
          <m:e>
            <m:r>
              <m:t>α</m:t>
            </m:r>
          </m:e>
        </m:d>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d>
          <m:dPr>
            <m:begChr m:val="("/>
            <m:sepChr m:val=""/>
            <m:endChr m:val=")"/>
            <m:grow/>
          </m:dPr>
          <m:e>
            <m:r>
              <m:t>α</m:t>
            </m:r>
          </m:e>
        </m:d>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20">
        <w:r>
          <w:rPr>
            <w:rStyle w:val="Hyperlink"/>
          </w:rPr>
          <w:t xml:space="preserve">Guide: Introduction to hypothesis testing</w:t>
        </w:r>
      </w:hyperlink>
      <w:r>
        <w:t xml:space="preserve">.</w:t>
      </w:r>
    </w:p>
    <w:bookmarkEnd w:id="75"/>
    <w:bookmarkStart w:id="93" w:name="step-4-calculate-your-test-statistic-tau"/>
    <w:p>
      <w:pPr>
        <w:pStyle w:val="Heading2"/>
      </w:pPr>
      <w:r>
        <w:t xml:space="preserve">Step 4: Calculate your test statistic</w:t>
      </w:r>
      <w:r>
        <w:t xml:space="preserve"> </w:t>
      </w:r>
      <m:oMath>
        <m:d>
          <m:dPr>
            <m:begChr m:val="("/>
            <m:sepChr m:val=""/>
            <m:endChr m:val=")"/>
            <m:grow/>
          </m:dPr>
          <m:e>
            <m:r>
              <m:t>τ</m:t>
            </m:r>
          </m:e>
        </m:d>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83"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t xml:space="preserve">*-test,** 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10</w:t>
            </w:r>
          </w:p>
        </w:tc>
      </w:tr>
      <w:tr>
        <w:trPr>
          <w:cantSplit/>
        </w:trPr>
        <w:tc>
          <w:tcPr>
            <w:tcMar>
              <w:top w:w="108" w:type="dxa"/>
              <w:bottom w:w="108" w:type="dxa"/>
            </w:tcMar>
          </w:tcPr>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τ</m:t>
                      </m:r>
                    </m:e>
                    <m:e>
                      <m:r>
                        <m:rPr>
                          <m:sty m:val="p"/>
                        </m:rPr>
                        <m:t>=</m:t>
                      </m:r>
                      <m:f>
                        <m:fPr>
                          <m:type m:val="bar"/>
                        </m:fPr>
                        <m:num>
                          <m:r>
                            <m:t>92</m:t>
                          </m:r>
                          <m:r>
                            <m:rPr>
                              <m:sty m:val="p"/>
                            </m:rPr>
                            <m:t>−</m:t>
                          </m:r>
                          <m:r>
                            <m:t>88.5</m:t>
                          </m:r>
                        </m:num>
                        <m:den>
                          <m:r>
                            <m:t>2.3</m:t>
                          </m:r>
                          <m:r>
                            <m:rPr>
                              <m:sty m:val="p"/>
                            </m:rPr>
                            <m:t>/</m:t>
                          </m:r>
                          <m:rad>
                            <m:radPr>
                              <m:degHide m:val="on"/>
                            </m:radPr>
                            <m:deg/>
                            <m:e>
                              <m:r>
                                <m:t>13</m:t>
                              </m:r>
                            </m:e>
                          </m:rad>
                        </m:den>
                      </m:f>
                    </m:e>
                  </m:mr>
                  <m:mr>
                    <m:e/>
                    <m:e>
                      <m:r>
                        <m:rPr>
                          <m:sty m:val="p"/>
                        </m:rPr>
                        <m:t>=</m:t>
                      </m:r>
                      <m:r>
                        <m:t>5.4867</m:t>
                      </m:r>
                      <m:r>
                        <m:t>  </m:t>
                      </m:r>
                      <m:r>
                        <m:rPr>
                          <m:nor/>
                          <m:sty m:val="p"/>
                          <m:scr m:val="sans-serif"/>
                        </m:rPr>
                        <m:t> to 4dp.</m:t>
                      </m:r>
                    </m:e>
                  </m:mr>
                </m:m>
              </m:oMath>
            </m:oMathPara>
          </w:p>
          <w:p/>
        </w:tc>
      </w:tr>
    </w:tbl>
    <w:bookmarkEnd w:id="83"/>
    <w:bookmarkStart w:id="92"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11</w:t>
            </w:r>
          </w:p>
        </w:tc>
      </w:tr>
      <w:tr>
        <w:trPr>
          <w:cantSplit/>
        </w:trPr>
        <w:tc>
          <w:tcPr>
            <w:tcMar>
              <w:top w:w="108" w:type="dxa"/>
              <w:bottom w:w="108" w:type="dxa"/>
            </w:tcMar>
          </w:tcPr>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d>
                          <m:dPr>
                            <m:begChr m:val="("/>
                            <m:sepChr m:val=""/>
                            <m:endChr m:val=")"/>
                            <m:grow/>
                          </m:dPr>
                          <m:e>
                            <m:f>
                              <m:fPr>
                                <m:type m:val="bar"/>
                              </m:fPr>
                              <m:num>
                                <m:sSup>
                                  <m:e>
                                    <m:r>
                                      <m:t>0.49</m:t>
                                    </m:r>
                                  </m:e>
                                  <m:sup>
                                    <m:r>
                                      <m:t>2</m:t>
                                    </m:r>
                                  </m:sup>
                                </m:sSup>
                              </m:num>
                              <m:den>
                                <m:r>
                                  <m:t>15</m:t>
                                </m:r>
                              </m:den>
                            </m:f>
                          </m:e>
                        </m:d>
                        <m:r>
                          <m:rPr>
                            <m:sty m:val="p"/>
                          </m:rPr>
                          <m:t>+</m:t>
                        </m:r>
                        <m:d>
                          <m:dPr>
                            <m:begChr m:val="("/>
                            <m:sepChr m:val=""/>
                            <m:endChr m:val=")"/>
                            <m:grow/>
                          </m:dPr>
                          <m:e>
                            <m:f>
                              <m:fPr>
                                <m:type m:val="bar"/>
                              </m:fPr>
                              <m:num>
                                <m:sSup>
                                  <m:e>
                                    <m:r>
                                      <m:t>0.49</m:t>
                                    </m:r>
                                  </m:e>
                                  <m:sup>
                                    <m:r>
                                      <m:t>2</m:t>
                                    </m:r>
                                  </m:sup>
                                </m:sSup>
                              </m:num>
                              <m:den>
                                <m:r>
                                  <m:t>18</m:t>
                                </m:r>
                              </m:den>
                            </m:f>
                          </m:e>
                        </m:d>
                      </m:e>
                    </m:rad>
                  </m:den>
                </m:f>
                <m:r>
                  <m:rPr>
                    <m:sty m:val="p"/>
                  </m:rPr>
                  <m:t>=</m:t>
                </m:r>
                <m:r>
                  <m:rPr>
                    <m:sty m:val="p"/>
                  </m:rPr>
                  <m:t>−</m:t>
                </m:r>
                <m:r>
                  <m:t>5.8375</m:t>
                </m:r>
              </m:oMath>
            </m:oMathPara>
          </w:p>
          <w:p>
            <w:pPr>
              <w:pStyle w:val="FirstParagraph"/>
            </w:pPr>
            <w:r>
              <w:rPr>
                <w:b/>
                <w:bCs/>
              </w:rPr>
              <w:t xml:space="preserve">to 4 d.p.</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12</w:t>
            </w:r>
          </w:p>
        </w:tc>
      </w:tr>
      <w:tr>
        <w:trPr>
          <w:cantSplit/>
        </w:trPr>
        <w:tc>
          <w:tcPr>
            <w:tcMar>
              <w:top w:w="108" w:type="dxa"/>
              <w:bottom w:w="108" w:type="dxa"/>
            </w:tcMar>
          </w:tcPr>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d>
                          <m:dPr>
                            <m:begChr m:val="("/>
                            <m:sepChr m:val=""/>
                            <m:endChr m:val=")"/>
                            <m:grow/>
                          </m:dPr>
                          <m:e>
                            <m:f>
                              <m:fPr>
                                <m:type m:val="bar"/>
                              </m:fPr>
                              <m:num>
                                <m:sSup>
                                  <m:e>
                                    <m:r>
                                      <m:t>0.4</m:t>
                                    </m:r>
                                  </m:e>
                                  <m:sup>
                                    <m:r>
                                      <m:t>2</m:t>
                                    </m:r>
                                  </m:sup>
                                </m:sSup>
                              </m:num>
                              <m:den>
                                <m:r>
                                  <m:t>23</m:t>
                                </m:r>
                              </m:den>
                            </m:f>
                          </m:e>
                        </m:d>
                        <m:r>
                          <m:rPr>
                            <m:sty m:val="p"/>
                          </m:rPr>
                          <m:t>+</m:t>
                        </m:r>
                        <m:d>
                          <m:dPr>
                            <m:begChr m:val="("/>
                            <m:sepChr m:val=""/>
                            <m:endChr m:val=")"/>
                            <m:grow/>
                          </m:dPr>
                          <m:e>
                            <m:f>
                              <m:fPr>
                                <m:type m:val="bar"/>
                              </m:fPr>
                              <m:num>
                                <m:sSup>
                                  <m:e>
                                    <m:r>
                                      <m:t>0.25</m:t>
                                    </m:r>
                                  </m:e>
                                  <m:sup>
                                    <m:r>
                                      <m:t>2</m:t>
                                    </m:r>
                                  </m:sup>
                                </m:sSup>
                              </m:num>
                              <m:den>
                                <m:r>
                                  <m:t>21</m:t>
                                </m:r>
                              </m:den>
                            </m:f>
                          </m:e>
                        </m:d>
                      </m:e>
                    </m:rad>
                  </m:den>
                </m:f>
                <m:r>
                  <m:rPr>
                    <m:sty m:val="p"/>
                  </m:rPr>
                  <m:t>=</m:t>
                </m:r>
                <m:r>
                  <m:t>5.5185</m:t>
                </m:r>
              </m:oMath>
            </m:oMathPara>
          </w:p>
          <w:p>
            <w:pPr>
              <w:pStyle w:val="FirstParagraph"/>
            </w:pPr>
            <w:r>
              <w:rPr>
                <w:b/>
                <w:bCs/>
              </w:rPr>
              <w:t xml:space="preserve">to 4 d.p.</w:t>
            </w:r>
          </w:p>
          <w:p/>
        </w:tc>
      </w:tr>
    </w:tbl>
    <w:bookmarkEnd w:id="92"/>
    <w:bookmarkEnd w:id="93"/>
    <w:bookmarkStart w:id="102"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d>
          <m:dPr>
            <m:begChr m:val="("/>
            <m:sepChr m:val=""/>
            <m:endChr m:val=")"/>
            <m:grow/>
          </m:dPr>
          <m:e>
            <m:r>
              <m:t>α</m:t>
            </m:r>
          </m:e>
        </m:d>
      </m:oMath>
      <w:r>
        <w:t xml:space="preserve">.</w:t>
      </w:r>
    </w:p>
    <w:p>
      <w:pPr>
        <w:numPr>
          <w:ilvl w:val="0"/>
          <w:numId w:val="1014"/>
        </w:numPr>
      </w:pPr>
      <w:r>
        <w:t xml:space="preserve">A test statistic</w:t>
      </w:r>
      <w:r>
        <w:t xml:space="preserve"> </w:t>
      </w:r>
      <m:oMath>
        <m:d>
          <m:dPr>
            <m:begChr m:val="("/>
            <m:sepChr m:val=""/>
            <m:endChr m:val=")"/>
            <m:grow/>
          </m:dPr>
          <m:e>
            <m:r>
              <m:t>τ</m:t>
            </m:r>
          </m:e>
        </m:d>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98" w:name="X9181846a77be3ff4a37e2dd67a4c342b5822579"/>
    <w:p>
      <w:pPr>
        <w:pStyle w:val="Heading3"/>
      </w:pPr>
      <w:r>
        <w:t xml:space="preserve">Comparing the test statistic directly to a critical value</w:t>
      </w:r>
      <w:r>
        <w:t xml:space="preserve"> </w:t>
      </w:r>
      <m:oMath>
        <m:d>
          <m:dPr>
            <m:begChr m:val="("/>
            <m:sepChr m:val=""/>
            <m:endChr m:val=")"/>
            <m:grow/>
          </m:dPr>
          <m:e>
            <m:r>
              <m:t>t</m:t>
            </m:r>
          </m:e>
        </m:d>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d>
          <m:dPr>
            <m:begChr m:val="("/>
            <m:sepChr m:val=""/>
            <m:endChr m:val=")"/>
            <m:grow/>
          </m:dPr>
          <m:e>
            <m:r>
              <m:t>t</m:t>
            </m:r>
          </m:e>
        </m:d>
      </m:oMath>
      <w:r>
        <w:t xml:space="preserve"> </w:t>
      </w:r>
      <w:r>
        <w:t xml:space="preserve">and compare it to your test statistic</w:t>
      </w:r>
      <w:r>
        <w:t xml:space="preserve"> </w:t>
      </w:r>
      <m:oMath>
        <m:d>
          <m:dPr>
            <m:begChr m:val="("/>
            <m:sepChr m:val=""/>
            <m:endChr m:val=")"/>
            <m:grow/>
          </m:dPr>
          <m:e>
            <m:r>
              <m:t>τ</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d>
                <m:dPr>
                  <m:begChr m:val="["/>
                  <m:sepChr m:val=""/>
                  <m:endChr m:val="]"/>
                  <m:grow/>
                </m:dPr>
                <m:e>
                  <m:r>
                    <m:rPr>
                      <m:sty m:val="p"/>
                    </m:rPr>
                    <m:t>−</m:t>
                  </m:r>
                  <m:r>
                    <m:t>t</m:t>
                  </m:r>
                  <m:r>
                    <m:rPr>
                      <m:sty m:val="p"/>
                    </m:rPr>
                    <m:t>,</m:t>
                  </m:r>
                  <m:r>
                    <m:t>t</m:t>
                  </m:r>
                </m:e>
              </m:d>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98"/>
    <w:bookmarkStart w:id="101"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101"/>
    <w:bookmarkEnd w:id="102"/>
    <w:bookmarkStart w:id="110"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warning.png" id="105"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note.png" id="10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13</w:t>
            </w:r>
          </w:p>
        </w:tc>
      </w:tr>
      <w:tr>
        <w:trPr>
          <w:cantSplit/>
        </w:trPr>
        <w:tc>
          <w:tcPr>
            <w:tcMar>
              <w:top w:w="108" w:type="dxa"/>
              <w:bottom w:w="108" w:type="dxa"/>
            </w:tcMar>
          </w:tcPr>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w:r>
              <w:t xml:space="preserve">$$
        H_0: \bar{x} = \mu_0 \hspace{0.5cm} H_1: \bar{x} \neq \mu_0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oMath>
            </m:oMathPara>
          </w:p>
          <w:p>
            <w:pPr>
              <w:pStyle w:val="FirstParagraph"/>
            </w:pPr>
            <w:r>
              <w:rPr>
                <w:b/>
                <w:bCs/>
              </w:rPr>
              <w:t xml:space="preserve">to 4 d.p.</w:t>
            </w:r>
          </w:p>
          <w:p>
            <w:pPr>
              <w:pStyle w:val="BodyText"/>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d>
                <m:dPr>
                  <m:begChr m:val="["/>
                  <m:sepChr m:val=""/>
                  <m:endChr m:val="]"/>
                  <m:grow/>
                </m:dPr>
                <m:e>
                  <m:r>
                    <m:rPr>
                      <m:sty m:val="p"/>
                    </m:rPr>
                    <m:t>−</m:t>
                  </m:r>
                  <m:r>
                    <m:t>1.7110</m:t>
                  </m:r>
                  <m:r>
                    <m:rPr>
                      <m:sty m:val="p"/>
                    </m:rPr>
                    <m:t>,</m:t>
                  </m:r>
                  <m:r>
                    <m:t>1.7110</m:t>
                  </m:r>
                </m:e>
              </m:d>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d>
                <m:dPr>
                  <m:begChr m:val="("/>
                  <m:sepChr m:val=""/>
                  <m:endChr m:val=")"/>
                  <m:grow/>
                </m:dPr>
                <m:e>
                  <m:r>
                    <m:t>α</m:t>
                  </m:r>
                </m:e>
              </m:d>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14</w:t>
            </w:r>
          </w:p>
        </w:tc>
      </w:tr>
      <w:tr>
        <w:trPr>
          <w:cantSplit/>
        </w:trPr>
        <w:tc>
          <w:tcPr>
            <w:tcMar>
              <w:top w:w="108" w:type="dxa"/>
              <w:bottom w:w="108" w:type="dxa"/>
            </w:tcMar>
          </w:tcPr>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w:r>
              <w:t xml:space="preserve">$$
        H_0:\mu_1 = \mu_2 \hspace{0.5cm} H_1: \mu_1 &lt; \mu_2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d>
                          <m:dPr>
                            <m:begChr m:val="("/>
                            <m:sepChr m:val=""/>
                            <m:endChr m:val=")"/>
                            <m:grow/>
                          </m:dPr>
                          <m:e>
                            <m:f>
                              <m:fPr>
                                <m:type m:val="bar"/>
                              </m:fPr>
                              <m:num>
                                <m:sSup>
                                  <m:e>
                                    <m:r>
                                      <m:t>1.23</m:t>
                                    </m:r>
                                  </m:e>
                                  <m:sup>
                                    <m:r>
                                      <m:t>2</m:t>
                                    </m:r>
                                  </m:sup>
                                </m:sSup>
                              </m:num>
                              <m:den>
                                <m:r>
                                  <m:t>25</m:t>
                                </m:r>
                              </m:den>
                            </m:f>
                          </m:e>
                        </m:d>
                        <m:r>
                          <m:rPr>
                            <m:sty m:val="p"/>
                          </m:rPr>
                          <m:t>+</m:t>
                        </m:r>
                        <m:d>
                          <m:dPr>
                            <m:begChr m:val="("/>
                            <m:sepChr m:val=""/>
                            <m:endChr m:val=")"/>
                            <m:grow/>
                          </m:dPr>
                          <m:e>
                            <m:f>
                              <m:fPr>
                                <m:type m:val="bar"/>
                              </m:fPr>
                              <m:num>
                                <m:sSup>
                                  <m:e>
                                    <m:r>
                                      <m:t>1.39</m:t>
                                    </m:r>
                                  </m:e>
                                  <m:sup>
                                    <m:r>
                                      <m:t>2</m:t>
                                    </m:r>
                                  </m:sup>
                                </m:sSup>
                              </m:num>
                              <m:den>
                                <m:r>
                                  <m:t>25</m:t>
                                </m:r>
                              </m:den>
                            </m:f>
                          </m:e>
                        </m:d>
                      </m:e>
                    </m:rad>
                  </m:den>
                </m:f>
                <m:r>
                  <m:rPr>
                    <m:sty m:val="p"/>
                  </m:rPr>
                  <m:t>=</m:t>
                </m:r>
                <m:r>
                  <m:t>1.2392</m:t>
                </m:r>
              </m:oMath>
            </m:oMathPara>
          </w:p>
          <w:p>
            <w:pPr>
              <w:pStyle w:val="FirstParagraph"/>
            </w:pPr>
            <w:r>
              <w:rPr>
                <w:b/>
                <w:bCs/>
              </w:rPr>
              <w:t xml:space="preserve">to 4 d.p</w:t>
            </w:r>
          </w:p>
          <w:p>
            <w:pPr>
              <w:pStyle w:val="BodyText"/>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d>
                <m:dPr>
                  <m:begChr m:val="["/>
                  <m:sepChr m:val=""/>
                  <m:endChr m:val="]"/>
                  <m:grow/>
                </m:dPr>
                <m:e>
                  <m:r>
                    <m:rPr>
                      <m:sty m:val="p"/>
                    </m:rPr>
                    <m:t>−</m:t>
                  </m:r>
                  <m:r>
                    <m:t>1.714</m:t>
                  </m:r>
                  <m:r>
                    <m:rPr>
                      <m:sty m:val="p"/>
                    </m:rPr>
                    <m:t>,</m:t>
                  </m:r>
                  <m:r>
                    <m:t>1.714</m:t>
                  </m:r>
                </m:e>
              </m:d>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p/>
        </w:tc>
      </w:tr>
    </w:tbl>
    <w:bookmarkEnd w:id="110"/>
    <w:bookmarkEnd w:id="111"/>
    <w:bookmarkStart w:id="112"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12"/>
    <w:bookmarkStart w:id="116" w:name="further-reading"/>
    <w:p>
      <w:pPr>
        <w:pStyle w:val="Heading1"/>
      </w:pPr>
      <w:r>
        <w:t xml:space="preserve">Further reading</w:t>
      </w:r>
    </w:p>
    <w:p>
      <w:pPr>
        <w:pStyle w:val="FirstParagraph"/>
      </w:pPr>
      <w:hyperlink r:id="rId113">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15"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14">
        <w:r>
          <w:rPr>
            <w:rStyle w:val="Hyperlink"/>
          </w:rPr>
          <w:t xml:space="preserve">This work is licensed under CC BY-NC-SA 4.0.</w:t>
        </w:r>
      </w:hyperlink>
    </w:p>
    <w:bookmarkEnd w:id="115"/>
    <w:bookmarkEnd w:id="1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103" Target="media/rId103.png" /><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3"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4"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3"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4"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2026-04-03T09:20:46Z</dcterms:created>
  <dcterms:modified xsi:type="dcterms:W3CDTF">2026-04-03T09:20:46Z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