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2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29"/>
    <w:bookmarkStart w:id="5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8">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6"/>
    <w:bookmarkStart w:id="5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7">
        <w:r>
          <w:rPr>
            <w:rStyle w:val="Hyperlink"/>
          </w:rPr>
          <w:t xml:space="preserve">Guide: The quotient rule</w:t>
        </w:r>
      </w:hyperlink>
      <w:r>
        <w:t xml:space="preserve">, and</w:t>
      </w:r>
      <w:r>
        <w:t xml:space="preserve"> </w:t>
      </w:r>
      <w:hyperlink r:id="rId4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59">
        <w:r>
          <w:rPr>
            <w:rStyle w:val="Hyperlink"/>
          </w:rPr>
          <w:t xml:space="preserve">Proof sheet: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2025-11-06T13:20:33Z</dcterms:created>
  <dcterms:modified xsi:type="dcterms:W3CDTF">2025-11-06T13:20:33Z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