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t xml:space="preserve">Before reading this proofsheet, it is recommended that you read [Guide: Introduction to matrices].</w:t>
      </w:r>
    </w:p>
    <w:bookmarkStart w:id="35" w:name="proof"/>
    <w:p>
      <w:pPr>
        <w:pStyle w:val="Heading1"/>
      </w:pPr>
      <w:r>
        <w:t xml:space="preserve">Proof</w:t>
      </w:r>
    </w:p>
    <w:p>
      <w:pPr>
        <w:pStyle w:val="FirstParagraph"/>
      </w:pPr>
      <w:r>
        <w:t xml:space="preserve">Remember from [Guide: Introduction to matrices] 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 [Guide: Introduction to matrices] you assumed that the entries in our matrix were from the real numbers, and that same assumption is used here.</w:t>
      </w:r>
    </w:p>
    <w:bookmarkStart w:id="25"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5"/>
    <w:bookmarkStart w:id="28"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28"/>
    <w:bookmarkStart w:id="31"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summation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1"/>
    <w:bookmarkStart w:id="34"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4"/>
    <w:bookmarkEnd w:id="35"/>
    <w:bookmarkStart w:id="38" w:name="further-reading"/>
    <w:p>
      <w:pPr>
        <w:pStyle w:val="Heading1"/>
      </w:pPr>
      <w:r>
        <w:t xml:space="preserve">Further reading</w:t>
      </w:r>
    </w:p>
    <w:p>
      <w:pPr>
        <w:pStyle w:val="FirstParagraph"/>
      </w:pPr>
      <w:r>
        <w:t xml:space="preserve">For more on this topic, please go to [Guide: Introduction matrices].</w:t>
      </w:r>
    </w:p>
    <w:bookmarkStart w:id="3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6">
        <w:r>
          <w:rPr>
            <w:rStyle w:val="Hyperlink"/>
          </w:rPr>
          <w:t xml:space="preserve">This work is licensed under CC BY-NC-SA 4.0.</w:t>
        </w:r>
      </w:hyperlink>
    </w:p>
    <w:bookmarkEnd w:id="37"/>
    <w:bookmarkEnd w:id="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2025-10-31T16:15:54Z</dcterms:created>
  <dcterms:modified xsi:type="dcterms:W3CDTF">2025-10-31T16:15:54Z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