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 [Guide: Expanding brackets] for the purposes of checking your answers,</w:t>
      </w:r>
      <w:r>
        <w:rPr>
          <w:i/>
          <w:iCs/>
        </w:rPr>
        <w:t xml:space="preserve"> </w:t>
      </w:r>
      <w:hyperlink r:id="rId2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4"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4"/>
    <w:bookmarkStart w:id="43"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pPr>
              <w:spacing w:after="16"/>
            </w:pPr>
            <w:r>
              <w:t xml:space="preserve">To check your answer, you can expand the brackets of the completed square:</w:t>
            </w:r>
            <w:r>
              <w:t xml:space="preserve"> </w:t>
            </w:r>
            <w:r>
              <w:t xml:space="preserve"> </w:t>
            </w:r>
            <w:r>
              <w:t xml:space="preserve">which is the original expression.</w:t>
            </w:r>
          </w:p>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755521" cy="2581115"/>
                  <wp:effectExtent b="0" l="0" r="0" t="0"/>
                  <wp:docPr descr="" title="" id="29" name="Picture"/>
                  <a:graphic>
                    <a:graphicData uri="http://schemas.openxmlformats.org/drawingml/2006/picture">
                      <pic:pic>
                        <pic:nvPicPr>
                          <pic:cNvPr descr="./FiguresPNG/completingthesquare-fig1-1.png" id="30" name="Picture"/>
                          <pic:cNvPicPr>
                            <a:picLocks noChangeArrowheads="1" noChangeAspect="1"/>
                          </pic:cNvPicPr>
                        </pic:nvPicPr>
                        <pic:blipFill>
                          <a:blip r:embed="rId28"/>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1"/>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0">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3"/>
    <w:bookmarkStart w:id="55"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5"/>
    <w:bookmarkStart w:id="63"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0">
              <w:r>
                <w:rPr>
                  <w:rStyle w:val="Hyperlink"/>
                </w:rPr>
                <w:t xml:space="preserve">Guide: Using the quadratic formula</w:t>
              </w:r>
            </w:hyperlink>
            <w:r>
              <w:t xml:space="preserve"> </w:t>
            </w:r>
            <w:r>
              <w:t xml:space="preserve">for more, and</w:t>
            </w:r>
            <w:r>
              <w:t xml:space="preserve"> </w:t>
            </w:r>
            <w:hyperlink r:id="rId62">
              <w:r>
                <w:rPr>
                  <w:rStyle w:val="Hyperlink"/>
                </w:rPr>
                <w:t xml:space="preserve">Proof: The quadratic formula</w:t>
              </w:r>
            </w:hyperlink>
            <w:r>
              <w:t xml:space="preserve"> </w:t>
            </w:r>
            <w:r>
              <w:t xml:space="preserve">for how it is done.</w:t>
            </w:r>
          </w:p>
          <w:p/>
        </w:tc>
      </w:tr>
    </w:tbl>
    <w:bookmarkEnd w:id="63"/>
    <w:bookmarkStart w:id="64"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4"/>
    <w:bookmarkStart w:id="68" w:name="further-reading"/>
    <w:p>
      <w:pPr>
        <w:pStyle w:val="Heading1"/>
      </w:pPr>
      <w:r>
        <w:t xml:space="preserve">Further reading</w:t>
      </w:r>
    </w:p>
    <w:p>
      <w:pPr>
        <w:pStyle w:val="FirstParagraph"/>
      </w:pPr>
      <w:hyperlink r:id="rId65">
        <w:r>
          <w:rPr>
            <w:rStyle w:val="Hyperlink"/>
          </w:rPr>
          <w:t xml:space="preserve">For more questions on the subject, please go to Questions: Completing the square.</w:t>
        </w:r>
      </w:hyperlink>
    </w:p>
    <w:bookmarkStart w:id="67" w:name="version-history"/>
    <w:p>
      <w:pPr>
        <w:pStyle w:val="Heading2"/>
      </w:pPr>
      <w:r>
        <w:t xml:space="preserve">Version history</w:t>
      </w:r>
    </w:p>
    <w:p>
      <w:pPr>
        <w:pStyle w:val="FirstParagraph"/>
      </w:pPr>
      <w:r>
        <w:t xml:space="preserve">v1.0: initial version created 09/24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2025-10-31T16:13:27Z</dcterms:created>
  <dcterms:modified xsi:type="dcterms:W3CDTF">2025-10-31T16:13:27Z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