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While it is often claimed that</w:t>
      </w:r>
      <w:r>
        <w:t xml:space="preserve"> </w:t>
      </w:r>
      <w:r>
        <w:t xml:space="preserve">“data is the new gold,”</w:t>
      </w:r>
      <w:r>
        <w:t xml:space="preserve"> </w:t>
      </w:r>
      <w:r>
        <w:t xml:space="preserve">the value of data primarily lies in how you can make sense of it. This prompts the need to learn</w:t>
      </w:r>
      <w:r>
        <w:t xml:space="preserve"> </w:t>
      </w:r>
      <w:r>
        <w:rPr>
          <w:b/>
          <w:bCs/>
        </w:rPr>
        <w:t xml:space="preserve">data</w:t>
      </w:r>
      <w:r>
        <w:t xml:space="preserve"> </w:t>
      </w:r>
      <w:r>
        <w:rPr>
          <w:b/>
          <w:bCs/>
        </w:rPr>
        <w:t xml:space="preserve">analysis</w:t>
      </w:r>
      <w:r>
        <w:t xml:space="preserve">, which is the process of inspecting and transforming data in order to extract useful insights.</w:t>
      </w:r>
    </w:p>
    <w:p>
      <w:pPr>
        <w:pStyle w:val="BodyText"/>
      </w:pPr>
      <w:r>
        <w:t xml:space="preserve">This guide introduces you to data analysis. First, a distinction will be made between descriptive statistics and inferential statistics. Then on the descriptive statistics side, you will learn about measures of central tendency and dispersion, alongside data visualization. On the other hand, the inferential statistics section will include hypothesis testing, statistical relationships, and confidence intervals.</w:t>
      </w:r>
    </w:p>
    <w:bookmarkEnd w:id="20"/>
    <w:bookmarkStart w:id="21" w:name="X85cdb065d0e4ce17a88858b6d331a0e8758f844"/>
    <w:p>
      <w:pPr>
        <w:pStyle w:val="Heading1"/>
      </w:pPr>
      <w:r>
        <w:t xml:space="preserve">Distinguishing between descriptive statistics and inferential statistics</w:t>
      </w:r>
    </w:p>
    <w:p>
      <w:pPr>
        <w:pStyle w:val="FirstParagraph"/>
      </w:pPr>
      <w:r>
        <w:rPr>
          <w:b/>
          <w:bCs/>
        </w:rPr>
        <w:t xml:space="preserve">Descriptive statistics</w:t>
      </w:r>
      <w:r>
        <w:t xml:space="preserve"> </w:t>
      </w:r>
      <w:r>
        <w:t xml:space="preserve">is concerned with summarizing and describing a set of data. For example, what is the</w:t>
      </w:r>
      <w:r>
        <w:t xml:space="preserve"> </w:t>
      </w:r>
      <w:r>
        <w:t xml:space="preserve">“middle value”</w:t>
      </w:r>
      <w:r>
        <w:t xml:space="preserve"> </w:t>
      </w:r>
      <w:r>
        <w:t xml:space="preserve">of the data, and how spread out is the data?</w:t>
      </w:r>
    </w:p>
    <w:p>
      <w:pPr>
        <w:pStyle w:val="BodyText"/>
      </w:pPr>
      <w:r>
        <w:t xml:space="preserve">On the other hand,</w:t>
      </w:r>
      <w:r>
        <w:t xml:space="preserve"> </w:t>
      </w:r>
      <w:r>
        <w:rPr>
          <w:b/>
          <w:bCs/>
        </w:rPr>
        <w:t xml:space="preserve">inferential statistics</w:t>
      </w:r>
      <w:r>
        <w:t xml:space="preserve"> </w:t>
      </w:r>
      <w:r>
        <w:t xml:space="preserve">uses data samples to make inferences and predictions about the population that the sample was drawn from. This can be done by testing whether the values of two data samples are significantly different, examining whether two variables have a statistically significant relationship, and more that is beyond the scope of this study guide.</w:t>
      </w:r>
    </w:p>
    <w:bookmarkEnd w:id="21"/>
    <w:bookmarkStart w:id="76"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rPr>
          <w:b/>
          <w:bCs/>
        </w:rPr>
        <w:t xml:space="preserve">Central tendency</w:t>
      </w:r>
      <w:r>
        <w:t xml:space="preserve">,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divided by the number of values.</w:t>
            </w:r>
          </w:p>
          <w:p/>
        </w:tc>
      </w:tr>
    </w:tbl>
    <w:p>
      <w:pPr>
        <w:pStyle w:val="BodyText"/>
      </w:pPr>
      <w:r>
        <w:t xml:space="preserve">The mean can be denoted by two symbols, depending on whether the data used is a sample or the whole population:</w:t>
      </w:r>
    </w:p>
    <w:p>
      <w:pPr>
        <w:numPr>
          <w:ilvl w:val="0"/>
          <w:numId w:val="1001"/>
        </w:numPr>
      </w:pPr>
      <m:oMath>
        <m:bar>
          <m:barPr>
            <m:pos m:val="top"/>
          </m:barPr>
          <m:e>
            <m:r>
              <m:t>x</m:t>
            </m:r>
          </m:e>
        </m:bar>
      </m:oMath>
      <w:r>
        <w:t xml:space="preserve"> </w:t>
      </w:r>
      <w:r>
        <w:t xml:space="preserve">= sample mean</w:t>
      </w:r>
    </w:p>
    <w:p>
      <w:pPr>
        <w:numPr>
          <w:ilvl w:val="0"/>
          <w:numId w:val="1001"/>
        </w:numPr>
      </w:pPr>
      <m:oMath>
        <m:r>
          <m:t>μ</m:t>
        </m:r>
      </m:oMath>
      <w:r>
        <w:t xml:space="preserve"> </w:t>
      </w:r>
      <w:r>
        <w:t xml:space="preserve">= 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38.4</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2"/>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2"/>
              </w:numPr>
            </w:pPr>
            <w:r>
              <w:t xml:space="preserve">If the data set has an even number of values, the</w:t>
            </w:r>
            <w:r>
              <w:t xml:space="preserve"> </w:t>
            </w:r>
            <w:r>
              <w:rPr>
                <w:b/>
                <w:bCs/>
              </w:rPr>
              <w:t xml:space="preserve">median</w:t>
            </w:r>
            <w:r>
              <w:t xml:space="preserve"> </w:t>
            </w:r>
            <w:r>
              <w:t xml:space="preserve">would be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elements, which is an odd number. So to find the middle element, you can divide the number of elements by 2 and round it up. In this case,</w:t>
            </w:r>
            <w:r>
              <w:t xml:space="preserve"> </w:t>
            </w:r>
            <m:oMath>
              <m:f>
                <m:fPr>
                  <m:type m:val="bar"/>
                </m:fPr>
                <m:num>
                  <m:r>
                    <m:t>7</m:t>
                  </m:r>
                </m:num>
                <m:den>
                  <m:r>
                    <m:t>2</m:t>
                  </m:r>
                </m:den>
              </m:f>
              <m:r>
                <m:rPr>
                  <m:sty m:val="p"/>
                </m:rPr>
                <m:t>=</m:t>
              </m:r>
              <m:r>
                <m:t>3.5</m:t>
              </m:r>
              <m:r>
                <m:rPr>
                  <m:sty m:val="p"/>
                </m:rPr>
                <m:t>≈</m:t>
              </m:r>
              <m:r>
                <m:t>4</m:t>
              </m:r>
            </m:oMath>
            <w:r>
              <w:t xml:space="preserve">.</w:t>
            </w:r>
          </w:p>
          <w:p>
            <w:pPr>
              <w:pStyle w:val="BodyText"/>
            </w:pPr>
            <w:pPr>
              <w:spacing w:after="16"/>
            </w:pPr>
            <w:r>
              <w:t xml:space="preserve">The fourth element in the set, which is also the</w:t>
            </w:r>
            <w:r>
              <w:t xml:space="preserve"> </w:t>
            </w:r>
            <w:r>
              <w:rPr>
                <w:b/>
                <w:bCs/>
              </w:rPr>
              <w:t xml:space="preserve">median</w:t>
            </w:r>
            <w:r>
              <w:t xml:space="preserve">, is 40.</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w:t>
            </w:r>
          </w:p>
          <w:p>
            <w:pPr>
              <w:pStyle w:val="BodyText"/>
            </w:pPr>
            <w:r>
              <w:t xml:space="preserve">Notice that the list contains 6 elements, which is an even number. So to find the two middle elements, you can divide the number of elements by 2. In this case,</w:t>
            </w:r>
            <w:r>
              <w:t xml:space="preserve"> </w:t>
            </w:r>
            <m:oMath>
              <m:f>
                <m:fPr>
                  <m:type m:val="bar"/>
                </m:fPr>
                <m:num>
                  <m:r>
                    <m:t>6</m:t>
                  </m:r>
                </m:num>
                <m:den>
                  <m:r>
                    <m:t>2</m:t>
                  </m:r>
                </m:den>
              </m:f>
              <m:r>
                <m:rPr>
                  <m:sty m:val="p"/>
                </m:rPr>
                <m:t>=</m:t>
              </m:r>
              <m:r>
                <m:t>3</m:t>
              </m:r>
            </m:oMath>
            <w:r>
              <w:t xml:space="preserve">. Then the two middle elements would be the third and fourth elements.</w:t>
            </w:r>
          </w:p>
          <w:p>
            <w:pPr>
              <w:pStyle w:val="BodyText"/>
            </w:pPr>
            <w:pPr>
              <w:spacing w:after="16"/>
            </w:pPr>
            <w:r>
              <w:t xml:space="preserve">The third element is 32, whereas the fourth element is 40. To find the median, you can sum these elements together and divide them by 2. So the</w:t>
            </w:r>
            <w:r>
              <w:t xml:space="preserve"> </w:t>
            </w:r>
            <w:r>
              <w:rPr>
                <w:b/>
                <w:bCs/>
              </w:rPr>
              <w:t xml:space="preserve">median</w:t>
            </w:r>
            <w:r>
              <w:t xml:space="preserve"> </w:t>
            </w:r>
            <w:r>
              <w:t xml:space="preserve">is</w:t>
            </w:r>
            <w:r>
              <w:t xml:space="preserve"> </w:t>
            </w:r>
            <m:oMath>
              <m:f>
                <m:fPr>
                  <m:type m:val="bar"/>
                </m:fPr>
                <m:num>
                  <m:r>
                    <m:t>32</m:t>
                  </m:r>
                  <m:r>
                    <m:rPr>
                      <m:sty m:val="p"/>
                    </m:rPr>
                    <m:t>+</m:t>
                  </m:r>
                  <m:r>
                    <m:t>40</m:t>
                  </m:r>
                </m:num>
                <m:den>
                  <m:r>
                    <m:t>2</m:t>
                  </m:r>
                </m:den>
              </m:f>
              <m:r>
                <m:rPr>
                  <m:sty m:val="p"/>
                </m:rPr>
                <m:t>=</m:t>
              </m:r>
              <m:r>
                <m:t>36</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40</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w:t>
            </w:r>
            <w:r>
              <w:t xml:space="preserve"> </w:t>
            </w:r>
            <w:r>
              <w:rPr>
                <w:b/>
                <w:bCs/>
              </w:rPr>
              <w:t xml:space="preserve">mode</w:t>
            </w:r>
            <w:r>
              <w:t xml:space="preserv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center of the data. Similarly, if there exist extremely small values in the data set, the mean might be</w:t>
      </w:r>
      <w:r>
        <w:t xml:space="preserve"> </w:t>
      </w:r>
      <w:r>
        <w:t xml:space="preserve">“pulled”</w:t>
      </w:r>
      <w:r>
        <w:t xml:space="preserve"> </w:t>
      </w:r>
      <w:r>
        <w:t xml:space="preserve">lower than the actual center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wherein</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center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3"/>
              </w:numPr>
            </w:pPr>
            <w:r>
              <w:t xml:space="preserve">The</w:t>
            </w:r>
            <w:r>
              <w:t xml:space="preserve"> </w:t>
            </w:r>
            <w:r>
              <w:rPr>
                <w:b/>
                <w:bCs/>
              </w:rPr>
              <w:t xml:space="preserve">upper quartile</w:t>
            </w:r>
            <w:r>
              <w:t xml:space="preserve"> </w:t>
            </w:r>
            <w:r>
              <w:t xml:space="preserve">is the median of the data set’s upper half.</w:t>
            </w:r>
          </w:p>
          <w:p>
            <w:pPr>
              <w:numPr>
                <w:ilvl w:val="0"/>
                <w:numId w:val="1003"/>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4"/>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4"/>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delve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75"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four common data visualization types: bar charts, line graphs, histograms, pie charts, and scatter plots.</w:t>
      </w:r>
    </w:p>
    <w:bookmarkStart w:id="62"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5"/>
              </w:numPr>
            </w:pPr>
            <w:r>
              <w:t xml:space="preserve">23 strawberry candies</w:t>
            </w:r>
          </w:p>
          <w:p>
            <w:pPr>
              <w:numPr>
                <w:ilvl w:val="0"/>
                <w:numId w:val="1005"/>
              </w:numPr>
            </w:pPr>
            <w:r>
              <w:t xml:space="preserve">49 grape candies</w:t>
            </w:r>
          </w:p>
          <w:p>
            <w:pPr>
              <w:numPr>
                <w:ilvl w:val="0"/>
                <w:numId w:val="1005"/>
              </w:numPr>
            </w:pPr>
            <w:r>
              <w:t xml:space="preserve">57 chocolate candies</w:t>
            </w:r>
          </w:p>
          <w:p>
            <w:pPr>
              <w:numPr>
                <w:ilvl w:val="0"/>
                <w:numId w:val="1005"/>
              </w:numPr>
            </w:pPr>
            <w:r>
              <w:t xml:space="preserve">16 orange candies</w:t>
            </w:r>
          </w:p>
          <w:p>
            <w:pPr>
              <w:pStyle w:val="FirstParagraph"/>
            </w:pPr>
            <w:r>
              <w:t xml:space="preserve">An employee wanted to quickly compare candy sales across different categories, so they decided to plot this data in the form of a bar chart: PICTURE HERE LATER</w:t>
            </w:r>
          </w:p>
          <w:p>
            <w:pPr>
              <w:pStyle w:val="BodyText"/>
            </w:pPr>
            <w:pPr>
              <w:spacing w:after="16"/>
            </w:pPr>
            <w:r>
              <w:t xml:space="preserve">Note that bar charts do not have to be vertical. Bar charts are usually made to be vertical by default, but sometimes a horizontal format might be useful so that long label names do not overlap with each other.</w:t>
            </w:r>
          </w:p>
        </w:tc>
      </w:tr>
    </w:tbl>
    <w:bookmarkEnd w:id="62"/>
    <w:bookmarkStart w:id="65"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 PICTURE HERE LATER</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65"/>
    <w:bookmarkStart w:id="68"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 PICTURE HERE LATER</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68"/>
    <w:bookmarkStart w:id="71"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strawberry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visualize how each category compares to the whole and decided to plot this data in the form of a pie chart: PICTURE HERE LATER</w:t>
            </w:r>
          </w:p>
          <w:p>
            <w:pPr>
              <w:pStyle w:val="BodyText"/>
            </w:pPr>
            <w:pPr>
              <w:spacing w:after="16"/>
            </w:pPr>
            <w:r>
              <w:t xml:space="preserve">As you can see, chocolate takes up most of the pie chart, followed by grape, strawberry, and orange.</w:t>
            </w:r>
          </w:p>
        </w:tc>
      </w:tr>
    </w:tbl>
    <w:bookmarkEnd w:id="71"/>
    <w:bookmarkStart w:id="74" w:name="scatter-plot"/>
    <w:p>
      <w:pPr>
        <w:pStyle w:val="Heading3"/>
      </w:pPr>
      <w:r>
        <w:t xml:space="preserve">Scatter plot</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in the table below:</w:t>
            </w:r>
          </w:p>
          <w:tbl>
            <w:tblPr>
              <w:tblStyle w:val="Table"/>
              <w:tblW w:type="pct" w:w="5000"/>
              <w:tblLayout w:type="fixed"/>
              <w:tblLook w:firstRow="0" w:lastRow="0" w:firstColumn="0" w:lastColumn="0" w:noHBand="0" w:noVBand="0" w:val="0000"/>
            </w:tblPr>
            <w:tblGrid>
              <w:gridCol w:w="2640"/>
              <w:gridCol w:w="528"/>
              <w:gridCol w:w="528"/>
              <w:gridCol w:w="528"/>
              <w:gridCol w:w="528"/>
              <w:gridCol w:w="528"/>
              <w:gridCol w:w="528"/>
              <w:gridCol w:w="528"/>
              <w:gridCol w:w="528"/>
              <w:gridCol w:w="528"/>
              <w:gridCol w:w="528"/>
            </w:tblGrid>
            <w:tr>
              <w:tc>
                <w:tcPr/>
                <w:p>
                  <w:pPr>
                    <w:pStyle w:val="Compact"/>
                  </w:pPr>
                  <w:r>
                    <w:rPr>
                      <w:b/>
                      <w:bCs/>
                    </w:rPr>
                    <w:t xml:space="preserve">Candy Prices (in £)</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 PICTURE HERE LATER</w:t>
            </w:r>
          </w:p>
          <w:p>
            <w:pPr>
              <w:pStyle w:val="BodyText"/>
            </w:pPr>
            <w:pPr>
              <w:spacing w:after="16"/>
            </w:pPr>
            <w:r>
              <w:t xml:space="preserve">From this scatter plot, there appears to be an inverse trend: when the candy price increases, the number of sales decreases.</w:t>
            </w:r>
          </w:p>
        </w:tc>
      </w:tr>
    </w:tbl>
    <w:bookmarkEnd w:id="74"/>
    <w:bookmarkEnd w:id="75"/>
    <w:bookmarkEnd w:id="76"/>
    <w:bookmarkStart w:id="95" w:name="inferential-statistics"/>
    <w:p>
      <w:pPr>
        <w:pStyle w:val="Heading1"/>
      </w:pPr>
      <w:r>
        <w:t xml:space="preserve">Inferential statistics</w:t>
      </w:r>
    </w:p>
    <w:bookmarkStart w:id="82"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(FOR CONSISTENCY, THIS PART WAS TAKEN STRAIGHT FROM THE OTHER GUIDE. NOT SURE IF I SHOULD PARAPHRASE OR ADD MORE MATERIAL LIKE EXPLAINING WHAT A P VALUE 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w:t>
            </w:r>
          </w:p>
          <w:p>
            <w:pPr>
              <w:pStyle w:val="BodyText"/>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w:t>
            </w:r>
          </w:p>
          <w:p>
            <w:pPr>
              <w:pStyle w:val="BodyText"/>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For more information on hypothesis testing, please read</w:t>
      </w:r>
      <w:r>
        <w:t xml:space="preserve"> </w:t>
      </w:r>
      <w:hyperlink r:id="rId81">
        <w:r>
          <w:rPr>
            <w:rStyle w:val="Hyperlink"/>
          </w:rPr>
          <w:t xml:space="preserve">Guide: Introduction to hypothesis testing.</w:t>
        </w:r>
      </w:hyperlink>
    </w:p>
    <w:bookmarkEnd w:id="82"/>
    <w:bookmarkStart w:id="85" w:name="correlation-test-and-regression"/>
    <w:p>
      <w:pPr>
        <w:pStyle w:val="Heading2"/>
      </w:pPr>
      <w:r>
        <w:t xml:space="preserve">Correlation test and regression</w:t>
      </w:r>
    </w:p>
    <w:p>
      <w:pPr>
        <w:pStyle w:val="FirstParagraph"/>
      </w:pPr>
      <w:r>
        <w:rPr>
          <w:b/>
          <w:bCs/>
        </w:rPr>
        <w:t xml:space="preserve">Correlation tests</w:t>
      </w:r>
      <w:r>
        <w:t xml:space="preserve"> </w:t>
      </w:r>
      <w:r>
        <w:t xml:space="preserve">and</w:t>
      </w:r>
      <w:r>
        <w:t xml:space="preserve"> </w:t>
      </w:r>
      <w:r>
        <w:rPr>
          <w:b/>
          <w:bCs/>
        </w:rPr>
        <w:t xml:space="preserve">regression</w:t>
      </w:r>
      <w:r>
        <w:t xml:space="preserve"> </w:t>
      </w:r>
      <w:r>
        <w:t xml:space="preserve">are statistical methods used to test and estimate the relationship between a dependent variable and one or more 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linear regression for this purpose. This can be visualized below as a line of best fit overlaid on the scatter plot:</w:t>
            </w:r>
          </w:p>
          <w:p>
            <w:pPr>
              <w:pStyle w:val="BodyText"/>
            </w:pPr>
            <w:r>
              <w:t xml:space="preserve">PICTURE HERE LATER</w:t>
            </w:r>
          </w:p>
          <w:p>
            <w:pPr>
              <w:pStyle w:val="BodyText"/>
            </w:pPr>
            <w:pPr>
              <w:spacing w:after="16"/>
            </w:pPr>
            <w:r>
              <w:t xml:space="preserve">A Pearson correlation test indicated that the Pearson correlation coefficient (often known as</w:t>
            </w:r>
            <w:r>
              <w:t xml:space="preserve"> </w:t>
            </w:r>
            <m:oMath>
              <m:r>
                <m:t>r</m:t>
              </m:r>
            </m:oMath>
            <w:r>
              <w:t xml:space="preserve">) is approximately -0.91. This indicates a very strong negative relationship between the two variables.</w:t>
            </w:r>
          </w:p>
        </w:tc>
      </w:tr>
    </w:tbl>
    <w:p>
      <w:pPr>
        <w:pStyle w:val="BodyText"/>
      </w:pPr>
      <w:r>
        <w:t xml:space="preserve">For more information on hypothesis testing, please read [Guide: Introduction to regression.]</w:t>
      </w:r>
    </w:p>
    <w:bookmarkEnd w:id="85"/>
    <w:bookmarkStart w:id="94" w:name="confidence-interval"/>
    <w:p>
      <w:pPr>
        <w:pStyle w:val="Heading2"/>
      </w:pPr>
      <w:r>
        <w:t xml:space="preserve">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Here is the formula for confidence interval:</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07"/>
        </w:numPr>
      </w:pPr>
      <m:oMath>
        <m:bar>
          <m:barPr>
            <m:pos m:val="top"/>
          </m:barPr>
          <m:e>
            <m:r>
              <m:t>x</m:t>
            </m:r>
          </m:e>
        </m:bar>
      </m:oMath>
      <w:r>
        <w:t xml:space="preserve"> </w:t>
      </w:r>
      <w:r>
        <w:t xml:space="preserve">= sample mean</w:t>
      </w:r>
    </w:p>
    <w:p>
      <w:pPr>
        <w:numPr>
          <w:ilvl w:val="0"/>
          <w:numId w:val="1007"/>
        </w:numPr>
      </w:pPr>
      <m:oMath>
        <m:r>
          <m:t>z</m:t>
        </m:r>
      </m:oMath>
      <w:r>
        <w:t xml:space="preserve"> </w:t>
      </w:r>
      <w:r>
        <w:t xml:space="preserve">= z-score or confidence level value</w:t>
      </w:r>
    </w:p>
    <w:p>
      <w:pPr>
        <w:numPr>
          <w:ilvl w:val="0"/>
          <w:numId w:val="1007"/>
        </w:numPr>
      </w:pPr>
      <m:oMath>
        <m:r>
          <m:t>s</m:t>
        </m:r>
      </m:oMath>
      <w:r>
        <w:t xml:space="preserve"> </w:t>
      </w:r>
      <w:r>
        <w:t xml:space="preserve">= sample standard deviation</w:t>
      </w:r>
    </w:p>
    <w:p>
      <w:pPr>
        <w:numPr>
          <w:ilvl w:val="0"/>
          <w:numId w:val="1007"/>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p>
            <w:pPr>
              <w:pStyle w:val="BodyText"/>
            </w:pPr>
            <w:pPr>
              <w:spacing w:after="16"/>
            </w:pPr>
            <w:r>
              <w:t xml:space="preserve">(NOT SURE HOW RELEVANT THIS EXAMPLE IS)</w:t>
            </w:r>
          </w:p>
        </w:tc>
      </w:tr>
    </w:tbl>
    <w:bookmarkStart w:id="93" w:name="probability-distribution-functions"/>
    <w:p>
      <w:pPr>
        <w:pStyle w:val="Heading3"/>
      </w:pPr>
      <w:r>
        <w:t xml:space="preserve">Probability Distribution Functions</w:t>
      </w:r>
    </w:p>
    <w:p>
      <w:pPr>
        <w:pStyle w:val="FirstParagraph"/>
      </w:pPr>
      <w:r>
        <w:t xml:space="preserve">A</w:t>
      </w:r>
      <w:r>
        <w:t xml:space="preserve"> </w:t>
      </w:r>
      <w:r>
        <w:rPr>
          <w:b/>
          <w:bCs/>
        </w:rPr>
        <w:t xml:space="preserve">probability distribution function</w:t>
      </w:r>
      <w:r>
        <w:t xml:space="preserve"> </w:t>
      </w:r>
      <w:r>
        <w:t xml:space="preserve">is a mathematical function that outputs the likelihood of a certain outcome being taken on by a random variable, often with reference to a specific</w:t>
      </w:r>
      <w:r>
        <w:t xml:space="preserve"> </w:t>
      </w:r>
      <w:r>
        <w:rPr>
          <w:b/>
          <w:bCs/>
        </w:rPr>
        <w:t xml:space="preserve">probability distribution</w:t>
      </w:r>
      <w:r>
        <w:t xml:space="preserve">. There are three main types of probability distribution functions:</w:t>
      </w:r>
    </w:p>
    <w:p>
      <w:pPr>
        <w:numPr>
          <w:ilvl w:val="0"/>
          <w:numId w:val="1008"/>
        </w:numPr>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random variable will take on a specific countable value.</w:t>
      </w:r>
    </w:p>
    <w:p>
      <w:pPr>
        <w:numPr>
          <w:ilvl w:val="0"/>
          <w:numId w:val="1008"/>
        </w:numPr>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random variable will take on a value within a certain interval.</w:t>
      </w:r>
    </w:p>
    <w:p>
      <w:pPr>
        <w:numPr>
          <w:ilvl w:val="0"/>
          <w:numId w:val="1008"/>
        </w:numPr>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 will take on a value that is less than or equal to a particular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after="16"/>
            </w:pPr>
            <w:r>
              <w:t xml:space="preserve">Cantor’s Confectionery knows that the lengths of their chocolate bars are normally distributed and can be modelled as</w:t>
            </w:r>
            <w:r>
              <w:t xml:space="preserve"> </w:t>
            </w:r>
            <m:oMath>
              <m:r>
                <m:t>X</m:t>
              </m:r>
              <m:r>
                <m:rPr>
                  <m:sty m:val="p"/>
                </m:rPr>
                <m:t>∼</m:t>
              </m:r>
              <m:r>
                <m:t>N</m:t>
              </m:r>
              <m:d>
                <m:dPr>
                  <m:begChr m:val="("/>
                  <m:sepChr m:val=""/>
                  <m:endChr m:val=")"/>
                  <m:grow/>
                </m:dPr>
                <m:e>
                  <m:r>
                    <m:t>5.6</m:t>
                  </m:r>
                  <m:r>
                    <m:rPr>
                      <m:sty m:val="p"/>
                    </m:rPr>
                    <m:t>,</m:t>
                  </m:r>
                  <m:r>
                    <m:t>1.44</m:t>
                  </m:r>
                </m:e>
              </m:d>
            </m:oMath>
            <w:r>
              <w:t xml:space="preserve">. 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0.34.</w:t>
            </w:r>
          </w:p>
        </w:tc>
      </w:tr>
    </w:tbl>
    <w:p>
      <w:pPr>
        <w:pStyle w:val="BodyText"/>
      </w:pPr>
      <w:r>
        <w:t xml:space="preserve">For more information on PMFs, PDFs, and CDFs, please read</w:t>
      </w:r>
      <w:r>
        <w:t xml:space="preserve"> </w:t>
      </w:r>
      <w:hyperlink r:id="rId92">
        <w:r>
          <w:rPr>
            <w:rStyle w:val="Hyperlink"/>
          </w:rPr>
          <w:t xml:space="preserve">Guide: PMFs, PDFs, and CDFs.</w:t>
        </w:r>
      </w:hyperlink>
    </w:p>
    <w:bookmarkEnd w:id="93"/>
    <w:bookmarkEnd w:id="94"/>
    <w:bookmarkEnd w:id="95"/>
    <w:bookmarkStart w:id="96" w:name="quick-check-problems"/>
    <w:p>
      <w:pPr>
        <w:pStyle w:val="Heading1"/>
      </w:pPr>
      <w:r>
        <w:t xml:space="preserve">Quick check problems</w:t>
      </w:r>
    </w:p>
    <w:p>
      <w:pPr>
        <w:numPr>
          <w:ilvl w:val="0"/>
          <w:numId w:val="1009"/>
        </w:numPr>
      </w:pPr>
      <w:r>
        <w:t xml:space="preserve">Today, it can either rain or not rain. Suppose that the probability of it raining is 0.7. What is the probability of it not raining? (Provide your answer in decimal format.)</w:t>
      </w:r>
    </w:p>
    <w:p>
      <w:pPr>
        <w:numPr>
          <w:ilvl w:val="0"/>
          <w:numId w:val="1009"/>
        </w:numPr>
      </w:pPr>
      <w:r>
        <w:t xml:space="preserve">You roll a six-sided die three times. What is the probability of getting a 6 three times? (Provide your answer as the simplest fraction.)</w:t>
      </w:r>
    </w:p>
    <w:p>
      <w:pPr>
        <w:numPr>
          <w:ilvl w:val="0"/>
          <w:numId w:val="1009"/>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9"/>
        </w:numPr>
      </w:pPr>
      <w:r>
        <w:t xml:space="preserve">You are given three statements below. Decide whether they are true or false.</w:t>
      </w:r>
    </w:p>
    <w:p>
      <w:pPr>
        <w:numPr>
          <w:ilvl w:val="0"/>
          <w:numId w:val="1010"/>
        </w:numPr>
      </w:pPr>
      <w:r>
        <w:t xml:space="preserve">The sum of the probabilities of complementary events is 1.</w:t>
      </w:r>
    </w:p>
    <w:p>
      <w:pPr>
        <w:numPr>
          <w:ilvl w:val="0"/>
          <w:numId w:val="1010"/>
        </w:numPr>
      </w:pPr>
      <w:r>
        <w:t xml:space="preserve">Only tables can be used to represent the sample space of two events.</w:t>
      </w:r>
    </w:p>
    <w:p>
      <w:pPr>
        <w:numPr>
          <w:ilvl w:val="0"/>
          <w:numId w:val="1010"/>
        </w:numPr>
      </w:pPr>
      <w:r>
        <w:t xml:space="preserve">Tree diagrams can be used to represent both dependent and independent events.</w:t>
      </w:r>
    </w:p>
    <w:bookmarkEnd w:id="96"/>
    <w:bookmarkStart w:id="100" w:name="further-reading"/>
    <w:p>
      <w:pPr>
        <w:pStyle w:val="Heading1"/>
      </w:pPr>
      <w:r>
        <w:t xml:space="preserve">Further reading</w:t>
      </w:r>
    </w:p>
    <w:p>
      <w:pPr>
        <w:pStyle w:val="FirstParagraph"/>
      </w:pPr>
      <w:hyperlink r:id="rId97">
        <w:r>
          <w:rPr>
            <w:rStyle w:val="Hyperlink"/>
          </w:rPr>
          <w:t xml:space="preserve">For more questions on the subject, please go to Questions: Introduction to probability.</w:t>
        </w:r>
      </w:hyperlink>
    </w:p>
    <w:bookmarkStart w:id="99" w:name="version-history"/>
    <w:p>
      <w:pPr>
        <w:pStyle w:val="Heading2"/>
      </w:pPr>
      <w:r>
        <w:t xml:space="preserve">Version history</w:t>
      </w:r>
    </w:p>
    <w:p>
      <w:pPr>
        <w:pStyle w:val="FirstParagraph"/>
      </w:pPr>
      <w:r>
        <w:t xml:space="preserve">v1.0: initial version created 4/25 by Michelle Arnetta as part of a University of St Andrews VIP project.</w:t>
      </w:r>
    </w:p>
    <w:p>
      <w:pPr>
        <w:pStyle w:val="BodyText"/>
      </w:pPr>
      <w:hyperlink r:id="rId98">
        <w:r>
          <w:rPr>
            <w:rStyle w:val="Hyperlink"/>
          </w:rPr>
          <w:t xml:space="preserve">This work is licensed under CC BY-NC-SA 4.0.</w:t>
        </w:r>
      </w:hyperlink>
      <w:r>
        <w:t xml:space="preserve"> </w:t>
      </w:r>
      <w:r>
        <w:t xml:space="preserve">::::::::::::</w:t>
      </w:r>
    </w:p>
    <w:bookmarkEnd w:id="99"/>
    <w:bookmarkEnd w:id="10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97"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81" Target="../studyguides/hypothesistesting.qmd" TargetMode="External" /><Relationship Type="http://schemas.openxmlformats.org/officeDocument/2006/relationships/hyperlink" Id="rId92" Target="../studyguides/pmfspdfscdfs.qmd" TargetMode="External" /><Relationship Type="http://schemas.openxmlformats.org/officeDocument/2006/relationships/hyperlink" Id="rId9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7"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81" Target="../studyguides/hypothesistesting.qmd" TargetMode="External" /><Relationship Type="http://schemas.openxmlformats.org/officeDocument/2006/relationships/hyperlink" Id="rId92" Target="../studyguides/pmfspdfscdfs.qmd" TargetMode="External" /><Relationship Type="http://schemas.openxmlformats.org/officeDocument/2006/relationships/hyperlink" Id="rId9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2025-10-31T16:09:24Z</dcterms:created>
  <dcterms:modified xsi:type="dcterms:W3CDTF">2025-10-31T16:09:24Z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