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 [Proof sheet: Rules of differentiation.]</w:t>
      </w:r>
    </w:p>
    <w:bookmarkEnd w:id="32"/>
    <w:bookmarkStart w:id="4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39">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7"/>
    <w:bookmarkStart w:id="6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1">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5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4"/>
    <w:bookmarkEnd w:id="65"/>
    <w:bookmarkStart w:id="6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6"/>
    <w:bookmarkStart w:id="71" w:name="further-reading"/>
    <w:p>
      <w:pPr>
        <w:pStyle w:val="Heading1"/>
      </w:pPr>
      <w:r>
        <w:t xml:space="preserve">Further reading</w:t>
      </w:r>
    </w:p>
    <w:p>
      <w:pPr>
        <w:pStyle w:val="FirstParagraph"/>
      </w:pPr>
      <w:hyperlink r:id="rId6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0">
        <w:r>
          <w:rPr>
            <w:rStyle w:val="Hyperlink"/>
          </w:rPr>
          <w:t xml:space="preserve">Guide: The product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8">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2025-10-31T16:13:48Z</dcterms:created>
  <dcterms:modified xsi:type="dcterms:W3CDTF">2025-10-31T16:13:48Z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