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Laws of indices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laws of indices.</w:t>
      </w:r>
    </w:p>
    <w:p>
      <w:pPr>
        <w:pStyle w:val="FirstParagraph"/>
      </w:pPr>
      <w:r>
        <w:rPr>
          <w:i/>
          <w:iCs/>
        </w:rPr>
        <w:t xml:space="preserve">The associated study guide for this factsheet is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. If you would like to know more about these, please read the guide.</w:t>
      </w:r>
    </w:p>
    <w:p>
      <w:pPr>
        <w:pStyle w:val="BodyText"/>
      </w:pPr>
      <w:r>
        <w:t xml:space="preserve">Throughout this factsheet,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positive real numbers,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real numbers,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positive whole number.</w:t>
      </w:r>
    </w:p>
    <w:bookmarkStart w:id="11" w:name="laws-of-indices"/>
    <w:p>
      <w:pPr>
        <w:pStyle w:val="Heading2"/>
      </w:pPr>
      <w:r>
        <w:t xml:space="preserve">Laws of indices</w:t>
      </w:r>
    </w:p>
    <w:p>
      <w:pPr>
        <w:pStyle w:val="FirstParagraph"/>
      </w:pPr>
      <w:r>
        <w:rPr>
          <w:b/>
          <w:bCs/>
        </w:rPr>
        <w:t xml:space="preserve">Law 1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r</m:t>
            </m:r>
          </m:sup>
        </m:sSup>
        <m:r>
          <m:rPr>
            <m:sty m:val="p"/>
          </m:rPr>
          <m:t>·</m:t>
        </m:r>
        <m:sSup>
          <m:e>
            <m:r>
              <m:t>a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r</m:t>
            </m:r>
            <m:r>
              <m:rPr>
                <m:sty m:val="p"/>
              </m:rPr>
              <m:t>+</m:t>
            </m:r>
            <m:r>
              <m:t>s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2</w:t>
      </w:r>
      <w:r>
        <w:t xml:space="preserve">: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r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s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s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3</w:t>
      </w:r>
      <w:r>
        <w:t xml:space="preserve">: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r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r</m:t>
            </m:r>
            <m:r>
              <m:rPr>
                <m:sty m:val="p"/>
              </m:rPr>
              <m:t>·</m:t>
            </m:r>
            <m:r>
              <m:t>s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4</w:t>
      </w:r>
      <w:r>
        <w:t xml:space="preserve">: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non-zero, then</w:t>
      </w:r>
      <w:r>
        <w:t xml:space="preserve"> </w:t>
      </w:r>
      <m:oMath>
        <m:sSup>
          <m:e>
            <m:r>
              <m:t>a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5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r</m:t>
                </m:r>
              </m:sup>
            </m:sSup>
          </m:den>
        </m:f>
      </m:oMath>
    </w:p>
    <w:p>
      <w:pPr>
        <w:pStyle w:val="BodyText"/>
      </w:pPr>
      <w:r>
        <w:rPr>
          <w:b/>
          <w:bCs/>
        </w:rPr>
        <w:t xml:space="preserve">Law 6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sup>
        </m:sSup>
        <m:r>
          <m:rPr>
            <m:sty m:val="p"/>
          </m:rPr>
          <m:t>=</m:t>
        </m:r>
        <m:rad>
          <m:deg>
            <m:r>
              <m:t>n</m:t>
            </m:r>
          </m:deg>
          <m:e>
            <m:r>
              <m:t>a</m:t>
            </m:r>
          </m:e>
        </m:rad>
        <m:r>
          <m:rPr>
            <m:sty m:val="p"/>
          </m:rPr>
          <m:t>.</m:t>
        </m:r>
      </m:oMath>
    </w:p>
    <w:p>
      <w:pPr>
        <w:pStyle w:val="BodyText"/>
      </w:pPr>
      <w:r>
        <w:rPr>
          <w:b/>
          <w:bCs/>
        </w:rPr>
        <w:t xml:space="preserve">Law 7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r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r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8</w:t>
      </w:r>
      <w:r>
        <w:t xml:space="preserve">: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r</m:t>
                </m:r>
              </m:sup>
            </m:sSup>
          </m:num>
          <m:den>
            <m:sSup>
              <m:e>
                <m:r>
                  <m:t>b</m:t>
                </m:r>
              </m:e>
              <m:sup>
                <m:r>
                  <m:t>r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t>r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9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sup>
        </m:sSup>
        <m:r>
          <m:rPr>
            <m:sty m:val="p"/>
          </m:rPr>
          <m:t>⋅</m:t>
        </m:r>
        <m:r>
          <m:t>b</m:t>
        </m:r>
        <m:r>
          <m:rPr>
            <m:sty m:val="p"/>
          </m:rPr>
          <m:t>=</m:t>
        </m:r>
        <m:rad>
          <m:deg>
            <m:r>
              <m:t>n</m:t>
            </m:r>
          </m:deg>
          <m:e>
            <m:r>
              <m:t>a</m:t>
            </m:r>
            <m:r>
              <m:rPr>
                <m:sty m:val="p"/>
              </m:rPr>
              <m:t>⋅</m:t>
            </m:r>
            <m:sSup>
              <m:e>
                <m:r>
                  <m:t>b</m:t>
                </m:r>
              </m:e>
              <m:sup>
                <m:r>
                  <m:t>n</m:t>
                </m:r>
              </m:sup>
            </m:sSup>
          </m:e>
        </m:ra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10</w:t>
      </w:r>
      <w:r>
        <w:t xml:space="preserve">:</w:t>
      </w:r>
      <w:r>
        <w:t xml:space="preserve"> </w:t>
      </w:r>
      <m:oMath>
        <m:r>
          <m:t> </m:t>
        </m:r>
        <m:rad>
          <m:deg>
            <m:r>
              <m:t>n</m:t>
            </m:r>
          </m:deg>
          <m:e>
            <m:r>
              <m:t>a</m:t>
            </m:r>
            <m:r>
              <m:rPr>
                <m:sty m:val="p"/>
              </m:rPr>
              <m:t>⋅</m:t>
            </m:r>
            <m:r>
              <m:t>b</m:t>
            </m:r>
          </m:e>
        </m:rad>
        <m:r>
          <m:rPr>
            <m:sty m:val="p"/>
          </m:rPr>
          <m:t>=</m:t>
        </m:r>
        <m:rad>
          <m:deg>
            <m:r>
              <m:t>n</m:t>
            </m:r>
          </m:deg>
          <m:e>
            <m:r>
              <m:t>a</m:t>
            </m:r>
          </m:e>
        </m:rad>
        <m:r>
          <m:rPr>
            <m:sty m:val="p"/>
          </m:rPr>
          <m:t>⋅</m:t>
        </m:r>
        <m:rad>
          <m:deg>
            <m:r>
              <m:t>n</m:t>
            </m:r>
          </m:deg>
          <m:e>
            <m:r>
              <m:t>b</m:t>
            </m:r>
          </m:e>
        </m:rad>
      </m:oMath>
      <w:r>
        <w:t xml:space="preserve">.</w:t>
      </w:r>
    </w:p>
    <w:p>
      <w:pPr>
        <w:pStyle w:val="BodyText"/>
      </w:pPr>
      <w:hyperlink r:id="rId10">
        <w:r>
          <w:rPr>
            <w:rStyle w:val="Hyperlink"/>
          </w:rPr>
          <w:t xml:space="preserve">For more on the subject, please go to Guide: Laws of indices</w:t>
        </w:r>
      </w:hyperlink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05/24 by tdhc.</w:t>
      </w:r>
    </w:p>
    <w:p>
      <w:pPr>
        <w:pStyle w:val="BodyText"/>
      </w:pPr>
      <w:hyperlink r:id="rId12">
        <w:r>
          <w:rPr>
            <w:rStyle w:val="Hyperlink"/>
          </w:rPr>
          <w:t xml:space="preserve">This work is licensed under CC BY-NC-SA 4.0.</w:t>
        </w:r>
      </w:hyperlink>
    </w:p>
    <w:bookmarkEnd w:id="1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studyguides/lawsofindices" TargetMode="External" /><Relationship Type="http://schemas.openxmlformats.org/officeDocument/2006/relationships/hyperlink" Id="rId10" Target="../studyguides/lawsofindice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studyguides/lawsofindices" TargetMode="External" /><Relationship Type="http://schemas.openxmlformats.org/officeDocument/2006/relationships/hyperlink" Id="rId10" Target="../studyguides/lawsofindice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Laws of indices</dc:title>
  <dc:creator>Tom Coleman</dc:creator>
  <cp:keywords/>
  <dcterms:created xsi:type="dcterms:W3CDTF">2026-09-04T09:51:37Z</dcterms:created>
  <dcterms:modified xsi:type="dcterms:W3CDTF">2026-09-04T09:51:37Z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laws of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