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10" name="Picture"/>
            <a:graphic>
              <a:graphicData uri="http://schemas.openxmlformats.org/drawingml/2006/picture">
                <pic:pic>
                  <pic:nvPicPr>
                    <pic:cNvPr descr="./FiguresPNG/f-tdist.png" id="11" name="Picture"/>
                    <pic:cNvPicPr>
                      <a:picLocks noChangeArrowheads="1" noChangeAspect="1"/>
                    </pic:cNvPicPr>
                  </pic:nvPicPr>
                  <pic:blipFill>
                    <a:blip r:embed="rId9"/>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cr m:val="sans-serif"/>
            <m:sty m:val="p"/>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r>
          <m:rPr>
            <m:sty m:val="p"/>
          </m:rPr>
          <m:t>(</m:t>
        </m:r>
        <m:r>
          <m:t>t</m:t>
        </m:r>
        <m:r>
          <m:rPr>
            <m:sty m:val="p"/>
          </m:rPr>
          <m:t>(</m:t>
        </m:r>
        <m:r>
          <m:t>ν</m:t>
        </m:r>
        <m:r>
          <m:rPr>
            <m:sty m:val="p"/>
          </m:rPr>
          <m:t>)</m:t>
        </m:r>
        <m:sSup>
          <m:e>
            <m:r>
              <m:rPr>
                <m:sty m:val="p"/>
              </m:rPr>
              <m:t>)</m:t>
            </m:r>
          </m:e>
          <m:sup>
            <m:r>
              <m:t>2</m:t>
            </m:r>
          </m:sup>
        </m:sSup>
        <m:r>
          <m:rPr>
            <m:sty m:val="p"/>
          </m:rPr>
          <m:t>=</m:t>
        </m:r>
        <m:r>
          <m:t>F</m:t>
        </m:r>
        <m:r>
          <m:rPr>
            <m:sty m:val="p"/>
          </m:rPr>
          <m:t>(</m:t>
        </m:r>
        <m:r>
          <m:t>1</m:t>
        </m:r>
        <m:r>
          <m:rPr>
            <m:sty m:val="p"/>
          </m:rPr>
          <m:t>,</m:t>
        </m:r>
        <m:r>
          <m:t>ν</m:t>
        </m:r>
        <m:r>
          <m:rPr>
            <m:sty m:val="p"/>
          </m:rPr>
          <m:t>)</m:t>
        </m:r>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12">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r>
          <m:rPr>
            <m:sty m:val="p"/>
          </m:rPr>
          <m:t>(</m:t>
        </m:r>
        <m:r>
          <m:t>ν</m:t>
        </m:r>
        <m:r>
          <m:rPr>
            <m:sty m:val="p"/>
          </m:rPr>
          <m:t>)</m:t>
        </m:r>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Γ</m:t>
                  </m:r>
                  <m:d>
                    <m:dPr>
                      <m:begChr m:val="("/>
                      <m:sepChr m:val=""/>
                      <m:endChr m:val=")"/>
                      <m:grow/>
                    </m:dPr>
                    <m:e>
                      <m:f>
                        <m:fPr>
                          <m:type m:val="bar"/>
                        </m:fPr>
                        <m:num>
                          <m:r>
                            <m:t>ν</m:t>
                          </m:r>
                          <m:r>
                            <m:rPr>
                              <m:sty m:val="p"/>
                            </m:rPr>
                            <m:t>+</m:t>
                          </m:r>
                          <m:r>
                            <m:t>1</m:t>
                          </m:r>
                        </m:num>
                        <m:den>
                          <m:r>
                            <m:t>2</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rPr>
                  <m:sty m:val="p"/>
                </m:rPr>
                <m:t>Γ</m:t>
              </m:r>
              <m:r>
                <m:rPr>
                  <m:sty m:val="p"/>
                </m:rPr>
                <m:t>(</m:t>
              </m:r>
              <m:r>
                <m:t>x</m:t>
              </m:r>
              <m:r>
                <m:rPr>
                  <m:sty m:val="p"/>
                </m:rPr>
                <m:t>)</m:t>
              </m:r>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t>1</m:t>
                  </m:r>
                </m:num>
                <m:den>
                  <m:r>
                    <m:t>2</m:t>
                  </m:r>
                </m:den>
              </m:f>
              <m:r>
                <m:rPr>
                  <m:sty m:val="p"/>
                </m:rPr>
                <m:t>+</m:t>
              </m:r>
              <m:r>
                <m:t>x</m:t>
              </m:r>
              <m:r>
                <m:rPr>
                  <m:sty m:val="p"/>
                </m:rP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rPr>
                          <m:sty m:val="p"/>
                        </m:rP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rPr>
                  <m:sty m:val="p"/>
                </m:rPr>
                <m:t>Γ</m:t>
              </m:r>
              <m:r>
                <m:rPr>
                  <m:sty m:val="p"/>
                </m:rPr>
                <m:t>(</m:t>
              </m:r>
              <m:r>
                <m:t>x</m:t>
              </m:r>
              <m:r>
                <m:rPr>
                  <m:sty m:val="p"/>
                </m:rPr>
                <m:t>)</m:t>
              </m:r>
            </m:oMath>
            <w:r>
              <w:t xml:space="preserve"> </w:t>
            </w:r>
            <w:r>
              <w:t xml:space="preserve">is the gamma function,</w:t>
            </w:r>
            <w:r>
              <w:t xml:space="preserve"> </w:t>
            </w:r>
            <m:oMath>
              <m:sSub>
                <m:e>
                  <m:r>
                    <m:t>​</m:t>
                  </m:r>
                </m:e>
                <m:sub>
                  <m:r>
                    <m:t>2</m:t>
                  </m:r>
                </m:sub>
              </m:sSub>
              <m:sSub>
                <m:e>
                  <m:r>
                    <m:t>F</m:t>
                  </m:r>
                </m:e>
                <m:sub>
                  <m:r>
                    <m:t>1</m:t>
                  </m:r>
                </m:sub>
              </m:sSub>
              <m:r>
                <m:rPr>
                  <m:sty m:val="p"/>
                </m:rPr>
                <m:t>(</m:t>
              </m:r>
              <m:r>
                <m:t>a</m:t>
              </m:r>
              <m:r>
                <m:rPr>
                  <m:sty m:val="p"/>
                </m:rPr>
                <m:t>,</m:t>
              </m:r>
              <m:r>
                <m:t>b</m:t>
              </m:r>
              <m:r>
                <m:rPr>
                  <m:sty m:val="p"/>
                </m:rPr>
                <m:t>;</m:t>
              </m:r>
              <m:r>
                <m:t>c</m:t>
              </m:r>
              <m:r>
                <m:rPr>
                  <m:sty m:val="p"/>
                </m:rPr>
                <m:t>;</m:t>
              </m:r>
              <m:r>
                <m:t>z</m:t>
              </m:r>
              <m:r>
                <m:rPr>
                  <m:sty m:val="p"/>
                </m:rPr>
                <m:t>)</m:t>
              </m:r>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cr m:val="sans-serif"/>
              <m:sty m:val="p"/>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r>
          <m:rPr>
            <m:sty m:val="p"/>
          </m:rPr>
          <m:t>(</m:t>
        </m:r>
        <m:r>
          <m:t>39</m:t>
        </m:r>
        <m:r>
          <m:rPr>
            <m:sty m:val="p"/>
          </m:rPr>
          <m:t>)</m:t>
        </m:r>
      </m:oMath>
      <w:r>
        <w:t xml:space="preserve">, meaning the degrees of freedom is 39. See</w:t>
      </w:r>
      <w:r>
        <w:t xml:space="preserve"> </w:t>
      </w:r>
      <w:hyperlink r:id="rId12">
        <w:r>
          <w:rPr>
            <w:rStyle w:val="Hyperlink"/>
          </w:rPr>
          <w:t xml:space="preserve">Guide: Introduction to hypothesis testing</w:t>
        </w:r>
      </w:hyperlink>
      <w:r>
        <w:t xml:space="preserve"> </w:t>
      </w:r>
      <w:r>
        <w:t xml:space="preserve">for more.</w:t>
      </w:r>
    </w:p>
    <w:bookmarkStart w:id="16" w:name="further-reading"/>
    <w:p>
      <w:pPr>
        <w:pStyle w:val="Heading1"/>
      </w:pPr>
      <w:r>
        <w:t xml:space="preserve">Further reading</w:t>
      </w:r>
    </w:p>
    <w:p>
      <w:pPr>
        <w:pStyle w:val="FirstParagraph"/>
      </w:pPr>
      <w:hyperlink r:id="rId13">
        <w:r>
          <w:rPr>
            <w:rStyle w:val="Hyperlink"/>
          </w:rPr>
          <w:t xml:space="preserve">This interactive element appears in Overview: Probability distributions. Please click this link to go to the guide.</w:t>
        </w:r>
      </w:hyperlink>
    </w:p>
    <w:bookmarkStart w:id="1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numPr>
          <w:ilvl w:val="0"/>
          <w:numId w:val="1001"/>
        </w:numPr>
      </w:pPr>
      <w:r>
        <w:t xml:space="preserve">v1.1: moved to factsheet form and populated with material from</w:t>
      </w:r>
      <w:r>
        <w:t xml:space="preserve"> </w:t>
      </w:r>
      <w:hyperlink r:id="rId13">
        <w:r>
          <w:rPr>
            <w:rStyle w:val="Hyperlink"/>
          </w:rPr>
          <w:t xml:space="preserve">Overview: Probability distributions</w:t>
        </w:r>
      </w:hyperlink>
      <w:r>
        <w:t xml:space="preserve"> </w:t>
      </w:r>
      <w:r>
        <w:t xml:space="preserve">by tdhc.</w:t>
      </w:r>
    </w:p>
    <w:p>
      <w:pPr>
        <w:numPr>
          <w:ilvl w:val="0"/>
          <w:numId w:val="1001"/>
        </w:numPr>
      </w:pPr>
      <w:r>
        <w:t xml:space="preserve">v1.2: deprecated shinylive apps replaced 09/26 by tdhc.</w:t>
      </w:r>
    </w:p>
    <w:p>
      <w:pPr>
        <w:pStyle w:val="FirstParagraph"/>
      </w:pPr>
      <w:hyperlink r:id="rId14">
        <w:r>
          <w:rPr>
            <w:rStyle w:val="Hyperlink"/>
          </w:rPr>
          <w:t xml:space="preserve">This work is licensed under CC BY-NC-SA 4.0.</w:t>
        </w:r>
      </w:hyperlink>
    </w:p>
    <w:bookmarkEnd w:id="15"/>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 Target="../overviews/o-distributions.qmd" TargetMode="External" /><Relationship Type="http://schemas.openxmlformats.org/officeDocument/2006/relationships/hyperlink" Id="rId12"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2026-09-04T09:53:17Z</dcterms:created>
  <dcterms:modified xsi:type="dcterms:W3CDTF">2026-09-04T09:53:17Z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