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2D Conic Sections Fact Sheet</w:t>
      </w:r>
    </w:p>
    <w:p>
      <w:pPr>
        <w:pStyle w:val="Author"/>
      </w:pPr>
      <w:r>
        <w:t xml:space="preserve">Abigail Carpenter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This fact sheet provides an overview of 2D conic sections, including general equations, discriminants, types of conics, standard forms, key features, and labeled graphs.</w:t>
      </w:r>
    </w:p>
    <w:bookmarkStart w:id="10" w:name="general-quadratic-equation-for-conics"/>
    <w:p>
      <w:pPr>
        <w:pStyle w:val="Heading1"/>
      </w:pPr>
      <w:r>
        <w:t xml:space="preserve">General Quadratic Equation for Conics</w:t>
      </w:r>
    </w:p>
    <w:p>
      <w:pPr>
        <w:pStyle w:val="FirstParagraph"/>
      </w:pPr>
      <w:r>
        <w:t xml:space="preserve">A conic section can be represented algebraically by the</w:t>
      </w:r>
      <w:r>
        <w:t xml:space="preserve"> </w:t>
      </w:r>
      <w:r>
        <w:rPr>
          <w:b/>
          <w:bCs/>
        </w:rPr>
        <w:t xml:space="preserve">general quadratic equation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E</m:t>
          </m:r>
          <m:r>
            <m:t>y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Start w:id="9" w:name="discriminant-and-conic-type"/>
    <w:p>
      <w:pPr>
        <w:pStyle w:val="Heading3"/>
      </w:pPr>
      <w:r>
        <w:t xml:space="preserve">Discriminant and Conic Type</w:t>
      </w:r>
    </w:p>
    <w:p>
      <w:pPr>
        <w:pStyle w:val="FirstParagraph"/>
      </w:pPr>
      <w:r>
        <w:t xml:space="preserve">The discriminant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A</m:t>
          </m:r>
          <m:r>
            <m:t>C</m:t>
          </m:r>
        </m:oMath>
      </m:oMathPara>
    </w:p>
    <w:p>
      <w:pPr>
        <w:pStyle w:val="FirstParagraph"/>
      </w:pPr>
      <w:r>
        <w:t xml:space="preserve">Use this to classify the conic: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Discriminant</w:t>
            </w:r>
          </w:p>
        </w:tc>
        <w:tc>
          <w:tcPr/>
          <w:p>
            <w:pPr>
              <w:pStyle w:val="Compact"/>
            </w:pPr>
            <w:r>
              <w:t xml:space="preserve">Conic 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Ellipse</w:t>
            </w:r>
          </w:p>
        </w:tc>
        <w:tc>
          <w:tcPr/>
          <w:p>
            <w:pPr>
              <w:pStyle w:val="Compact"/>
            </w:pPr>
            <w:r>
              <w:t xml:space="preserve">Circle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Parabola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Hyperbola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5" w:name="conic-sections"/>
    <w:p>
      <w:pPr>
        <w:pStyle w:val="Heading1"/>
      </w:pPr>
      <w:r>
        <w:t xml:space="preserve">Conic Sections</w:t>
      </w:r>
    </w:p>
    <w:bookmarkStart w:id="11" w:name="circle"/>
    <w:p>
      <w:pPr>
        <w:pStyle w:val="Heading2"/>
      </w:pPr>
      <w:r>
        <w:t xml:space="preserve">Circle</w:t>
      </w:r>
    </w:p>
    <w:p>
      <w:pPr>
        <w:pStyle w:val="FirstParagraph"/>
      </w:pPr>
      <w:r>
        <w:rPr>
          <w:b/>
          <w:bCs/>
        </w:rPr>
        <w:t xml:space="preserve">Standard form: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h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Key features:</w:t>
      </w:r>
    </w:p>
    <w:p>
      <w:pPr>
        <w:pStyle w:val="Compact"/>
        <w:numPr>
          <w:ilvl w:val="0"/>
          <w:numId w:val="1001"/>
        </w:numPr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r>
        <w:t xml:space="preserve">Radius:</w:t>
      </w:r>
      <w:r>
        <w:t xml:space="preserve"> </w:t>
      </w:r>
      <m:oMath>
        <m:r>
          <m:t>r</m:t>
        </m:r>
      </m:oMath>
    </w:p>
    <w:p>
      <w:r>
        <w:pict>
          <v:rect style="width:0;height:1.5pt" o:hralign="center" o:hrstd="t" o:hr="t"/>
        </w:pict>
      </w:r>
    </w:p>
    <w:bookmarkEnd w:id="11"/>
    <w:bookmarkStart w:id="12" w:name="ellipse"/>
    <w:p>
      <w:pPr>
        <w:pStyle w:val="Heading2"/>
      </w:pPr>
      <w:r>
        <w:t xml:space="preserve">Ellipse</w:t>
      </w:r>
    </w:p>
    <w:p>
      <w:pPr>
        <w:pStyle w:val="FirstParagraph"/>
      </w:pPr>
      <w:r>
        <w:rPr>
          <w:b/>
          <w:bCs/>
        </w:rPr>
        <w:t xml:space="preserve">Standard form: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t> 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&gt;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Key features:</w:t>
      </w:r>
    </w:p>
    <w:p>
      <w:pPr>
        <w:pStyle w:val="Compact"/>
        <w:numPr>
          <w:ilvl w:val="0"/>
          <w:numId w:val="1002"/>
        </w:numPr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2"/>
        </w:numPr>
      </w:pPr>
      <w:r>
        <w:t xml:space="preserve">Semi-major axis: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02"/>
        </w:numPr>
      </w:pPr>
      <w:r>
        <w:t xml:space="preserve">Semi-minor axis:</w:t>
      </w:r>
      <w:r>
        <w:t xml:space="preserve"> </w:t>
      </w:r>
      <m:oMath>
        <m:r>
          <m:t>b</m:t>
        </m:r>
      </m:oMath>
    </w:p>
    <w:p>
      <w:pPr>
        <w:pStyle w:val="Compact"/>
        <w:numPr>
          <w:ilvl w:val="0"/>
          <w:numId w:val="1002"/>
        </w:numPr>
      </w:pPr>
      <w:r>
        <w:t xml:space="preserve">Foci: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±</m:t>
        </m:r>
        <m:r>
          <m:t>c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horizontal ellipse,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±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vertical, where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</w:p>
    <w:p>
      <w:r>
        <w:pict>
          <v:rect style="width:0;height:1.5pt" o:hralign="center" o:hrstd="t" o:hr="t"/>
        </w:pict>
      </w:r>
    </w:p>
    <w:bookmarkEnd w:id="12"/>
    <w:bookmarkStart w:id="13" w:name="parabola"/>
    <w:p>
      <w:pPr>
        <w:pStyle w:val="Heading2"/>
      </w:pPr>
      <w:r>
        <w:t xml:space="preserve">Parabola</w:t>
      </w:r>
    </w:p>
    <w:p>
      <w:pPr>
        <w:pStyle w:val="FirstParagraph"/>
      </w:pPr>
      <w:r>
        <w:rPr>
          <w:b/>
          <w:bCs/>
        </w:rPr>
        <w:t xml:space="preserve">Standard forms:</w:t>
      </w:r>
    </w:p>
    <w:p>
      <w:pPr>
        <w:pStyle w:val="Compact"/>
        <w:numPr>
          <w:ilvl w:val="0"/>
          <w:numId w:val="1003"/>
        </w:numPr>
      </w:pPr>
      <w:r>
        <w:t xml:space="preserve">Vertical: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h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Horizontal: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k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Key features:</w:t>
      </w:r>
    </w:p>
    <w:p>
      <w:pPr>
        <w:pStyle w:val="Compact"/>
        <w:numPr>
          <w:ilvl w:val="0"/>
          <w:numId w:val="1004"/>
        </w:numPr>
      </w:pPr>
      <w:r>
        <w:t xml:space="preserve">Vertex: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w:r>
        <w:t xml:space="preserve">Focus: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w:r>
        <w:t xml:space="preserve">Directrix: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−</m:t>
        </m:r>
        <m:r>
          <m:t>p</m:t>
        </m:r>
      </m:oMath>
    </w:p>
    <w:p>
      <w:pPr>
        <w:pStyle w:val="Compact"/>
        <w:numPr>
          <w:ilvl w:val="0"/>
          <w:numId w:val="1004"/>
        </w:numPr>
      </w:pPr>
      <w:r>
        <w:t xml:space="preserve">Axis of symmetry: passes through vertex and focus</w:t>
      </w:r>
    </w:p>
    <w:p>
      <w:r>
        <w:pict>
          <v:rect style="width:0;height:1.5pt" o:hralign="center" o:hrstd="t" o:hr="t"/>
        </w:pict>
      </w:r>
    </w:p>
    <w:bookmarkEnd w:id="13"/>
    <w:bookmarkStart w:id="14" w:name="hyperbola"/>
    <w:p>
      <w:pPr>
        <w:pStyle w:val="Heading2"/>
      </w:pPr>
      <w:r>
        <w:t xml:space="preserve">Hyperbola</w:t>
      </w:r>
    </w:p>
    <w:p>
      <w:pPr>
        <w:pStyle w:val="FirstParagraph"/>
      </w:pPr>
      <w:r>
        <w:rPr>
          <w:b/>
          <w:bCs/>
        </w:rPr>
        <w:t xml:space="preserve">Standard forms:</w:t>
      </w:r>
    </w:p>
    <w:p>
      <w:pPr>
        <w:pStyle w:val="Compact"/>
        <w:numPr>
          <w:ilvl w:val="0"/>
          <w:numId w:val="1005"/>
        </w:numPr>
      </w:pPr>
      <w:r>
        <w:t xml:space="preserve">Horizontal: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r>
              <m:t>k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Vertical: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r>
              <m:t>k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</w:p>
    <w:p>
      <w:pPr>
        <w:pStyle w:val="FirstParagraph"/>
      </w:pPr>
      <w:r>
        <w:rPr>
          <w:b/>
          <w:bCs/>
        </w:rPr>
        <w:t xml:space="preserve">Key features:</w:t>
      </w:r>
    </w:p>
    <w:p>
      <w:pPr>
        <w:pStyle w:val="Compact"/>
        <w:numPr>
          <w:ilvl w:val="0"/>
          <w:numId w:val="1006"/>
        </w:numPr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w:r>
        <w:t xml:space="preserve">Vertices: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±</m:t>
        </m:r>
        <m:r>
          <m:t>a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±</m:t>
        </m:r>
        <m:r>
          <m:t>a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w:r>
        <w:t xml:space="preserve">Foci: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±</m:t>
        </m:r>
        <m:r>
          <m:t>c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±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Compact"/>
        <w:numPr>
          <w:ilvl w:val="0"/>
          <w:numId w:val="1006"/>
        </w:numPr>
      </w:pPr>
      <w:r>
        <w:t xml:space="preserve">Asymptotes: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(horizontal),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(vertical)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quick-reference-table"/>
    <w:p>
      <w:pPr>
        <w:pStyle w:val="Heading1"/>
      </w:pPr>
      <w:r>
        <w:t xml:space="preserve">Quick Reference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330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Conic</w:t>
            </w:r>
          </w:p>
        </w:tc>
        <w:tc>
          <w:tcPr/>
          <w:p>
            <w:pPr>
              <w:pStyle w:val="Compact"/>
            </w:pPr>
            <w:r>
              <w:t xml:space="preserve">Standard Form</w:t>
            </w:r>
          </w:p>
        </w:tc>
        <w:tc>
          <w:tcPr/>
          <w:p>
            <w:pPr>
              <w:pStyle w:val="Compact"/>
            </w:pPr>
            <w:r>
              <w:t xml:space="preserve">Key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Circle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Centre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, radius</w:t>
            </w:r>
            <w:r>
              <w:t xml:space="preserve"> </w:t>
            </w:r>
            <m:oMath>
              <m:r>
                <m:t>r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Ellipse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Centre, axes, foci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Parabola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Vertex, focus, directrix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Hyperbola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Centre, vertices, foci, asymptotes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9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07"/>
        </w:numPr>
      </w:pPr>
      <w:r>
        <w:t xml:space="preserve">Interactive Desmos graphs for visualization</w:t>
      </w:r>
    </w:p>
    <w:p>
      <w:pPr>
        <w:pStyle w:val="Compact"/>
        <w:numPr>
          <w:ilvl w:val="0"/>
          <w:numId w:val="1007"/>
        </w:numPr>
      </w:pPr>
      <w:r>
        <w:t xml:space="preserve">Geometry textbooks on conic sections</w:t>
      </w:r>
    </w:p>
    <w:bookmarkStart w:id="18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11/25 by Abigail Carpenter as part of a University of St Andrews VIP project.</w:t>
      </w:r>
    </w:p>
    <w:p>
      <w:pPr>
        <w:pStyle w:val="BodyText"/>
      </w:pPr>
      <w:hyperlink r:id="rId17">
        <w:r>
          <w:rPr>
            <w:rStyle w:val="Hyperlink"/>
          </w:rPr>
          <w:t xml:space="preserve">This work is licensed under CC BY-NC-SA 4.0.</w:t>
        </w:r>
      </w:hyperlink>
    </w:p>
    <w:bookmarkEnd w:id="18"/>
    <w:bookmarkEnd w:id="19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2D Conic Sections Fact Sheet</dc:title>
  <dc:creator>Abigail Carpenter</dc:creator>
  <cp:keywords/>
  <dcterms:created xsi:type="dcterms:W3CDTF">2026-09-04T09:53:13Z</dcterms:created>
  <dcterms:modified xsi:type="dcterms:W3CDTF">2026-09-04T09:53:13Z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fact sheet provides an overview of 2D conic sections, including general equations, discriminants, types of conics, standard forms, key features, and labeled graphs.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draft">
    <vt:lpwstr>True</vt:lpwstr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